
<file path=[Content_Types].xml><?xml version="1.0" encoding="utf-8"?>
<Types xmlns="http://schemas.openxmlformats.org/package/2006/content-types">
  <Default Extension="xlsx" ContentType="application/vnd.openxmlformats-officedocument.spreadsheetml.shee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376" w:firstLineChars="200"/>
        <w:jc w:val="center"/>
        <w:rPr>
          <w:rFonts w:hint="eastAsia" w:ascii="黑体" w:hAnsi="黑体" w:eastAsia="黑体" w:cs="黑体"/>
          <w:color w:val="231F20"/>
          <w:kern w:val="0"/>
          <w:sz w:val="18"/>
          <w:szCs w:val="18"/>
          <w:lang w:val="en-US" w:eastAsia="zh-CN" w:bidi="ar"/>
        </w:rPr>
      </w:pPr>
      <w:r>
        <w:rPr>
          <w:rFonts w:hint="eastAsia" w:ascii="黑体" w:hAnsi="黑体" w:eastAsia="黑体" w:cs="黑体"/>
          <w:color w:val="231F20"/>
          <w:kern w:val="0"/>
          <w:sz w:val="18"/>
          <w:szCs w:val="18"/>
          <w:lang w:val="en-US" w:eastAsia="zh-CN" w:bidi="ar"/>
        </w:rPr>
        <w:t>现状分析</w:t>
      </w:r>
    </w:p>
    <w:p>
      <w:pPr>
        <w:keepNext w:val="0"/>
        <w:keepLines w:val="0"/>
        <w:widowControl/>
        <w:suppressLineNumbers w:val="0"/>
        <w:ind w:firstLine="376" w:firstLineChars="200"/>
        <w:jc w:val="both"/>
        <w:rPr>
          <w:rFonts w:hint="default" w:ascii="黑体" w:hAnsi="黑体" w:eastAsia="黑体" w:cs="黑体"/>
          <w:color w:val="231F20"/>
          <w:kern w:val="0"/>
          <w:sz w:val="18"/>
          <w:szCs w:val="18"/>
          <w:lang w:val="en-US" w:eastAsia="zh-CN" w:bidi="ar"/>
        </w:rPr>
      </w:pPr>
      <w:r>
        <w:rPr>
          <w:rFonts w:hint="default" w:ascii="黑体" w:hAnsi="黑体" w:eastAsia="黑体" w:cs="黑体"/>
          <w:color w:val="231F20"/>
          <w:kern w:val="0"/>
          <w:sz w:val="18"/>
          <w:szCs w:val="18"/>
          <w:lang w:val="en-US" w:eastAsia="zh-CN" w:bidi="ar"/>
        </w:rPr>
        <w:t>近年来，区块链技术加快演进，不断与金融、物流、能源、制造、生命科学、医疗保健、销售等领域融合，区块链技术也引起了高等教育工作者的关注。 很多国家制定了推动区块链高等教育应用的战略规划。 例如：爱沙尼亚推出 Disciplina项目， 旨在利用区块链帮助学生监控自己的教育记录，帮助教师建立个人档案等；荷兰成立了区块链联盟，帮助高等教育机构应对区块链应用挑战；德国联邦政府资助一项基于区块链技术的高等教育证书验证项目。</w:t>
      </w:r>
    </w:p>
    <w:p>
      <w:pPr>
        <w:keepNext w:val="0"/>
        <w:keepLines w:val="0"/>
        <w:widowControl/>
        <w:suppressLineNumbers w:val="0"/>
        <w:ind w:firstLine="376" w:firstLineChars="200"/>
        <w:jc w:val="left"/>
        <w:rPr>
          <w:rFonts w:hint="eastAsia" w:ascii="黑体" w:hAnsi="黑体" w:eastAsia="黑体" w:cs="黑体"/>
          <w:color w:val="231F20"/>
          <w:kern w:val="0"/>
          <w:sz w:val="18"/>
          <w:szCs w:val="18"/>
          <w:lang w:val="en-US" w:eastAsia="zh-CN" w:bidi="ar"/>
        </w:rPr>
      </w:pPr>
      <w:r>
        <w:rPr>
          <w:rFonts w:hint="eastAsia" w:ascii="黑体" w:hAnsi="黑体" w:eastAsia="黑体" w:cs="黑体"/>
          <w:color w:val="231F20"/>
          <w:kern w:val="0"/>
          <w:sz w:val="18"/>
          <w:szCs w:val="18"/>
          <w:lang w:val="en-US" w:eastAsia="zh-CN" w:bidi="ar"/>
        </w:rPr>
        <w:t>信息技术的快速发展促使高等教育机构为学生提供多形式学习机会</w:t>
      </w:r>
      <w:bookmarkStart w:id="0" w:name="_GoBack"/>
      <w:bookmarkEnd w:id="0"/>
      <w:r>
        <w:rPr>
          <w:rFonts w:hint="eastAsia" w:ascii="黑体" w:hAnsi="黑体" w:eastAsia="黑体" w:cs="黑体"/>
          <w:color w:val="231F20"/>
          <w:kern w:val="0"/>
          <w:sz w:val="18"/>
          <w:szCs w:val="18"/>
          <w:lang w:val="en-US" w:eastAsia="zh-CN" w:bidi="ar"/>
        </w:rPr>
        <w:t>，</w:t>
      </w:r>
      <w:r>
        <w:rPr>
          <w:rFonts w:hint="eastAsia" w:ascii="黑体" w:hAnsi="黑体" w:eastAsia="黑体" w:cs="黑体"/>
          <w:color w:val="231F20"/>
          <w:kern w:val="0"/>
          <w:sz w:val="18"/>
          <w:szCs w:val="18"/>
          <w:lang w:val="en-US" w:eastAsia="zh-CN" w:bidi="ar"/>
        </w:rPr>
        <w:t>如何记录</w:t>
      </w:r>
      <w:r>
        <w:rPr>
          <w:rFonts w:hint="eastAsia" w:ascii="黑体" w:hAnsi="黑体" w:eastAsia="黑体" w:cs="黑体"/>
          <w:color w:val="231F20"/>
          <w:kern w:val="0"/>
          <w:sz w:val="18"/>
          <w:szCs w:val="18"/>
          <w:lang w:val="en-US" w:eastAsia="zh-CN" w:bidi="ar"/>
        </w:rPr>
        <w:t>、</w:t>
      </w:r>
      <w:r>
        <w:rPr>
          <w:rFonts w:hint="eastAsia" w:ascii="黑体" w:hAnsi="黑体" w:eastAsia="黑体" w:cs="黑体"/>
          <w:color w:val="231F20"/>
          <w:kern w:val="0"/>
          <w:sz w:val="18"/>
          <w:szCs w:val="18"/>
          <w:lang w:val="en-US" w:eastAsia="zh-CN" w:bidi="ar"/>
        </w:rPr>
        <w:t>验证</w:t>
      </w:r>
      <w:r>
        <w:rPr>
          <w:rFonts w:hint="eastAsia" w:ascii="黑体" w:hAnsi="黑体" w:eastAsia="黑体" w:cs="黑体"/>
          <w:color w:val="231F20"/>
          <w:kern w:val="0"/>
          <w:sz w:val="18"/>
          <w:szCs w:val="18"/>
          <w:lang w:val="en-US" w:eastAsia="zh-CN" w:bidi="ar"/>
        </w:rPr>
        <w:t>、</w:t>
      </w:r>
      <w:r>
        <w:rPr>
          <w:rFonts w:hint="eastAsia" w:ascii="黑体" w:hAnsi="黑体" w:eastAsia="黑体" w:cs="黑体"/>
          <w:color w:val="231F20"/>
          <w:kern w:val="0"/>
          <w:sz w:val="18"/>
          <w:szCs w:val="18"/>
          <w:lang w:val="en-US" w:eastAsia="zh-CN" w:bidi="ar"/>
        </w:rPr>
        <w:t>共享所有形式的学习</w:t>
      </w:r>
      <w:r>
        <w:rPr>
          <w:rFonts w:hint="eastAsia" w:ascii="黑体" w:hAnsi="黑体" w:eastAsia="黑体" w:cs="黑体"/>
          <w:color w:val="231F20"/>
          <w:kern w:val="0"/>
          <w:sz w:val="18"/>
          <w:szCs w:val="18"/>
          <w:lang w:val="en-US" w:eastAsia="zh-CN" w:bidi="ar"/>
        </w:rPr>
        <w:t>，</w:t>
      </w:r>
      <w:r>
        <w:rPr>
          <w:rFonts w:hint="eastAsia" w:ascii="黑体" w:hAnsi="黑体" w:eastAsia="黑体" w:cs="黑体"/>
          <w:color w:val="231F20"/>
          <w:kern w:val="0"/>
          <w:sz w:val="18"/>
          <w:szCs w:val="18"/>
          <w:lang w:val="en-US" w:eastAsia="zh-CN" w:bidi="ar"/>
        </w:rPr>
        <w:t>实现学生</w:t>
      </w:r>
      <w:r>
        <w:rPr>
          <w:rFonts w:hint="eastAsia" w:ascii="黑体" w:hAnsi="黑体" w:eastAsia="黑体" w:cs="黑体"/>
          <w:color w:val="231F20"/>
          <w:kern w:val="0"/>
          <w:sz w:val="18"/>
          <w:szCs w:val="18"/>
          <w:lang w:val="en-US" w:eastAsia="zh-CN" w:bidi="ar"/>
        </w:rPr>
        <w:t>、</w:t>
      </w:r>
      <w:r>
        <w:rPr>
          <w:rFonts w:hint="eastAsia" w:ascii="黑体" w:hAnsi="黑体" w:eastAsia="黑体" w:cs="黑体"/>
          <w:color w:val="231F20"/>
          <w:kern w:val="0"/>
          <w:sz w:val="18"/>
          <w:szCs w:val="18"/>
          <w:lang w:val="en-US" w:eastAsia="zh-CN" w:bidi="ar"/>
        </w:rPr>
        <w:t>高等教育机构和潜在雇主等之间的数据互通</w:t>
      </w:r>
      <w:r>
        <w:rPr>
          <w:rFonts w:hint="eastAsia" w:ascii="黑体" w:hAnsi="黑体" w:eastAsia="黑体" w:cs="黑体"/>
          <w:color w:val="231F20"/>
          <w:kern w:val="0"/>
          <w:sz w:val="18"/>
          <w:szCs w:val="18"/>
          <w:lang w:val="en-US" w:eastAsia="zh-CN" w:bidi="ar"/>
        </w:rPr>
        <w:t>，</w:t>
      </w:r>
      <w:r>
        <w:rPr>
          <w:rFonts w:hint="eastAsia" w:ascii="黑体" w:hAnsi="黑体" w:eastAsia="黑体" w:cs="黑体"/>
          <w:color w:val="231F20"/>
          <w:kern w:val="0"/>
          <w:sz w:val="18"/>
          <w:szCs w:val="18"/>
          <w:lang w:val="en-US" w:eastAsia="zh-CN" w:bidi="ar"/>
        </w:rPr>
        <w:t>避免教育记录造假</w:t>
      </w:r>
      <w:r>
        <w:rPr>
          <w:rFonts w:hint="eastAsia" w:ascii="黑体" w:hAnsi="黑体" w:eastAsia="黑体" w:cs="黑体"/>
          <w:color w:val="231F20"/>
          <w:kern w:val="0"/>
          <w:sz w:val="18"/>
          <w:szCs w:val="18"/>
          <w:lang w:val="en-US" w:eastAsia="zh-CN" w:bidi="ar"/>
        </w:rPr>
        <w:t>，</w:t>
      </w:r>
      <w:r>
        <w:rPr>
          <w:rFonts w:hint="eastAsia" w:ascii="黑体" w:hAnsi="黑体" w:eastAsia="黑体" w:cs="黑体"/>
          <w:color w:val="231F20"/>
          <w:kern w:val="0"/>
          <w:sz w:val="18"/>
          <w:szCs w:val="18"/>
          <w:lang w:val="en-US" w:eastAsia="zh-CN" w:bidi="ar"/>
        </w:rPr>
        <w:t>以及保护开放教育资源版权等成为高等教育机构面临的挑战</w:t>
      </w:r>
      <w:r>
        <w:rPr>
          <w:rFonts w:hint="eastAsia" w:ascii="黑体" w:hAnsi="黑体" w:eastAsia="黑体" w:cs="黑体"/>
          <w:color w:val="231F20"/>
          <w:kern w:val="0"/>
          <w:sz w:val="18"/>
          <w:szCs w:val="18"/>
          <w:lang w:val="en-US" w:eastAsia="zh-CN" w:bidi="ar"/>
        </w:rPr>
        <w:t xml:space="preserve">。 </w:t>
      </w:r>
      <w:r>
        <w:rPr>
          <w:rFonts w:hint="default" w:ascii="黑体" w:hAnsi="黑体" w:eastAsia="黑体" w:cs="黑体"/>
          <w:color w:val="231F20"/>
          <w:kern w:val="0"/>
          <w:sz w:val="18"/>
          <w:szCs w:val="18"/>
          <w:lang w:val="en-US" w:eastAsia="zh-CN" w:bidi="ar"/>
        </w:rPr>
        <w:t>在教育领域中，区块链应用具有可靠、可信、安全和高效率等优势，具备存储、传输、验证考试报告、学习成绩、学术成就、职业兴趣、毕业证等能力。</w:t>
      </w:r>
      <w:r>
        <w:rPr>
          <w:rFonts w:hint="eastAsia" w:ascii="黑体" w:hAnsi="黑体" w:eastAsia="黑体" w:cs="黑体"/>
          <w:color w:val="231F20"/>
          <w:kern w:val="0"/>
          <w:sz w:val="18"/>
          <w:szCs w:val="18"/>
          <w:lang w:val="en-US" w:eastAsia="zh-CN" w:bidi="ar"/>
        </w:rPr>
        <w:t>通过分布式数据存储</w:t>
      </w:r>
      <w:r>
        <w:rPr>
          <w:rFonts w:hint="eastAsia" w:ascii="黑体" w:hAnsi="黑体" w:eastAsia="黑体" w:cs="黑体"/>
          <w:color w:val="231F20"/>
          <w:kern w:val="0"/>
          <w:sz w:val="18"/>
          <w:szCs w:val="18"/>
          <w:lang w:val="en-US" w:eastAsia="zh-CN" w:bidi="ar"/>
        </w:rPr>
        <w:t>、</w:t>
      </w:r>
      <w:r>
        <w:rPr>
          <w:rFonts w:hint="eastAsia" w:ascii="黑体" w:hAnsi="黑体" w:eastAsia="黑体" w:cs="黑体"/>
          <w:color w:val="231F20"/>
          <w:kern w:val="0"/>
          <w:sz w:val="18"/>
          <w:szCs w:val="18"/>
          <w:lang w:val="en-US" w:eastAsia="zh-CN" w:bidi="ar"/>
        </w:rPr>
        <w:t>点对点传输</w:t>
      </w:r>
      <w:r>
        <w:rPr>
          <w:rFonts w:hint="eastAsia" w:ascii="黑体" w:hAnsi="黑体" w:eastAsia="黑体" w:cs="黑体"/>
          <w:color w:val="231F20"/>
          <w:kern w:val="0"/>
          <w:sz w:val="18"/>
          <w:szCs w:val="18"/>
          <w:lang w:val="en-US" w:eastAsia="zh-CN" w:bidi="ar"/>
        </w:rPr>
        <w:t>、</w:t>
      </w:r>
      <w:r>
        <w:rPr>
          <w:rFonts w:hint="eastAsia" w:ascii="黑体" w:hAnsi="黑体" w:eastAsia="黑体" w:cs="黑体"/>
          <w:color w:val="231F20"/>
          <w:kern w:val="0"/>
          <w:sz w:val="18"/>
          <w:szCs w:val="18"/>
          <w:lang w:val="en-US" w:eastAsia="zh-CN" w:bidi="ar"/>
        </w:rPr>
        <w:t>共识机制</w:t>
      </w:r>
      <w:r>
        <w:rPr>
          <w:rFonts w:hint="eastAsia" w:ascii="黑体" w:hAnsi="黑体" w:eastAsia="黑体" w:cs="黑体"/>
          <w:color w:val="231F20"/>
          <w:kern w:val="0"/>
          <w:sz w:val="18"/>
          <w:szCs w:val="18"/>
          <w:lang w:val="en-US" w:eastAsia="zh-CN" w:bidi="ar"/>
        </w:rPr>
        <w:t>、</w:t>
      </w:r>
      <w:r>
        <w:rPr>
          <w:rFonts w:hint="eastAsia" w:ascii="黑体" w:hAnsi="黑体" w:eastAsia="黑体" w:cs="黑体"/>
          <w:color w:val="231F20"/>
          <w:kern w:val="0"/>
          <w:sz w:val="18"/>
          <w:szCs w:val="18"/>
          <w:lang w:val="en-US" w:eastAsia="zh-CN" w:bidi="ar"/>
        </w:rPr>
        <w:t>加密算法等技术</w:t>
      </w:r>
      <w:r>
        <w:rPr>
          <w:rFonts w:hint="eastAsia" w:ascii="黑体" w:hAnsi="黑体" w:eastAsia="黑体" w:cs="黑体"/>
          <w:color w:val="231F20"/>
          <w:kern w:val="0"/>
          <w:sz w:val="18"/>
          <w:szCs w:val="18"/>
          <w:lang w:val="en-US" w:eastAsia="zh-CN" w:bidi="ar"/>
        </w:rPr>
        <w:t>，</w:t>
      </w:r>
      <w:r>
        <w:rPr>
          <w:rFonts w:hint="eastAsia" w:ascii="黑体" w:hAnsi="黑体" w:eastAsia="黑体" w:cs="黑体"/>
          <w:color w:val="231F20"/>
          <w:kern w:val="0"/>
          <w:sz w:val="18"/>
          <w:szCs w:val="18"/>
          <w:lang w:val="en-US" w:eastAsia="zh-CN" w:bidi="ar"/>
        </w:rPr>
        <w:t>区块链允许学生控制自己的数据</w:t>
      </w:r>
      <w:r>
        <w:rPr>
          <w:rFonts w:hint="eastAsia" w:ascii="黑体" w:hAnsi="黑体" w:eastAsia="黑体" w:cs="黑体"/>
          <w:color w:val="231F20"/>
          <w:kern w:val="0"/>
          <w:sz w:val="18"/>
          <w:szCs w:val="18"/>
          <w:lang w:val="en-US" w:eastAsia="zh-CN" w:bidi="ar"/>
        </w:rPr>
        <w:t>、</w:t>
      </w:r>
      <w:r>
        <w:rPr>
          <w:rFonts w:hint="eastAsia" w:ascii="黑体" w:hAnsi="黑体" w:eastAsia="黑体" w:cs="黑体"/>
          <w:color w:val="231F20"/>
          <w:kern w:val="0"/>
          <w:sz w:val="18"/>
          <w:szCs w:val="18"/>
          <w:lang w:val="en-US" w:eastAsia="zh-CN" w:bidi="ar"/>
        </w:rPr>
        <w:t>简化教育机构的活动</w:t>
      </w:r>
      <w:r>
        <w:rPr>
          <w:rFonts w:hint="eastAsia" w:ascii="黑体" w:hAnsi="黑体" w:eastAsia="黑体" w:cs="黑体"/>
          <w:color w:val="231F20"/>
          <w:kern w:val="0"/>
          <w:sz w:val="18"/>
          <w:szCs w:val="18"/>
          <w:lang w:val="en-US" w:eastAsia="zh-CN" w:bidi="ar"/>
        </w:rPr>
        <w:t>、</w:t>
      </w:r>
      <w:r>
        <w:rPr>
          <w:rFonts w:hint="eastAsia" w:ascii="黑体" w:hAnsi="黑体" w:eastAsia="黑体" w:cs="黑体"/>
          <w:color w:val="231F20"/>
          <w:kern w:val="0"/>
          <w:sz w:val="18"/>
          <w:szCs w:val="18"/>
          <w:lang w:val="en-US" w:eastAsia="zh-CN" w:bidi="ar"/>
        </w:rPr>
        <w:t>提高数据访问的安全性并验证学生的学历</w:t>
      </w:r>
      <w:r>
        <w:rPr>
          <w:rFonts w:hint="eastAsia" w:ascii="黑体" w:hAnsi="黑体" w:eastAsia="黑体" w:cs="黑体"/>
          <w:color w:val="231F20"/>
          <w:kern w:val="0"/>
          <w:sz w:val="18"/>
          <w:szCs w:val="18"/>
          <w:lang w:val="en-US" w:eastAsia="zh-CN" w:bidi="ar"/>
        </w:rPr>
        <w:t>，</w:t>
      </w:r>
      <w:r>
        <w:rPr>
          <w:rFonts w:hint="eastAsia" w:ascii="黑体" w:hAnsi="黑体" w:eastAsia="黑体" w:cs="黑体"/>
          <w:color w:val="231F20"/>
          <w:kern w:val="0"/>
          <w:sz w:val="18"/>
          <w:szCs w:val="18"/>
          <w:lang w:val="en-US" w:eastAsia="zh-CN" w:bidi="ar"/>
        </w:rPr>
        <w:t>这为高等教育机构应对信息化挑战提供了支持</w:t>
      </w:r>
      <w:r>
        <w:rPr>
          <w:rFonts w:hint="eastAsia" w:ascii="黑体" w:hAnsi="黑体" w:eastAsia="黑体" w:cs="黑体"/>
          <w:color w:val="231F20"/>
          <w:kern w:val="0"/>
          <w:sz w:val="18"/>
          <w:szCs w:val="18"/>
          <w:lang w:val="en-US" w:eastAsia="zh-CN" w:bidi="ar"/>
        </w:rPr>
        <w:t xml:space="preserve">。 </w:t>
      </w:r>
      <w:r>
        <w:rPr>
          <w:rFonts w:hint="eastAsia" w:ascii="黑体" w:hAnsi="黑体" w:eastAsia="黑体" w:cs="黑体"/>
          <w:color w:val="231F20"/>
          <w:kern w:val="0"/>
          <w:sz w:val="18"/>
          <w:szCs w:val="18"/>
          <w:lang w:val="en-US" w:eastAsia="zh-CN" w:bidi="ar"/>
        </w:rPr>
        <w:t>当前</w:t>
      </w:r>
      <w:r>
        <w:rPr>
          <w:rFonts w:hint="eastAsia" w:ascii="黑体" w:hAnsi="黑体" w:eastAsia="黑体" w:cs="黑体"/>
          <w:color w:val="231F20"/>
          <w:kern w:val="0"/>
          <w:sz w:val="18"/>
          <w:szCs w:val="18"/>
          <w:lang w:val="en-US" w:eastAsia="zh-CN" w:bidi="ar"/>
        </w:rPr>
        <w:t>，</w:t>
      </w:r>
      <w:r>
        <w:rPr>
          <w:rFonts w:hint="eastAsia" w:ascii="黑体" w:hAnsi="黑体" w:eastAsia="黑体" w:cs="黑体"/>
          <w:color w:val="231F20"/>
          <w:kern w:val="0"/>
          <w:sz w:val="18"/>
          <w:szCs w:val="18"/>
          <w:lang w:val="en-US" w:eastAsia="zh-CN" w:bidi="ar"/>
        </w:rPr>
        <w:t>不同的教育机构开始尝试利用区块链技术应对挑战</w:t>
      </w:r>
      <w:r>
        <w:rPr>
          <w:rFonts w:hint="eastAsia" w:ascii="黑体" w:hAnsi="黑体" w:eastAsia="黑体" w:cs="黑体"/>
          <w:color w:val="231F20"/>
          <w:kern w:val="0"/>
          <w:sz w:val="18"/>
          <w:szCs w:val="18"/>
          <w:lang w:val="en-US" w:eastAsia="zh-CN" w:bidi="ar"/>
        </w:rPr>
        <w:t xml:space="preserve">。 </w:t>
      </w:r>
      <w:r>
        <w:rPr>
          <w:rFonts w:hint="eastAsia" w:ascii="黑体" w:hAnsi="黑体" w:eastAsia="黑体" w:cs="黑体"/>
          <w:color w:val="231F20"/>
          <w:kern w:val="0"/>
          <w:sz w:val="18"/>
          <w:szCs w:val="18"/>
          <w:lang w:val="en-US" w:eastAsia="zh-CN" w:bidi="ar"/>
        </w:rPr>
        <w:t>例如</w:t>
      </w:r>
      <w:r>
        <w:rPr>
          <w:rFonts w:hint="eastAsia" w:ascii="黑体" w:hAnsi="黑体" w:eastAsia="黑体" w:cs="黑体"/>
          <w:color w:val="231F20"/>
          <w:kern w:val="0"/>
          <w:sz w:val="18"/>
          <w:szCs w:val="18"/>
          <w:lang w:val="en-US" w:eastAsia="zh-CN" w:bidi="ar"/>
        </w:rPr>
        <w:t>：</w:t>
      </w:r>
      <w:r>
        <w:rPr>
          <w:rFonts w:hint="eastAsia" w:ascii="黑体" w:hAnsi="黑体" w:eastAsia="黑体" w:cs="黑体"/>
          <w:color w:val="231F20"/>
          <w:kern w:val="0"/>
          <w:sz w:val="18"/>
          <w:szCs w:val="18"/>
          <w:lang w:val="en-US" w:eastAsia="zh-CN" w:bidi="ar"/>
        </w:rPr>
        <w:t>霍尔伯顿学校利用区块链技术帮助学生记录学习行为和课堂活动表现等；</w:t>
      </w:r>
      <w:r>
        <w:rPr>
          <w:rFonts w:hint="eastAsia" w:ascii="黑体" w:hAnsi="黑体" w:eastAsia="黑体" w:cs="黑体"/>
          <w:color w:val="231F20"/>
          <w:kern w:val="0"/>
          <w:sz w:val="18"/>
          <w:szCs w:val="18"/>
          <w:lang w:val="en-US" w:eastAsia="zh-CN" w:bidi="ar"/>
        </w:rPr>
        <w:t xml:space="preserve">立陶宛 </w:t>
      </w:r>
      <w:r>
        <w:rPr>
          <w:rFonts w:hint="eastAsia" w:ascii="黑体" w:hAnsi="黑体" w:eastAsia="黑体" w:cs="黑体"/>
          <w:color w:val="231F20"/>
          <w:kern w:val="0"/>
          <w:sz w:val="20"/>
          <w:szCs w:val="20"/>
          <w:lang w:val="en-US" w:eastAsia="zh-CN" w:bidi="ar"/>
        </w:rPr>
        <w:t xml:space="preserve">BitDegree </w:t>
      </w:r>
      <w:r>
        <w:rPr>
          <w:rFonts w:hint="eastAsia" w:ascii="黑体" w:hAnsi="黑体" w:eastAsia="黑体" w:cs="黑体"/>
          <w:color w:val="231F20"/>
          <w:kern w:val="0"/>
          <w:sz w:val="18"/>
          <w:szCs w:val="18"/>
          <w:lang w:val="en-US" w:eastAsia="zh-CN" w:bidi="ar"/>
        </w:rPr>
        <w:t>平台为在职人员提供学习机会</w:t>
      </w:r>
      <w:r>
        <w:rPr>
          <w:rFonts w:hint="eastAsia" w:ascii="黑体" w:hAnsi="黑体" w:eastAsia="黑体" w:cs="黑体"/>
          <w:color w:val="231F20"/>
          <w:kern w:val="0"/>
          <w:sz w:val="18"/>
          <w:szCs w:val="18"/>
          <w:lang w:val="en-US" w:eastAsia="zh-CN" w:bidi="ar"/>
        </w:rPr>
        <w:t>，</w:t>
      </w:r>
      <w:r>
        <w:rPr>
          <w:rFonts w:hint="eastAsia" w:ascii="黑体" w:hAnsi="黑体" w:eastAsia="黑体" w:cs="黑体"/>
          <w:color w:val="231F20"/>
          <w:kern w:val="0"/>
          <w:sz w:val="18"/>
          <w:szCs w:val="18"/>
          <w:lang w:val="en-US" w:eastAsia="zh-CN" w:bidi="ar"/>
        </w:rPr>
        <w:t>记录并验证考试成绩</w:t>
      </w:r>
      <w:r>
        <w:rPr>
          <w:rFonts w:hint="eastAsia" w:ascii="黑体" w:hAnsi="黑体" w:eastAsia="黑体" w:cs="黑体"/>
          <w:color w:val="231F20"/>
          <w:kern w:val="0"/>
          <w:sz w:val="18"/>
          <w:szCs w:val="18"/>
          <w:lang w:val="en-US" w:eastAsia="zh-CN" w:bidi="ar"/>
        </w:rPr>
        <w:t>、</w:t>
      </w:r>
      <w:r>
        <w:rPr>
          <w:rFonts w:hint="eastAsia" w:ascii="黑体" w:hAnsi="黑体" w:eastAsia="黑体" w:cs="黑体"/>
          <w:color w:val="231F20"/>
          <w:kern w:val="0"/>
          <w:sz w:val="18"/>
          <w:szCs w:val="18"/>
          <w:lang w:val="en-US" w:eastAsia="zh-CN" w:bidi="ar"/>
        </w:rPr>
        <w:t>作业</w:t>
      </w:r>
      <w:r>
        <w:rPr>
          <w:rFonts w:hint="eastAsia" w:ascii="黑体" w:hAnsi="黑体" w:eastAsia="黑体" w:cs="黑体"/>
          <w:color w:val="231F20"/>
          <w:kern w:val="0"/>
          <w:sz w:val="18"/>
          <w:szCs w:val="18"/>
          <w:lang w:val="en-US" w:eastAsia="zh-CN" w:bidi="ar"/>
        </w:rPr>
        <w:t>、</w:t>
      </w:r>
      <w:r>
        <w:rPr>
          <w:rFonts w:hint="eastAsia" w:ascii="黑体" w:hAnsi="黑体" w:eastAsia="黑体" w:cs="黑体"/>
          <w:color w:val="231F20"/>
          <w:kern w:val="0"/>
          <w:sz w:val="18"/>
          <w:szCs w:val="18"/>
          <w:lang w:val="en-US" w:eastAsia="zh-CN" w:bidi="ar"/>
        </w:rPr>
        <w:t>问题解决能力等信息</w:t>
      </w:r>
      <w:r>
        <w:rPr>
          <w:rFonts w:hint="eastAsia" w:ascii="黑体" w:hAnsi="黑体" w:eastAsia="黑体" w:cs="黑体"/>
          <w:color w:val="231F20"/>
          <w:kern w:val="0"/>
          <w:sz w:val="18"/>
          <w:szCs w:val="18"/>
          <w:lang w:val="en-US" w:eastAsia="zh-CN" w:bidi="ar"/>
        </w:rPr>
        <w:t>， 支持利用比特币支付课程费用及申请奖学金等。</w:t>
      </w:r>
    </w:p>
    <w:p>
      <w:pPr>
        <w:keepNext w:val="0"/>
        <w:keepLines w:val="0"/>
        <w:widowControl/>
        <w:suppressLineNumbers w:val="0"/>
        <w:ind w:firstLine="376" w:firstLineChars="200"/>
        <w:jc w:val="left"/>
        <w:rPr>
          <w:rFonts w:hint="eastAsia" w:ascii="黑体" w:hAnsi="黑体" w:cs="黑体" w:eastAsiaTheme="minorEastAsia"/>
          <w:color w:val="231F20"/>
          <w:kern w:val="0"/>
          <w:sz w:val="18"/>
          <w:szCs w:val="18"/>
          <w:lang w:val="en-US" w:eastAsia="zh-CN" w:bidi="ar"/>
        </w:rPr>
      </w:pPr>
      <w:r>
        <w:rPr>
          <w:rFonts w:hint="eastAsia" w:ascii="黑体" w:hAnsi="黑体" w:eastAsia="黑体" w:cs="黑体"/>
          <w:color w:val="231F20"/>
          <w:kern w:val="0"/>
          <w:sz w:val="18"/>
          <w:szCs w:val="18"/>
          <w:lang w:val="en-US" w:eastAsia="zh-CN" w:bidi="ar"/>
        </w:rPr>
        <w:t>研究调查结果显示，区块链高等教育应用主要领域包括数字证书管理、 费用与奖励/资助和学生就业， 如图 1 所示。 所选样本中，25 所高等教育机构（66%）利用区块链技术发放、存储、共享、认证数字证书；10 所高等教育机构（26%）允许 学生利用代币支付学费，以及发放奖学金助学金、获得捐赠等；9 所高等教育机构（24%）利用区块链技术将学生、教育机构和潜在雇主链接，帮助学生就业。 区块链在招生、数字身份、学习档案、评价与指导、学习环境、学分转移、资料审查、学术活动、知识保护等方面的应用较少。 所选样本中，利用区块链技术记录学习档案、对学生与教师等进行评价与指导、管理学习环境的高等教育机构各有 3 所，利用区块链技术进行招生、学分转移和知识保护的高等教育机构各有 2 所，利用区块链技术管理数字身份、审核资料的高等教育机构各有 1 所，没有高等教育机构利用区块链技术管理学术活动。</w:t>
      </w:r>
      <w:r>
        <w:rPr>
          <w:rFonts w:hint="eastAsia" w:ascii="黑体" w:hAnsi="黑体" w:cs="黑体" w:eastAsiaTheme="minorEastAsia"/>
          <w:color w:val="231F20"/>
          <w:kern w:val="0"/>
          <w:sz w:val="18"/>
          <w:szCs w:val="18"/>
          <w:lang w:val="en-US" w:eastAsia="zh-CN" w:bidi="ar"/>
        </w:rPr>
        <w:drawing>
          <wp:inline distT="0" distB="0" distL="114300" distR="114300">
            <wp:extent cx="5803265" cy="3582035"/>
            <wp:effectExtent l="4445" t="4445" r="21590" b="13970"/>
            <wp:docPr id="4" name="图表 4" descr="7b0a202020202263686172745265734964223a20223230343733343530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keepNext w:val="0"/>
        <w:keepLines w:val="0"/>
        <w:widowControl/>
        <w:suppressLineNumbers w:val="0"/>
        <w:ind w:firstLine="360" w:firstLineChars="200"/>
        <w:jc w:val="left"/>
        <w:rPr>
          <w:rFonts w:hint="eastAsia" w:ascii="黑体" w:hAnsi="黑体" w:cs="黑体" w:eastAsiaTheme="minorEastAsia"/>
          <w:color w:val="231F20"/>
          <w:kern w:val="0"/>
          <w:sz w:val="18"/>
          <w:szCs w:val="18"/>
          <w:lang w:val="en-US" w:eastAsia="zh-CN" w:bidi="ar"/>
        </w:rPr>
      </w:pPr>
    </w:p>
    <w:p>
      <w:pPr>
        <w:keepNext w:val="0"/>
        <w:keepLines w:val="0"/>
        <w:widowControl/>
        <w:suppressLineNumbers w:val="0"/>
        <w:ind w:firstLine="420" w:firstLineChars="0"/>
        <w:jc w:val="left"/>
        <w:rPr>
          <w:rFonts w:hint="eastAsia" w:ascii="黑体" w:hAnsi="黑体" w:eastAsia="黑体" w:cs="黑体"/>
        </w:rPr>
      </w:pPr>
      <w:r>
        <w:rPr>
          <w:rFonts w:hint="eastAsia" w:ascii="黑体" w:hAnsi="黑体" w:eastAsia="黑体" w:cs="黑体"/>
          <w:color w:val="231F20"/>
          <w:kern w:val="0"/>
          <w:sz w:val="18"/>
          <w:szCs w:val="18"/>
          <w:lang w:val="en-US" w:eastAsia="zh-CN" w:bidi="ar"/>
        </w:rPr>
        <w:t>区块链技术可以实现多方输入、分布式存储数据、应对多方输入造成的信任缺失、 实现非中介化交易关联、按照特定规则自动交易、利用交易日志进行验证、实现价值存储等。 在信息技术快速发展的背景下，区块链技术对高等教育改革有积极作用。 它不仅可以进行教育全方位精准画像，赋予学生对其学习记录的自主权和控制权，提高高等教育机构的工作效率，还可以推进高等教育机构、学生、潜在雇主新型关系的重构。 当前， 高等教育机构以各种创新的方式将区块链技术应用于不同的教育情境其中数字证书管理、费用与奖励</w:t>
      </w:r>
      <w:r>
        <w:rPr>
          <w:rFonts w:hint="eastAsia" w:ascii="黑体" w:hAnsi="黑体" w:eastAsia="黑体" w:cs="黑体"/>
          <w:color w:val="231F20"/>
          <w:kern w:val="0"/>
          <w:sz w:val="20"/>
          <w:szCs w:val="20"/>
          <w:lang w:val="en-US" w:eastAsia="zh-CN" w:bidi="ar"/>
        </w:rPr>
        <w:t>/</w:t>
      </w:r>
      <w:r>
        <w:rPr>
          <w:rFonts w:hint="eastAsia" w:ascii="黑体" w:hAnsi="黑体" w:eastAsia="黑体" w:cs="黑体"/>
          <w:color w:val="231F20"/>
          <w:kern w:val="0"/>
          <w:sz w:val="18"/>
          <w:szCs w:val="18"/>
          <w:lang w:val="en-US" w:eastAsia="zh-CN" w:bidi="ar"/>
        </w:rPr>
        <w:t xml:space="preserve">资助、学生就业是最主要的应用。 同时，高等教育机构已开始探究区块链技术在学习档案、评价与指导、学习环境、学分转移、知识保护、数字身份和资料审查等方面的应用。 </w:t>
      </w:r>
    </w:p>
    <w:p>
      <w:pPr>
        <w:keepNext w:val="0"/>
        <w:keepLines w:val="0"/>
        <w:widowControl/>
        <w:suppressLineNumbers w:val="0"/>
        <w:ind w:firstLine="420" w:firstLineChars="0"/>
        <w:jc w:val="left"/>
        <w:rPr>
          <w:rFonts w:hint="eastAsia" w:ascii="黑体" w:hAnsi="黑体" w:eastAsia="黑体" w:cs="黑体"/>
        </w:rPr>
      </w:pPr>
      <w:r>
        <w:rPr>
          <w:rFonts w:hint="eastAsia" w:ascii="黑体" w:hAnsi="黑体" w:eastAsia="黑体" w:cs="黑体"/>
          <w:color w:val="231F20"/>
          <w:kern w:val="0"/>
          <w:sz w:val="18"/>
          <w:szCs w:val="18"/>
          <w:lang w:val="en-US" w:eastAsia="zh-CN" w:bidi="ar"/>
        </w:rPr>
        <w:t xml:space="preserve">然而， 大多数高等教育机构仅提出了相关规划或正处于试点测试阶段， 区块链技术在高等教育领域中的应用仍处于初级阶段， 其广泛应用仍面临很多问题和挑战。 从技术角度看，区块链技术在高等教育中的应用面临可扩展性、集成性、数据隐私、数据安全、延迟和标准化等挑战；从推广角度看，区块链技术教育应用仍存在推广度低、数字鸿沟大、实施成本高等问题。高等教育机构应充分意识到区块链技术的优势与不足，消除应用区块链技术的障碍，抓住区块链重塑未来高等教育的机遇。 </w:t>
      </w:r>
    </w:p>
    <w:p>
      <w:pPr>
        <w:keepNext w:val="0"/>
        <w:keepLines w:val="0"/>
        <w:widowControl/>
        <w:suppressLineNumbers w:val="0"/>
        <w:ind w:firstLine="420" w:firstLineChars="0"/>
        <w:jc w:val="left"/>
        <w:rPr>
          <w:rFonts w:hint="eastAsia" w:ascii="黑体" w:hAnsi="黑体" w:eastAsia="黑体" w:cs="黑体"/>
        </w:rPr>
      </w:pPr>
      <w:r>
        <w:rPr>
          <w:rFonts w:hint="eastAsia" w:ascii="黑体" w:hAnsi="黑体" w:eastAsia="黑体" w:cs="黑体"/>
          <w:color w:val="231F20"/>
          <w:kern w:val="0"/>
          <w:sz w:val="18"/>
          <w:szCs w:val="18"/>
          <w:lang w:val="en-US" w:eastAsia="zh-CN" w:bidi="ar"/>
        </w:rPr>
        <w:t>高等教育机构应当加强对区块链技术的研究，提高区块链技术的成熟度。 虽然，区块链技术通过去中心化可以实现数据安全，但是仍面临被攻击的风险。 高等教育机构应避免数据篡改、泄露等问题，保护学生、教师、机构的数据隐私和安全；加强学生化名与真实身份的映射关系，避免匿名化泛滥带来的数据监控问题。 同时，还应提高区块链技术的可扩展性，打破区块链交易速度低的瓶颈，以应对高等教育机构学生人数众多、教育数据庞大的挑战。 此外，高等教育机构应当设计或选用操作界面简单易操作的平台或程序，为所有师生提供技术支持，从而提高区块链的可用性和师生接受度；还要增加区块链应用的成本投入，鼓励科研人员加强区块链技术平台或程序的设计与开发，购置数据存储设备和应用设备，保证数据的存储、管理。</w:t>
      </w:r>
    </w:p>
    <w:p>
      <w:pPr>
        <w:keepNext w:val="0"/>
        <w:keepLines w:val="0"/>
        <w:widowControl/>
        <w:suppressLineNumbers w:val="0"/>
        <w:ind w:firstLine="360" w:firstLineChars="200"/>
        <w:jc w:val="left"/>
        <w:rPr>
          <w:rFonts w:hint="eastAsia" w:ascii="黑体" w:hAnsi="黑体" w:cs="黑体" w:eastAsiaTheme="minorEastAsia"/>
          <w:color w:val="231F20"/>
          <w:kern w:val="0"/>
          <w:sz w:val="18"/>
          <w:szCs w:val="18"/>
          <w:lang w:val="en-US" w:eastAsia="zh-CN" w:bidi="ar"/>
        </w:rPr>
      </w:pPr>
    </w:p>
    <w:p>
      <w:pPr>
        <w:keepNext w:val="0"/>
        <w:keepLines w:val="0"/>
        <w:widowControl/>
        <w:suppressLineNumbers w:val="0"/>
        <w:ind w:firstLine="360" w:firstLineChars="200"/>
        <w:jc w:val="left"/>
        <w:rPr>
          <w:rFonts w:hint="eastAsia" w:ascii="黑体" w:hAnsi="黑体" w:cs="黑体" w:eastAsiaTheme="minorEastAsia"/>
          <w:color w:val="231F20"/>
          <w:kern w:val="0"/>
          <w:sz w:val="18"/>
          <w:szCs w:val="18"/>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KTJ">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 w:name="DLF-32769-4-236465212">
    <w:altName w:val="AlienCaret"/>
    <w:panose1 w:val="00000000000000000000"/>
    <w:charset w:val="00"/>
    <w:family w:val="auto"/>
    <w:pitch w:val="default"/>
    <w:sig w:usb0="00000000" w:usb1="00000000" w:usb2="00000000" w:usb3="00000000" w:csb0="00000000" w:csb1="00000000"/>
  </w:font>
  <w:font w:name="DLF-3-0-204220972">
    <w:altName w:val="AlienCaret"/>
    <w:panose1 w:val="00000000000000000000"/>
    <w:charset w:val="00"/>
    <w:family w:val="auto"/>
    <w:pitch w:val="default"/>
    <w:sig w:usb0="00000000" w:usb1="00000000" w:usb2="00000000" w:usb3="00000000" w:csb0="00000000" w:csb1="00000000"/>
  </w:font>
  <w:font w:name="DLF-32769-4-840447407">
    <w:altName w:val="AlienCaret"/>
    <w:panose1 w:val="00000000000000000000"/>
    <w:charset w:val="00"/>
    <w:family w:val="auto"/>
    <w:pitch w:val="default"/>
    <w:sig w:usb0="00000000" w:usb1="00000000" w:usb2="00000000" w:usb3="00000000" w:csb0="00000000" w:csb1="00000000"/>
  </w:font>
  <w:font w:name="DLF-3-0-1779382706">
    <w:altName w:val="AlienCaret"/>
    <w:panose1 w:val="00000000000000000000"/>
    <w:charset w:val="00"/>
    <w:family w:val="auto"/>
    <w:pitch w:val="default"/>
    <w:sig w:usb0="00000000" w:usb1="00000000" w:usb2="00000000" w:usb3="00000000" w:csb0="00000000" w:csb1="00000000"/>
  </w:font>
  <w:font w:name="DLF-32769-4-778568146">
    <w:altName w:val="AlienCaret"/>
    <w:panose1 w:val="00000000000000000000"/>
    <w:charset w:val="00"/>
    <w:family w:val="auto"/>
    <w:pitch w:val="default"/>
    <w:sig w:usb0="00000000" w:usb1="00000000" w:usb2="00000000" w:usb3="00000000" w:csb0="00000000" w:csb1="00000000"/>
  </w:font>
  <w:font w:name="DLF-3-0-263275248">
    <w:altName w:val="AlienCare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0ODFhNGI5NmZiY2M2M2U0ZTNhNThkYmY1Y2E1ODUifQ=="/>
  </w:docVars>
  <w:rsids>
    <w:rsidRoot w:val="16AA1425"/>
    <w:rsid w:val="16AA1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4920303109485"/>
          <c:y val="0.276295479603087"/>
          <c:w val="0.791795139796185"/>
          <c:h val="0.568335170893054"/>
        </c:manualLayout>
      </c:layout>
      <c:barChart>
        <c:barDir val="bar"/>
        <c:grouping val="stacked"/>
        <c:varyColors val="0"/>
        <c:ser>
          <c:idx val="0"/>
          <c:order val="0"/>
          <c:tx>
            <c:strRef>
              <c:f>Sheet1!$B$1</c:f>
              <c:strCache>
                <c:ptCount val="1"/>
                <c:pt idx="0">
                  <c:v/>
                </c:pt>
              </c:strCache>
            </c:strRef>
          </c:tx>
          <c:spPr>
            <a:solidFill>
              <a:schemeClr val="accent1"/>
            </a:solidFill>
            <a:ln>
              <a:noFill/>
            </a:ln>
            <a:effectLst/>
          </c:spPr>
          <c:invertIfNegative val="0"/>
          <c:dLbls>
            <c:delete val="1"/>
          </c:dLbls>
          <c:cat>
            <c:strRef>
              <c:f>Sheet1!$A$2:$A$13</c:f>
              <c:strCache>
                <c:ptCount val="12"/>
                <c:pt idx="0">
                  <c:v>招生</c:v>
                </c:pt>
                <c:pt idx="1">
                  <c:v>数字身份</c:v>
                </c:pt>
                <c:pt idx="2">
                  <c:v>学习档案</c:v>
                </c:pt>
                <c:pt idx="3">
                  <c:v>评价与指导</c:v>
                </c:pt>
                <c:pt idx="4">
                  <c:v>学习环境</c:v>
                </c:pt>
                <c:pt idx="5">
                  <c:v>费用交易</c:v>
                </c:pt>
                <c:pt idx="6">
                  <c:v>学分转移</c:v>
                </c:pt>
                <c:pt idx="7">
                  <c:v>资料审查</c:v>
                </c:pt>
                <c:pt idx="8">
                  <c:v>学术活动</c:v>
                </c:pt>
                <c:pt idx="9">
                  <c:v>知识保护</c:v>
                </c:pt>
                <c:pt idx="10">
                  <c:v>学生就业</c:v>
                </c:pt>
                <c:pt idx="11">
                  <c:v>数字证书</c:v>
                </c:pt>
              </c:strCache>
            </c:strRef>
          </c:cat>
          <c:val>
            <c:numRef>
              <c:f>Sheet1!$B$2:$B$13</c:f>
              <c:numCache>
                <c:formatCode>General</c:formatCode>
                <c:ptCount val="12"/>
                <c:pt idx="0">
                  <c:v>2</c:v>
                </c:pt>
                <c:pt idx="1">
                  <c:v>1</c:v>
                </c:pt>
                <c:pt idx="2">
                  <c:v>3</c:v>
                </c:pt>
                <c:pt idx="3">
                  <c:v>3</c:v>
                </c:pt>
                <c:pt idx="4">
                  <c:v>3</c:v>
                </c:pt>
                <c:pt idx="5">
                  <c:v>10</c:v>
                </c:pt>
                <c:pt idx="6">
                  <c:v>2</c:v>
                </c:pt>
                <c:pt idx="7">
                  <c:v>1</c:v>
                </c:pt>
                <c:pt idx="8">
                  <c:v>0</c:v>
                </c:pt>
                <c:pt idx="9">
                  <c:v>3</c:v>
                </c:pt>
                <c:pt idx="10">
                  <c:v>9</c:v>
                </c:pt>
                <c:pt idx="11">
                  <c:v>25</c:v>
                </c:pt>
              </c:numCache>
            </c:numRef>
          </c:val>
        </c:ser>
        <c:ser>
          <c:idx val="1"/>
          <c:order val="1"/>
          <c:tx>
            <c:strRef>
              <c:f>Sheet1!$C$1</c:f>
              <c:strCache>
                <c:ptCount val="1"/>
                <c:pt idx="0">
                  <c:v/>
                </c:pt>
              </c:strCache>
            </c:strRef>
          </c:tx>
          <c:spPr>
            <a:solidFill>
              <a:schemeClr val="accent2"/>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a:solidFill>
                        <a:schemeClr val="tx1">
                          <a:lumMod val="35000"/>
                          <a:lumOff val="65000"/>
                        </a:schemeClr>
                      </a:solidFill>
                    </a:ln>
                    <a:effectLst/>
                  </c:spPr>
                </c15:leaderLines>
              </c:ext>
            </c:extLst>
          </c:dLbls>
          <c:cat>
            <c:strRef>
              <c:f>Sheet1!$A$2:$A$13</c:f>
              <c:strCache>
                <c:ptCount val="12"/>
                <c:pt idx="0">
                  <c:v>招生</c:v>
                </c:pt>
                <c:pt idx="1">
                  <c:v>数字身份</c:v>
                </c:pt>
                <c:pt idx="2">
                  <c:v>学习档案</c:v>
                </c:pt>
                <c:pt idx="3">
                  <c:v>评价与指导</c:v>
                </c:pt>
                <c:pt idx="4">
                  <c:v>学习环境</c:v>
                </c:pt>
                <c:pt idx="5">
                  <c:v>费用交易</c:v>
                </c:pt>
                <c:pt idx="6">
                  <c:v>学分转移</c:v>
                </c:pt>
                <c:pt idx="7">
                  <c:v>资料审查</c:v>
                </c:pt>
                <c:pt idx="8">
                  <c:v>学术活动</c:v>
                </c:pt>
                <c:pt idx="9">
                  <c:v>知识保护</c:v>
                </c:pt>
                <c:pt idx="10">
                  <c:v>学生就业</c:v>
                </c:pt>
                <c:pt idx="11">
                  <c:v>数字证书</c:v>
                </c:pt>
              </c:strCache>
            </c:strRef>
          </c:cat>
          <c:val>
            <c:numRef>
              <c:f>Sheet1!$C$2:$C$13</c:f>
              <c:numCache>
                <c:formatCode>General</c:formatCode>
                <c:ptCount val="12"/>
              </c:numCache>
            </c:numRef>
          </c:val>
        </c:ser>
        <c:ser>
          <c:idx val="2"/>
          <c:order val="2"/>
          <c:tx>
            <c:strRef>
              <c:f>Sheet1!$D$1</c:f>
              <c:strCache>
                <c:ptCount val="1"/>
                <c:pt idx="0">
                  <c:v/>
                </c:pt>
              </c:strCache>
            </c:strRef>
          </c:tx>
          <c:spPr>
            <a:solidFill>
              <a:schemeClr val="accent3"/>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a:solidFill>
                        <a:schemeClr val="tx1">
                          <a:lumMod val="35000"/>
                          <a:lumOff val="65000"/>
                        </a:schemeClr>
                      </a:solidFill>
                    </a:ln>
                    <a:effectLst/>
                  </c:spPr>
                </c15:leaderLines>
              </c:ext>
            </c:extLst>
          </c:dLbls>
          <c:cat>
            <c:strRef>
              <c:f>Sheet1!$A$2:$A$13</c:f>
              <c:strCache>
                <c:ptCount val="12"/>
                <c:pt idx="0">
                  <c:v>招生</c:v>
                </c:pt>
                <c:pt idx="1">
                  <c:v>数字身份</c:v>
                </c:pt>
                <c:pt idx="2">
                  <c:v>学习档案</c:v>
                </c:pt>
                <c:pt idx="3">
                  <c:v>评价与指导</c:v>
                </c:pt>
                <c:pt idx="4">
                  <c:v>学习环境</c:v>
                </c:pt>
                <c:pt idx="5">
                  <c:v>费用交易</c:v>
                </c:pt>
                <c:pt idx="6">
                  <c:v>学分转移</c:v>
                </c:pt>
                <c:pt idx="7">
                  <c:v>资料审查</c:v>
                </c:pt>
                <c:pt idx="8">
                  <c:v>学术活动</c:v>
                </c:pt>
                <c:pt idx="9">
                  <c:v>知识保护</c:v>
                </c:pt>
                <c:pt idx="10">
                  <c:v>学生就业</c:v>
                </c:pt>
                <c:pt idx="11">
                  <c:v>数字证书</c:v>
                </c:pt>
              </c:strCache>
            </c:strRef>
          </c:cat>
          <c:val>
            <c:numRef>
              <c:f>Sheet1!$D$2:$D$13</c:f>
              <c:numCache>
                <c:formatCode>General</c:formatCode>
                <c:ptCount val="12"/>
              </c:numCache>
            </c:numRef>
          </c:val>
        </c:ser>
        <c:dLbls>
          <c:showLegendKey val="0"/>
          <c:showVal val="1"/>
          <c:showCatName val="0"/>
          <c:showSerName val="0"/>
          <c:showPercent val="0"/>
          <c:showBubbleSize val="0"/>
        </c:dLbls>
        <c:gapWidth val="79"/>
        <c:overlap val="100"/>
        <c:axId val="780838494"/>
        <c:axId val="423420597"/>
      </c:barChart>
      <c:catAx>
        <c:axId val="78083849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p>
        </c:txPr>
        <c:crossAx val="423420597"/>
        <c:crosses val="autoZero"/>
        <c:auto val="1"/>
        <c:lblAlgn val="ctr"/>
        <c:lblOffset val="100"/>
        <c:noMultiLvlLbl val="0"/>
      </c:catAx>
      <c:valAx>
        <c:axId val="423420597"/>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8083849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2022-10-15T17:40:00Z</dcterms:created>
  <dc:creator>Lit</dc:creator>
  <cp:lastModifiedBy>Lit</cp:lastModifiedBy>
  <dcterms:modified xsi:type="dcterms:W3CDTF">2022-10-15T18:20:59Z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526116557DDF41F8877A17F53A05519E</vt:lpwstr>
  </property>
</Properties>
</file>