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POINT-BY-POINT RESPONSE TO REVIEWERS' COMMENTS</w:t>
      </w:r>
    </w:p>
    <w:p>
      <w:pPr>
        <w:jc w:val="center"/>
      </w:pPr>
      <w:r>
        <w:rPr>
          <w:i/>
          <w:color w:val="555555"/>
          <w:sz w:val="22"/>
        </w:rPr>
        <w:t>Journal of Information and Telecommunication (Taylor &amp; Francis)</w:t>
        <w:br/>
        <w:t>Ref.: Ms. No. 266350252 (Revision Round)</w:t>
      </w:r>
    </w:p>
    <w:p>
      <w:pPr>
        <w:spacing w:after="240"/>
      </w:pP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80" w:type="dxa"/>
              <w:bottom w:w="80" w:type="dxa"/>
              <w:left w:w="100" w:type="dxa"/>
              <w:right w:w="100" w:type="dxa"/>
            </w:tcMar>
          </w:tcPr>
          <w:p>
            <w:r>
              <w:rPr>
                <w:b/>
              </w:rPr>
              <w:t>Manuscript Title:</w:t>
            </w:r>
          </w:p>
        </w:tc>
        <w:tc>
          <w:tcPr>
            <w:tcW w:type="dxa" w:w="6768"/>
            <w:shd w:fill="FAFAFA"/>
            <w:tcMar>
              <w:top w:w="80" w:type="dxa"/>
              <w:bottom w:w="80" w:type="dxa"/>
              <w:left w:w="100" w:type="dxa"/>
              <w:right w:w="100" w:type="dxa"/>
            </w:tcMar>
          </w:tcPr>
          <w:p>
            <w:r>
              <w:t>ViGATs: Vision Graph Attention Networks for Enhanced Plant Leaf Disease Classification</w:t>
            </w:r>
          </w:p>
        </w:tc>
      </w:tr>
      <w:tr>
        <w:tc>
          <w:tcPr>
            <w:tcW w:type="dxa" w:w="2592"/>
            <w:shd w:fill="F0F4F8"/>
            <w:tcMar>
              <w:top w:w="80" w:type="dxa"/>
              <w:bottom w:w="80" w:type="dxa"/>
              <w:left w:w="100" w:type="dxa"/>
              <w:right w:w="100" w:type="dxa"/>
            </w:tcMar>
          </w:tcPr>
          <w:p>
            <w:r>
              <w:rPr>
                <w:b/>
              </w:rPr>
              <w:t>Authors:</w:t>
            </w:r>
          </w:p>
        </w:tc>
        <w:tc>
          <w:tcPr>
            <w:tcW w:type="dxa" w:w="6768"/>
            <w:shd w:fill="FAFAFA"/>
            <w:tcMar>
              <w:top w:w="80" w:type="dxa"/>
              <w:bottom w:w="80" w:type="dxa"/>
              <w:left w:w="100" w:type="dxa"/>
              <w:right w:w="100" w:type="dxa"/>
            </w:tcMar>
          </w:tcPr>
          <w:p>
            <w:r>
              <w:t>Thanh-Hai Tong-Le, Minh-Hai Le, and Thanh-Nghi Doan*</w:t>
            </w:r>
          </w:p>
        </w:tc>
      </w:tr>
      <w:tr>
        <w:tc>
          <w:tcPr>
            <w:tcW w:type="dxa" w:w="2592"/>
            <w:shd w:fill="F0F4F8"/>
            <w:tcMar>
              <w:top w:w="80" w:type="dxa"/>
              <w:bottom w:w="80" w:type="dxa"/>
              <w:left w:w="100" w:type="dxa"/>
              <w:right w:w="100" w:type="dxa"/>
            </w:tcMar>
          </w:tcPr>
          <w:p>
            <w:r>
              <w:rPr>
                <w:b/>
              </w:rPr>
              <w:t>Corresponding Author:</w:t>
            </w:r>
          </w:p>
        </w:tc>
        <w:tc>
          <w:tcPr>
            <w:tcW w:type="dxa" w:w="6768"/>
            <w:shd w:fill="FAFAFA"/>
            <w:tcMar>
              <w:top w:w="80" w:type="dxa"/>
              <w:bottom w:w="80" w:type="dxa"/>
              <w:left w:w="100" w:type="dxa"/>
              <w:right w:w="100" w:type="dxa"/>
            </w:tcMar>
          </w:tcPr>
          <w:p>
            <w:r>
              <w:t>Thanh-Nghi Doan (Email: dtnghi@agu.edu.vn)</w:t>
            </w:r>
          </w:p>
        </w:tc>
      </w:tr>
      <w:tr>
        <w:tc>
          <w:tcPr>
            <w:tcW w:type="dxa" w:w="2592"/>
            <w:shd w:fill="F0F4F8"/>
            <w:tcMar>
              <w:top w:w="80" w:type="dxa"/>
              <w:bottom w:w="80" w:type="dxa"/>
              <w:left w:w="100" w:type="dxa"/>
              <w:right w:w="100" w:type="dxa"/>
            </w:tcMar>
          </w:tcPr>
          <w:p>
            <w:r>
              <w:rPr>
                <w:b/>
              </w:rPr>
              <w:t>Submission Category:</w:t>
            </w:r>
          </w:p>
        </w:tc>
        <w:tc>
          <w:tcPr>
            <w:tcW w:type="dxa" w:w="6768"/>
            <w:shd w:fill="FAFAFA"/>
            <w:tcMar>
              <w:top w:w="80" w:type="dxa"/>
              <w:bottom w:w="80" w:type="dxa"/>
              <w:left w:w="100" w:type="dxa"/>
              <w:right w:w="100" w:type="dxa"/>
            </w:tcMar>
          </w:tcPr>
          <w:p>
            <w:r>
              <w:t>Revised Research Article (Major Revision)</w:t>
            </w:r>
          </w:p>
        </w:tc>
      </w:tr>
    </w:tbl>
    <w:p>
      <w:pPr>
        <w:spacing w:after="240"/>
      </w:pPr>
    </w:p>
    <w:p>
      <w:r>
        <w:rPr>
          <w:b/>
          <w:color w:val="003366"/>
          <w:sz w:val="24"/>
        </w:rPr>
        <w:t>Dear Editor-in-Chief and Esteemed Reviewers,</w:t>
      </w:r>
    </w:p>
    <w:p>
      <w:r>
        <w:t>We express our sincere gratitude to the Editor and the Reviewers for their constructive, thorough, and highly insightful feedback on our manuscript. The reviewers' suggestions have provided crucial guidance for improving the technical rigor, statistical validation, computational profiling, and presentation of our work. In response to the feedback, we have conducted a major overhaul of our experimental protocol and manuscript structure. Specifically:</w:t>
      </w:r>
    </w:p>
    <w:p>
      <w:pPr>
        <w:pStyle w:val="ListBullet"/>
      </w:pPr>
      <w:r>
        <w:rPr>
          <w:b/>
        </w:rPr>
        <w:t xml:space="preserve">Zero Data Leakage &amp; 5-Fold Stratified Cross-Validation: </w:t>
      </w:r>
      <w:r>
        <w:t>We replaced the single train/test evaluation with a strict 5-fold stratified cross-validation protocol (approx. 70% Train, 10% Validation, 20% Test) across all datasets. Early stopping and checkpoint selection are governed strictly by the validation set.</w:t>
      </w:r>
    </w:p>
    <w:p>
      <w:pPr>
        <w:pStyle w:val="ListBullet"/>
      </w:pPr>
      <w:r>
        <w:rPr>
          <w:b/>
        </w:rPr>
        <w:t xml:space="preserve">Sample Mean ± Standard Deviation &amp; Statistical Significance: </w:t>
      </w:r>
      <w:r>
        <w:t>All experimental results are now reported as Mean ± Std over 5 folds, supplemented with Holm-adjusted paired t-tests to establish statistical significance.</w:t>
      </w:r>
    </w:p>
    <w:p>
      <w:pPr>
        <w:pStyle w:val="ListBullet"/>
      </w:pPr>
      <w:r>
        <w:rPr>
          <w:b/>
        </w:rPr>
        <w:t xml:space="preserve">Expanded In-Field &amp; Cross-Domain Benchmarks: </w:t>
      </w:r>
      <w:r>
        <w:t>We replaced the flawed PlantDoc dataset with PlantRaw—a rigorous multicrop in-the-wild benchmark (16,165 images, 35 classes, 10 crops)—and evaluated unseen aerial drone zero-shot transfer on IIITDMJ Maize.</w:t>
      </w:r>
    </w:p>
    <w:p>
      <w:pPr>
        <w:pStyle w:val="ListBullet"/>
      </w:pPr>
      <w:r>
        <w:rPr>
          <w:b/>
        </w:rPr>
        <w:t xml:space="preserve">Real Hardware Profiling on Edge AI Platform: </w:t>
      </w:r>
      <w:r>
        <w:t>We conducted physical hardware profiling on an NVIDIA RTX 5070 Ti GPU, reporting Params, GFLOPs, peak VRAM memory (MB), and inference speed (FPS/Latency).</w:t>
      </w:r>
    </w:p>
    <w:p>
      <w:pPr>
        <w:pStyle w:val="ListBullet"/>
      </w:pPr>
      <w:r>
        <w:rPr>
          <w:b/>
        </w:rPr>
        <w:t xml:space="preserve">Clarification of GNN Novelty &amp; Baselines: </w:t>
      </w:r>
      <w:r>
        <w:t>We corrected the theoretical motivation regarding MRConv (clarifying channel-wise maximum), distinguished ViGATs from AttentionViG and GAT/GATv2, and added 10+ modern SOTA baselines (Swin Transformer, ConvNeXt, EfficientNetV2, MambaOut, FastViT, RepViT, EfficientViT).</w:t>
      </w:r>
    </w:p>
    <w:p>
      <w:pPr>
        <w:pStyle w:val="ListBullet"/>
      </w:pPr>
      <w:r>
        <w:rPr>
          <w:b/>
        </w:rPr>
        <w:t xml:space="preserve">Extended Ablations &amp; Explainability: </w:t>
      </w:r>
      <w:r>
        <w:t>We added multi-factor ablations (attention heads H, hidden dimension C, layer depth L, activations, time/epoch) and visual attention maps.</w:t>
      </w:r>
    </w:p>
    <w:p>
      <w:r>
        <w:t>Below is our comprehensive, point-by-point response to all comments raised by each reviewer.</w:t>
      </w:r>
    </w:p>
    <w:p>
      <w:r>
        <w:rPr>
          <w:b/>
          <w:color w:val="800000"/>
          <w:sz w:val="28"/>
        </w:rPr>
        <w:t>RESPONSE TO REVIEWER #1</w:t>
      </w: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1.1: </w:t>
            </w:r>
            <w:r>
              <w:rPr>
                <w:i/>
              </w:rPr>
              <w:t>While the reported improvements are promising, the paper does not clearly discuss the statistical significance of the performance gains. Confidence intervals or statistical significance tests would strengthen the validity of the conclusions.</w:t>
            </w:r>
          </w:p>
        </w:tc>
      </w:tr>
    </w:tbl>
    <w:p>
      <w:pPr>
        <w:spacing w:after="80"/>
      </w:pPr>
    </w:p>
    <w:p>
      <w:r>
        <w:rPr>
          <w:b/>
          <w:color w:val="006633"/>
        </w:rPr>
        <w:t xml:space="preserve">Author Response: </w:t>
      </w:r>
      <w:r>
        <w:t>We completely agree with the reviewer. To address this essential requirement, we migrated our entire experimental evaluation to a rigorous 5-Fold Stratified Cross-Validation protocol. For every benchmark, we now report the sample mean and standard deviation (Mean ± Std). Furthermore, we conducted pairwise Holm-adjusted t-tests between ViGATs and all comparative baselines. The resulting p-values (p_Holm) are explicitly listed in Table 4 (PlantVillage, Maize, Rice V2), Table 5 (PlantRaw), and Table 7 (Tiny ImageNet), demonstrating that ViGATs's gains over standard CNNs and Transformers are statistically significant (p &lt; 0.001).</w:t>
      </w:r>
    </w:p>
    <w:p>
      <w:r>
        <w:rPr>
          <w:b/>
          <w:i/>
          <w:color w:val="663300"/>
        </w:rPr>
        <w:t xml:space="preserve">Manuscript Changes: </w:t>
      </w:r>
      <w:r>
        <w:t>Updated Sections 4.3, 5.2, 5.3, and Tables 4, 5, 7 in the revised manuscript.</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1.2: </w:t>
            </w:r>
            <w:r>
              <w:rPr>
                <w:i/>
              </w:rPr>
              <w:t>The experiments appear to rely on a single training configuration. Reporting results across multiple random seeds would provide stronger evidence regarding the robustness and stability of the proposed approach.</w:t>
            </w:r>
          </w:p>
        </w:tc>
      </w:tr>
    </w:tbl>
    <w:p>
      <w:pPr>
        <w:spacing w:after="80"/>
      </w:pPr>
    </w:p>
    <w:p>
      <w:r>
        <w:rPr>
          <w:b/>
          <w:color w:val="006633"/>
        </w:rPr>
        <w:t xml:space="preserve">Author Response: </w:t>
      </w:r>
      <w:r>
        <w:t>Thank you for this critical point. By adopting 5-Fold Stratified Cross-Validation across independent partition folds (Train ~70%, Val ~10%, Test ~20%), our evaluation inherently accounts for variance across different data subsets and initialization trajectories. Across all 5 folds, ViGATs demonstrates exceptionally low standard deviation (e.g., 99.75 ± 0.06% on PlantVillage, 98.58 ± 0.39% on Maize, 99.93 ± 0.11% on Rice V2, 86.12 ± 0.61% on PlantRaw), confirming the stability and reproducibility of the architecture.</w:t>
      </w:r>
    </w:p>
    <w:p>
      <w:r>
        <w:rPr>
          <w:b/>
          <w:i/>
          <w:color w:val="663300"/>
        </w:rPr>
        <w:t xml:space="preserve">Manuscript Changes: </w:t>
      </w:r>
      <w:r>
        <w:t>Detailed fold-wise statistics and variance metrics are provided in Tables 4, 5, 6, 7.</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1.3: </w:t>
            </w:r>
            <w:r>
              <w:rPr>
                <w:i/>
              </w:rPr>
              <w:t>Although parameter counts are reported, a more detailed analysis of computational efficiency, including inference time, memory consumption, and deployment costs on edge devices, would better support the claim that the model is suitable for resource-constrained environments.</w:t>
            </w:r>
          </w:p>
        </w:tc>
      </w:tr>
    </w:tbl>
    <w:p>
      <w:pPr>
        <w:spacing w:after="80"/>
      </w:pPr>
    </w:p>
    <w:p>
      <w:r>
        <w:rPr>
          <w:b/>
          <w:color w:val="006633"/>
        </w:rPr>
        <w:t xml:space="preserve">Author Response: </w:t>
      </w:r>
      <w:r>
        <w:t>We appreciate this constructive suggestion. We conducted comprehensive hardware benchmarking on an NVIDIA GeForce RTX 5070 Ti GPU (Ubuntu 24.04, FP32 precision, batch size 256, 64x64 resolution). We measured: (1) Total Parameter count (4.67M), (2) FLOPs (1.13 GFLOPs), (3) Peak VRAM Memory consumption (129.8 MB), and (4) Real-world inference throughput (74.0 FPS, latency 13.5 ms/batch). This demonstrates that ViGATs delivers near-CNN throughput and low memory footprint while maintaining superior accuracy.</w:t>
      </w:r>
    </w:p>
    <w:p>
      <w:r>
        <w:rPr>
          <w:b/>
          <w:i/>
          <w:color w:val="663300"/>
        </w:rPr>
        <w:t xml:space="preserve">Manuscript Changes: </w:t>
      </w:r>
      <w:r>
        <w:t>A dedicated computational complexity table (Table 2) and discussion have been added to Section 3.6.</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1.4: </w:t>
            </w:r>
            <w:r>
              <w:rPr>
                <w:i/>
              </w:rPr>
              <w:t>The datasets used, while diverse, primarily consist of benchmark datasets. Additional discussion regarding generalization to real-world field conditions, varying illumination, occlusions, and image quality would strengthen the practical relevance of the work.</w:t>
            </w:r>
          </w:p>
        </w:tc>
      </w:tr>
    </w:tbl>
    <w:p>
      <w:pPr>
        <w:spacing w:after="80"/>
      </w:pPr>
    </w:p>
    <w:p>
      <w:r>
        <w:rPr>
          <w:b/>
          <w:color w:val="006633"/>
        </w:rPr>
        <w:t xml:space="preserve">Author Response: </w:t>
      </w:r>
      <w:r>
        <w:t>We fully agree. To validate real-world generalization, we introduced two major additions: (1) The PlantRaw benchmark dataset, comprising 16,165 in-the-wild images across 35 disease classes from 10 crops under unconstrained illumination and complex foliage occlusion (where ViGATs achieves 86.12% accuracy vs. ResNet-18 79.64% and ViT 70.91%); and (2) An unseen aerial drone cross-domain transfer benchmark (IIITDMJ), evaluating close-up trained models directly on aerial drone imagery without fine-tuning (where ViGATs achieves 71.30% zero-shot accuracy).</w:t>
      </w:r>
    </w:p>
    <w:p>
      <w:r>
        <w:rPr>
          <w:b/>
          <w:i/>
          <w:color w:val="663300"/>
        </w:rPr>
        <w:t xml:space="preserve">Manuscript Changes: </w:t>
      </w:r>
      <w:r>
        <w:t>Detailed analysis added in Sections 4.1.1, 5.2.1 (PlantRaw), Section 5.3 (IIITDMJ Drone), and Section 6.3.</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1.5: </w:t>
            </w:r>
            <w:r>
              <w:rPr>
                <w:i/>
              </w:rPr>
              <w:t>The improvements over the original ViG architecture, although consistent, should be discussed in relation to the added complexity introduced by the attention mechanism to better justify the trade-off between performance and computational cost.</w:t>
            </w:r>
          </w:p>
        </w:tc>
      </w:tr>
    </w:tbl>
    <w:p>
      <w:pPr>
        <w:spacing w:after="80"/>
      </w:pPr>
    </w:p>
    <w:p>
      <w:r>
        <w:rPr>
          <w:b/>
          <w:color w:val="006633"/>
        </w:rPr>
        <w:t xml:space="preserve">Author Response: </w:t>
      </w:r>
      <w:r>
        <w:t>Thank you for highlighting this trade-off. We added a dedicated structural comparison (Table 1) and complexity analysis (Table 2) across Vision GNN operators. While standard dynamic attention (GATv2) increases computation to 1.81 GFLOPs (+72% over ViG's 1.05 GFLOPs), our proposed GATConv utilizes grouped linear projections, requiring only 1.13 GFLOPs (+7.6% over ViG, saving 37.6% GFLOPs compared to GATv2). This modest computational overhead yields significant accuracy improvements on challenging real-world datasets (+1.11% on PlantRaw, +7.60% on unseen drone transfer).</w:t>
      </w:r>
    </w:p>
    <w:p>
      <w:r>
        <w:rPr>
          <w:b/>
          <w:i/>
          <w:color w:val="663300"/>
        </w:rPr>
        <w:t xml:space="preserve">Manuscript Changes: </w:t>
      </w:r>
      <w:r>
        <w:t>Incorporated into Sections 3.5, 3.6, Table 1, and Section 6.1.</w:t>
      </w:r>
    </w:p>
    <w:p>
      <w:pPr>
        <w:spacing w:after="160"/>
      </w:pPr>
    </w:p>
    <w:p>
      <w:r>
        <w:rPr>
          <w:b/>
          <w:color w:val="800000"/>
          <w:sz w:val="28"/>
        </w:rPr>
        <w:t>RESPONSE TO REVIEWER #2</w:t>
      </w: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2.1: </w:t>
            </w:r>
            <w:r>
              <w:rPr>
                <w:i/>
              </w:rPr>
              <w:t>Only a train-test split is defined, although early stopping, best-checkpoint selection and repeated performance monitoring are reported. Figures 4 and 5 explicitly show test metrics during training, suggesting that the test set influenced model selection. A separate validation set and duplicate-aware splitting are essential, particularly for PlantVillage.</w:t>
            </w:r>
          </w:p>
        </w:tc>
      </w:tr>
    </w:tbl>
    <w:p>
      <w:pPr>
        <w:spacing w:after="80"/>
      </w:pPr>
    </w:p>
    <w:p>
      <w:r>
        <w:rPr>
          <w:b/>
          <w:color w:val="006633"/>
        </w:rPr>
        <w:t xml:space="preserve">Author Response: </w:t>
      </w:r>
      <w:r>
        <w:t>We are deeply grateful to the reviewer for identifying this fundamental methodological issue. In this revised manuscript, we completely eliminated any possibility of data leakage by establishing a strict 3-way split within a 5-Fold Stratified Cross-Validation scheme: ~70% Training, ~10% Validation, and ~20% Test. Early stopping (patience = 15) and best-checkpoint selection are exclusively governed by validation accuracy. The held-out test split is evaluated only once on the finalized model checkpoint. Figures 4 and 5 from the original draft have been replaced with validation-only optimization traces (Figure 6). Furthermore, all image duplicates and augmentation operations were confined strictly within training folds.</w:t>
      </w:r>
    </w:p>
    <w:p>
      <w:r>
        <w:rPr>
          <w:b/>
          <w:i/>
          <w:color w:val="663300"/>
        </w:rPr>
        <w:t xml:space="preserve">Manuscript Changes: </w:t>
      </w:r>
      <w:r>
        <w:t>Revised experimental protocol detailed in Section 4.2, Table 3, and Figure 6.</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2.2: </w:t>
            </w:r>
            <w:r>
              <w:rPr>
                <w:i/>
              </w:rPr>
              <w:t>The reported improvements are also too small to demonstrate superiority from a single run. The gains over ViG are only 0.08 percentage points on PlantVillage and 0.23 points on Tiny ImageNet. The authors should repeat the experiments with multiple seeds and report confidence intervals, standard deviations and paired significance tests.</w:t>
            </w:r>
          </w:p>
        </w:tc>
      </w:tr>
    </w:tbl>
    <w:p>
      <w:pPr>
        <w:spacing w:after="80"/>
      </w:pPr>
    </w:p>
    <w:p>
      <w:r>
        <w:rPr>
          <w:b/>
          <w:color w:val="006633"/>
        </w:rPr>
        <w:t xml:space="preserve">Author Response: </w:t>
      </w:r>
      <w:r>
        <w:t>We fully agree. Across 5-fold cross-validation, we observed that while lab-curated PlantVillage is near saturation (&gt;99.7%), the true superiority of ViGATs emerges on challenging in-the-wild and transfer datasets: on PlantRaw, ViGATs achieves 86.12 ± 0.61% vs. ViG 85.01 ± 2.00% (+1.11% gain with much higher stability); on Tiny ImageNet from scratch, ViGATs reaches 45.73 ± 0.26% vs. non-GNN SOTA 37.50% (p &lt; 0.001); and on unseen drone transfer, ViGATs achieves 71.30 ± 4.10% vs. ViG 63.70 ± 5.25% (+7.60% gain). All metrics now include standard deviations and Holm-adjusted paired t-tests.</w:t>
      </w:r>
    </w:p>
    <w:p>
      <w:r>
        <w:rPr>
          <w:b/>
          <w:i/>
          <w:color w:val="663300"/>
        </w:rPr>
        <w:t xml:space="preserve">Manuscript Changes: </w:t>
      </w:r>
      <w:r>
        <w:t>Updated Tables 4, 5, 6, 7 with 5-fold mean ± std and statistical significance.</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2.3: </w:t>
            </w:r>
            <w:r>
              <w:rPr>
                <w:i/>
              </w:rPr>
              <w:t>The novelty must be clarified against AttentionViG (2025), which already introduced attention-based neighbour aggregation into Vision GNNs. Comparisons with standard GAT/GATv2, AttentionViG and parameter-matched baselines are needed. Ablations should separately examine the attention mechanism, number of heads, difference features and grouped projection.</w:t>
            </w:r>
          </w:p>
        </w:tc>
      </w:tr>
    </w:tbl>
    <w:p>
      <w:pPr>
        <w:spacing w:after="80"/>
      </w:pPr>
    </w:p>
    <w:p>
      <w:r>
        <w:rPr>
          <w:b/>
          <w:color w:val="006633"/>
        </w:rPr>
        <w:t xml:space="preserve">Author Response: </w:t>
      </w:r>
      <w:r>
        <w:t>We sincerely appreciate this comment. First, regarding AttentionViG (Gedik et al., 2025): it is a concurrent preprint on arXiv (arXiv:2509.25570) whose official codebase has not been made publicly available. Architecturally, AttentionViG utilizes cross-attention across full patch token embeddings. In contrast, ViGATs introduces an Edge-Difference Multi-Head Attention (GATConv) directly computing attention on difference vectors (x_j - x_i) with grouped linear projections. Second, to provide rigorous empirical grounding, we fully implemented and benchmarked the two foundational, peer-reviewed graph attention architectures: Standard GAT (Veličković et al., ICLR 2018) and Dynamic GATv2 (Brody et al., ICLR 2022) across all 5-fold benchmarks. Third, we added extensive ablations on attention heads (H=1,2,4,8), hidden dimension C, depth L, grouped projections, and activations in Table 9.</w:t>
      </w:r>
    </w:p>
    <w:p>
      <w:r>
        <w:rPr>
          <w:b/>
          <w:i/>
          <w:color w:val="663300"/>
        </w:rPr>
        <w:t xml:space="preserve">Manuscript Changes: </w:t>
      </w:r>
      <w:r>
        <w:t>Clarified in Section 2.3 (Related Work), Section 3.5 (Operator Comparison, Table 1), and Section 5.1 (Extended Ablation Table 9).</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2.4: </w:t>
            </w:r>
            <w:r>
              <w:rPr>
                <w:i/>
              </w:rPr>
              <w:t>MRConv does not treat all neighbours equally; its channel-wise maximum selectively retains the strongest responses. The motivation should therefore be technically corrected.</w:t>
            </w:r>
          </w:p>
        </w:tc>
      </w:tr>
    </w:tbl>
    <w:p>
      <w:pPr>
        <w:spacing w:after="80"/>
      </w:pPr>
    </w:p>
    <w:p>
      <w:r>
        <w:rPr>
          <w:b/>
          <w:color w:val="006633"/>
        </w:rPr>
        <w:t xml:space="preserve">Author Response: </w:t>
      </w:r>
      <w:r>
        <w:t>The reviewer is entirely correct. We have thoroughly revised the theoretical motivation in Sections 1 and 3.4. We now explicitly state that MRConv applies a channel-wise hard maximum operation over neighbor differences. We explain that while channel-wise max pooling retains peak feature responses, it enforces a rigid selection that discards subtle, multi-aspect contextual contributions from other neighbors, making it prone to background noise. GATConv overcomes this by learning adaptive, soft multi-head attention weights.</w:t>
      </w:r>
    </w:p>
    <w:p>
      <w:r>
        <w:rPr>
          <w:b/>
          <w:i/>
          <w:color w:val="663300"/>
        </w:rPr>
        <w:t xml:space="preserve">Manuscript Changes: </w:t>
      </w:r>
      <w:r>
        <w:t>Corrected in Section 1 (Introduction) and Section 3.4 (MRConv Baseline).</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2.5: </w:t>
            </w:r>
            <w:r>
              <w:rPr>
                <w:i/>
              </w:rPr>
              <w:t>The efficiency claims are inconsistent with the reported results. ViGATs requires 1.43 GFLOPs compared with 1.05 GFLOPs for ViG, despite using fewer neighbours. Its suitability for resource-constrained deployment cannot be concluded without latency, memory and hardware-based measurements. The claimed KNN complexity should also be revised.</w:t>
            </w:r>
          </w:p>
        </w:tc>
      </w:tr>
    </w:tbl>
    <w:p>
      <w:pPr>
        <w:spacing w:after="80"/>
      </w:pPr>
    </w:p>
    <w:p>
      <w:r>
        <w:rPr>
          <w:b/>
          <w:color w:val="006633"/>
        </w:rPr>
        <w:t xml:space="preserve">Author Response: </w:t>
      </w:r>
      <w:r>
        <w:t>Thank you for pointing out this discrepancy. In our optimized implementation using grouped projections, ViGATs requires only 1.13 GFLOPs (down from the unoptimized 1.43 GFLOPs in the preliminary draft), which is very close to ViG (1.05 GFLOPs) and 37.6% lower than GATv2 (1.81 GFLOPs). We conducted comprehensive physical profiling on an RTX 5070 Ti GPU, recording 129.8 MB VRAM and 74.0 FPS throughput. We also revised the dynamic KNN complexity explanation in Section 3.3.</w:t>
      </w:r>
    </w:p>
    <w:p>
      <w:r>
        <w:rPr>
          <w:b/>
          <w:i/>
          <w:color w:val="663300"/>
        </w:rPr>
        <w:t xml:space="preserve">Manuscript Changes: </w:t>
      </w:r>
      <w:r>
        <w:t>Revised in Section 3.5 (Table 1), Section 3.6 (Table 2), and Section 6.3.</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2.6: </w:t>
            </w:r>
            <w:r>
              <w:rPr>
                <w:i/>
              </w:rPr>
              <w:t>The attention visualizations do not establish that the model focuses on disease regions because no localization annotations or quantitative evidence are provided. Several experimental details, split indices and implementation information are missing.</w:t>
            </w:r>
          </w:p>
        </w:tc>
      </w:tr>
    </w:tbl>
    <w:p>
      <w:pPr>
        <w:spacing w:after="80"/>
      </w:pPr>
    </w:p>
    <w:p>
      <w:r>
        <w:rPr>
          <w:b/>
          <w:color w:val="006633"/>
        </w:rPr>
        <w:t xml:space="preserve">Author Response: </w:t>
      </w:r>
      <w:r>
        <w:t>We have enhanced visual interpretability by adding query-key cosine similarity visualizations (Figure 9) from Grapher block 1 on Rice Blast and Bacterial Blight samples. The heatmaps demonstrate that the model selectively focuses on disconnected lesion spots across the leaf while ignoring healthy foliage. Furthermore, we have published the complete 5-fold cross-validation split indices, preprocessing code, and reproduction scripts on our open GitHub repository (https://github.com/ViGATs-Plant/ViGATs) and archived PlantRaw metadata on Zenodo (DOI: 10.5281/zenodo.21869021).</w:t>
      </w:r>
    </w:p>
    <w:p>
      <w:r>
        <w:rPr>
          <w:b/>
          <w:i/>
          <w:color w:val="663300"/>
        </w:rPr>
        <w:t xml:space="preserve">Manuscript Changes: </w:t>
      </w:r>
      <w:r>
        <w:t>Added Figure 9, Section 6.2, and Data Availability Statement.</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2.7: </w:t>
            </w:r>
            <w:r>
              <w:rPr>
                <w:i/>
              </w:rPr>
              <w:t>The state-of-the-art table contains incorrect method-citation associations.</w:t>
            </w:r>
          </w:p>
        </w:tc>
      </w:tr>
    </w:tbl>
    <w:p>
      <w:pPr>
        <w:spacing w:after="80"/>
      </w:pPr>
    </w:p>
    <w:p>
      <w:r>
        <w:rPr>
          <w:b/>
          <w:color w:val="006633"/>
        </w:rPr>
        <w:t xml:space="preserve">Author Response: </w:t>
      </w:r>
      <w:r>
        <w:t>We apologize for the oversight. We have thoroughly audited Table 3 (Baseline overview) and all subsequent result tables to ensure that every method is accurately associated with its original publication citation (e.g., properly citing He et al. 2016 for ResNet, Liu et al. 2021 for Swin Transformer, and Brody et al. 2022 for GATv2).</w:t>
      </w:r>
    </w:p>
    <w:p>
      <w:r>
        <w:rPr>
          <w:b/>
          <w:i/>
          <w:color w:val="663300"/>
        </w:rPr>
        <w:t xml:space="preserve">Manuscript Changes: </w:t>
      </w:r>
      <w:r>
        <w:t>Citations in Table 3 and across the manuscript have been corrected.</w:t>
      </w:r>
    </w:p>
    <w:p>
      <w:pPr>
        <w:spacing w:after="160"/>
      </w:pPr>
    </w:p>
    <w:p>
      <w:r>
        <w:rPr>
          <w:b/>
          <w:color w:val="800000"/>
          <w:sz w:val="28"/>
        </w:rPr>
        <w:t>RESPONSE TO REVIEWER #3</w:t>
      </w: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3.1: </w:t>
            </w:r>
            <w:r>
              <w:rPr>
                <w:i/>
              </w:rPr>
              <w:t>The manuscript should clearly articulate the theoretical novelty and distinguish ViGATs from prior GAT-based vision models and Vision GNN variants.</w:t>
            </w:r>
          </w:p>
        </w:tc>
      </w:tr>
    </w:tbl>
    <w:p>
      <w:pPr>
        <w:spacing w:after="80"/>
      </w:pPr>
    </w:p>
    <w:p>
      <w:r>
        <w:rPr>
          <w:b/>
          <w:color w:val="006633"/>
        </w:rPr>
        <w:t xml:space="preserve">Author Response: </w:t>
      </w:r>
      <w:r>
        <w:t>We have refined Section 3 to explicitly formulate the theoretical formulation of GATConv. We provided: (1) Algorithm 1 detailing the four-step message passing and attention mechanism, (2) Table 1 comparing MRConv, GAT, GATv2, and GATConv across projection levels and mathematical scoring formulations, and (3) Figure 4 showing the complete numerical calculation flowchart.</w:t>
      </w:r>
    </w:p>
    <w:p>
      <w:r>
        <w:rPr>
          <w:b/>
          <w:i/>
          <w:color w:val="663300"/>
        </w:rPr>
        <w:t xml:space="preserve">Manuscript Changes: </w:t>
      </w:r>
      <w:r>
        <w:t>Detailed in Section 3.5, Algorithm 1, Table 1, and Figure 4.</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3.2: </w:t>
            </w:r>
            <w:r>
              <w:rPr>
                <w:i/>
              </w:rPr>
              <w:t>Performance gains are largely demonstrated on curated datasets, while generalization to real-world scenarios remains limited. The authors should discuss this limitation and propose strategies to improve generalization.</w:t>
            </w:r>
          </w:p>
        </w:tc>
      </w:tr>
    </w:tbl>
    <w:p>
      <w:pPr>
        <w:spacing w:after="80"/>
      </w:pPr>
    </w:p>
    <w:p>
      <w:r>
        <w:rPr>
          <w:b/>
          <w:color w:val="006633"/>
        </w:rPr>
        <w:t xml:space="preserve">Author Response: </w:t>
      </w:r>
      <w:r>
        <w:t>We addressed this by evaluating on two challenging real-world benchmarks: (1) PlantRaw (16,165 images from 9 field sources), where ViGATs achieves 86.12% accuracy, outperforming all CNN and ViT baselines; and (2) Unseen drone aerial transfer on IIITDMJ Maize (71.30% zero-shot accuracy). We also added an in-depth discussion on edge deployment, camera perspective shifts, and future extensions to approximate KNN in Section 6.3.</w:t>
      </w:r>
    </w:p>
    <w:p>
      <w:r>
        <w:rPr>
          <w:b/>
          <w:i/>
          <w:color w:val="663300"/>
        </w:rPr>
        <w:t xml:space="preserve">Manuscript Changes: </w:t>
      </w:r>
      <w:r>
        <w:t>Incorporated in Sections 4.1.1, 5.2.1, 5.3, and 6.3.</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3.3: </w:t>
            </w:r>
            <w:r>
              <w:rPr>
                <w:i/>
              </w:rPr>
              <w:t>The manuscript should include repeated experiments and appropriate statistical analyses (e.g., paired t-test, Wilcoxon signed-rank test, or confidence intervals) to demonstrate that the observed improvements are statistically meaningful.</w:t>
            </w:r>
          </w:p>
        </w:tc>
      </w:tr>
    </w:tbl>
    <w:p>
      <w:pPr>
        <w:spacing w:after="80"/>
      </w:pPr>
    </w:p>
    <w:p>
      <w:r>
        <w:rPr>
          <w:b/>
          <w:color w:val="006633"/>
        </w:rPr>
        <w:t xml:space="preserve">Author Response: </w:t>
      </w:r>
      <w:r>
        <w:t>We agree that statistical validation is essential. As addressed in our responses to Reviewers 1 and 2, we overhauled the experimental setup to use 5-Fold Stratified Cross-Validation, reporting the mean and standard deviation. Furthermore, we conducted Holm-adjusted paired t-tests, confirming that the improvements of ViGATs over the baselines are statistically significant (p &lt; 0.001).</w:t>
      </w:r>
    </w:p>
    <w:p>
      <w:r>
        <w:rPr>
          <w:b/>
          <w:i/>
          <w:color w:val="663300"/>
        </w:rPr>
        <w:t xml:space="preserve">Manuscript Changes: </w:t>
      </w:r>
      <w:r>
        <w:t>Added statistical significance tests to Tables 4, 5, 6, and 7.</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3.4: </w:t>
            </w:r>
            <w:r>
              <w:rPr>
                <w:i/>
              </w:rPr>
              <w:t>Multi-head graph attention increases computational overhead. However, the manuscript does not provide comparisons of training time, inference speed, FLOPs, memory consumption, parameter count, or latency.</w:t>
            </w:r>
          </w:p>
        </w:tc>
      </w:tr>
    </w:tbl>
    <w:p>
      <w:pPr>
        <w:spacing w:after="80"/>
      </w:pPr>
    </w:p>
    <w:p>
      <w:r>
        <w:rPr>
          <w:b/>
          <w:color w:val="006633"/>
        </w:rPr>
        <w:t xml:space="preserve">Author Response: </w:t>
      </w:r>
      <w:r>
        <w:t>We have conducted rigorous hardware measurements across all evaluated models on an NVIDIA RTX 5070 Ti GPU. Table 2 now reports: Parameters (4.67M), GFLOPs (1.13), Peak VRAM (129.8 MB), and Inference Throughput (74.0 FPS). Furthermore, Table 9 reports wall-clock training time per epoch (36.6 s/epoch) across various architectural configurations.</w:t>
      </w:r>
    </w:p>
    <w:p>
      <w:r>
        <w:rPr>
          <w:b/>
          <w:i/>
          <w:color w:val="663300"/>
        </w:rPr>
        <w:t xml:space="preserve">Manuscript Changes: </w:t>
      </w:r>
      <w:r>
        <w:t>Added Table 2 (Section 3.6) and Table 9 (Section 5.1).</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3.5: </w:t>
            </w:r>
            <w:r>
              <w:rPr>
                <w:i/>
              </w:rPr>
              <w:t>Additional experiments should evaluate the influence of: Number of attention heads, Hidden dimensions, Graph construction strategy, MLP architecture, Attention activation functions, Number of graph layers.</w:t>
            </w:r>
          </w:p>
        </w:tc>
      </w:tr>
    </w:tbl>
    <w:p>
      <w:pPr>
        <w:spacing w:after="80"/>
      </w:pPr>
    </w:p>
    <w:p>
      <w:r>
        <w:rPr>
          <w:b/>
          <w:color w:val="006633"/>
        </w:rPr>
        <w:t xml:space="preserve">Author Response: </w:t>
      </w:r>
      <w:r>
        <w:t>We conducted an extensive one-factor-at-a-time ablation study (Table 9) systematically examining: (1) Attention heads H in {1, 2, 4, 8}, (2) Grapher blocks L in {4, 6, 8, 12}, (3) Hidden dimension C in {96, 144, 192, 256}, (4) Attention activation functions (LeakyReLU vs. GELU vs. ReLU), and (5) Neighborhood size K in {3, 5, 7, 9} (Table 8).</w:t>
      </w:r>
    </w:p>
    <w:p>
      <w:r>
        <w:rPr>
          <w:b/>
          <w:i/>
          <w:color w:val="663300"/>
        </w:rPr>
        <w:t xml:space="preserve">Manuscript Changes: </w:t>
      </w:r>
      <w:r>
        <w:t>Reported in Section 5.1, Table 8, and Table 9.</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3.6: </w:t>
            </w:r>
            <w:r>
              <w:rPr>
                <w:i/>
              </w:rPr>
              <w:t>Manuscript should compare ViGATs with recent state-of-the-art models, including Vision Transformers, Swin Transformer, ConvNeXt, Mamba-based architectures, EfficientNetV2, and hybrid CNN-transformer networks.</w:t>
            </w:r>
          </w:p>
        </w:tc>
      </w:tr>
    </w:tbl>
    <w:p>
      <w:pPr>
        <w:spacing w:after="80"/>
      </w:pPr>
    </w:p>
    <w:p>
      <w:r>
        <w:rPr>
          <w:b/>
          <w:color w:val="006633"/>
        </w:rPr>
        <w:t xml:space="preserve">Author Response: </w:t>
      </w:r>
      <w:r>
        <w:t>We substantially expanded our baseline comparisons by adding: ConvNeXt-Tiny (2022), EfficientNetV2-S (2021), Swin-T (2021), MambaOut-Tiny (2024 SSM), FastViT-T8 (2023), RepViT-M1 (2024), and EfficientViT-B1 (2023), alongside ResNet-18, ViT, ViG, ViG+GAT, and ViG+GATv2. ViGATs consistently achieves the highest accuracy across all 5-fold benchmarks.</w:t>
      </w:r>
    </w:p>
    <w:p>
      <w:r>
        <w:rPr>
          <w:b/>
          <w:i/>
          <w:color w:val="663300"/>
        </w:rPr>
        <w:t xml:space="preserve">Manuscript Changes: </w:t>
      </w:r>
      <w:r>
        <w:t>Presented in Table 3 (Baseline overview), Tables 4, 5, 6, 7 (Benchmark results), and Table 8 (Summary).</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3.7: </w:t>
            </w:r>
            <w:r>
              <w:rPr>
                <w:i/>
              </w:rPr>
              <w:t>Manuscript should include visualization of attention maps or graph attention weights to illustrate which image regions or graph nodes contribute most to disease classification.</w:t>
            </w:r>
          </w:p>
        </w:tc>
      </w:tr>
    </w:tbl>
    <w:p>
      <w:pPr>
        <w:spacing w:after="80"/>
      </w:pPr>
    </w:p>
    <w:p>
      <w:r>
        <w:rPr>
          <w:b/>
          <w:color w:val="006633"/>
        </w:rPr>
        <w:t xml:space="preserve">Author Response: </w:t>
      </w:r>
      <w:r>
        <w:t>To improve interpretability, we added qualitative visualizations of the query-key cosine similarity (attention maps) in Figure 9. These visualizations confirm that the multi-head edge-difference attention mechanism successfully assigns higher weights to pathological regions (e.g., blast lesions) while suppressing irrelevant background foliage.</w:t>
      </w:r>
    </w:p>
    <w:p>
      <w:r>
        <w:rPr>
          <w:b/>
          <w:i/>
          <w:color w:val="663300"/>
        </w:rPr>
        <w:t xml:space="preserve">Manuscript Changes: </w:t>
      </w:r>
      <w:r>
        <w:t>Added Figure 9 and the corresponding discussion in Section 6.2.</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3.8: </w:t>
            </w:r>
            <w:r>
              <w:rPr>
                <w:i/>
              </w:rPr>
              <w:t>Authors should clarify the data partitioning strategy and ensure that no information leakage has occurred.</w:t>
            </w:r>
          </w:p>
        </w:tc>
      </w:tr>
    </w:tbl>
    <w:p>
      <w:pPr>
        <w:spacing w:after="80"/>
      </w:pPr>
    </w:p>
    <w:p>
      <w:r>
        <w:rPr>
          <w:b/>
          <w:color w:val="006633"/>
        </w:rPr>
        <w:t xml:space="preserve">Author Response: </w:t>
      </w:r>
      <w:r>
        <w:t>We have completely restructured our data partitioning to strictly avoid any information leakage. Specifically, we implemented a rigorous 5-fold stratified cross-validation protocol. In each fold, the dataset is partitioned into strictly disjoint subsets: ~70% Training, ~10% Validation, and ~20% Testing. All augmentations and early stopping criteria are strictly confined to the training and validation sets, respectively, and the test set is kept completely unseen until final evaluation.</w:t>
      </w:r>
    </w:p>
    <w:p>
      <w:r>
        <w:rPr>
          <w:b/>
          <w:i/>
          <w:color w:val="663300"/>
        </w:rPr>
        <w:t xml:space="preserve">Manuscript Changes: </w:t>
      </w:r>
      <w:r>
        <w:t>Clarified the leakage-free data partitioning strategy in Section 4.2.</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EBF3FA"/>
            <w:tcMar>
              <w:top w:w="100" w:type="dxa"/>
              <w:bottom w:w="100" w:type="dxa"/>
              <w:left w:w="150" w:type="dxa"/>
              <w:right w:w="150" w:type="dxa"/>
            </w:tcMar>
          </w:tcPr>
          <w:p>
            <w:r>
              <w:rPr>
                <w:b/>
                <w:color w:val="004080"/>
              </w:rPr>
              <w:t xml:space="preserve">Comment 3.9: </w:t>
            </w:r>
            <w:r>
              <w:rPr>
                <w:i/>
              </w:rPr>
              <w:t>The manuscript lacks qualitative analysis of misclassified samples. Including representative failure cases would provide valuable insight into the limitations of the proposed approach.</w:t>
            </w:r>
          </w:p>
        </w:tc>
      </w:tr>
    </w:tbl>
    <w:p>
      <w:pPr>
        <w:spacing w:after="80"/>
      </w:pPr>
    </w:p>
    <w:p>
      <w:r>
        <w:rPr>
          <w:b/>
          <w:color w:val="006633"/>
        </w:rPr>
        <w:t xml:space="preserve">Author Response: </w:t>
      </w:r>
      <w:r>
        <w:t>We included confusion matrices (Figure 7), t-SNE manifold projections (Figure 8), and an in-depth discussion of misclassified samples in Section 6.3. We analyzed that failure cases primarily occur in severe cross-domain perspective shifts (drone high altitude) or extreme image blur, and outlined actionable avenues for future research (e.g., multi-scale graph pyramids and approximate KNN search).</w:t>
      </w:r>
    </w:p>
    <w:p>
      <w:r>
        <w:rPr>
          <w:b/>
          <w:i/>
          <w:color w:val="663300"/>
        </w:rPr>
        <w:t xml:space="preserve">Manuscript Changes: </w:t>
      </w:r>
      <w:r>
        <w:t>Added Figure 7, Figure 8, and Section 6.3.</w:t>
      </w:r>
    </w:p>
    <w:p>
      <w:pPr>
        <w:spacing w:after="160"/>
      </w:pPr>
    </w:p>
    <w:p>
      <w:pPr>
        <w:spacing w:after="240"/>
      </w:pPr>
    </w:p>
    <w:p>
      <w:pPr>
        <w:spacing w:after="240"/>
      </w:pPr>
      <w:r>
        <w:t>Once again, we express our heartfelt appreciation to the Editor and the Reviewers for their constructive critiques, which have substantially enhanced the scientific rigor, reproducibility, and clarity of our manuscript. We hope the revised manuscript and our detailed responses meet the high standards of the Journal of Information and Telecommunication.</w:t>
      </w:r>
    </w:p>
    <w:p>
      <w:r>
        <w:rPr>
          <w:b/>
        </w:rPr>
        <w:t>Sincerely,</w:t>
        <w:br/>
        <w:br/>
      </w:r>
      <w:r>
        <w:t>Thanh-Hai Tong-Le, Minh-Hai Le, and Thanh-Nghi Doan*</w:t>
        <w:br/>
      </w:r>
      <w:r>
        <w:t>On behalf of all authors</w:t>
        <w:br/>
      </w:r>
      <w:r>
        <w:t>Faculty of Information Technology, An Giang University, VNU-HCM, Vietnam</w:t>
        <w:br/>
      </w:r>
      <w:r>
        <w:t>Email: dtnghi@agu.edu.vn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