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3B8EE" w14:textId="77777777" w:rsidR="008F344F" w:rsidRPr="003F2F6F" w:rsidRDefault="00000000" w:rsidP="003F2F6F">
      <w:pPr>
        <w:jc w:val="both"/>
        <w:rPr>
          <w:rFonts w:cs="Times New Roman"/>
          <w:sz w:val="28"/>
          <w:szCs w:val="28"/>
        </w:rPr>
      </w:pPr>
      <w:r w:rsidRPr="003F2F6F">
        <w:rPr>
          <w:rFonts w:cs="Times New Roman"/>
          <w:b/>
          <w:color w:val="003366"/>
          <w:sz w:val="28"/>
          <w:szCs w:val="28"/>
        </w:rPr>
        <w:t>POINT-BY-POINT RESPONSE TO REVIEWERS' COMMENTS</w:t>
      </w:r>
    </w:p>
    <w:p w14:paraId="34DA2E5F" w14:textId="77777777" w:rsidR="008F344F" w:rsidRPr="003F2F6F" w:rsidRDefault="00000000" w:rsidP="003F2F6F">
      <w:pPr>
        <w:jc w:val="both"/>
        <w:rPr>
          <w:rFonts w:cs="Times New Roman"/>
          <w:sz w:val="28"/>
          <w:szCs w:val="28"/>
        </w:rPr>
      </w:pPr>
      <w:r>
        <w:rPr>
          <w:i/>
          <w:color w:val="555555"/>
          <w:sz w:val="22"/>
        </w:rPr>
        <w:t>Journal of Information and Telecommunication (Taylor &amp; Francis)</w:t>
        <w:br/>
        <w:t>Ref.: Ms. No. 266350252 (Revision Round)</w:t>
      </w:r>
    </w:p>
    <w:p w14:paraId="3131B6EC" w14:textId="77777777" w:rsidR="008F344F" w:rsidRPr="003F2F6F" w:rsidRDefault="008F344F" w:rsidP="003F2F6F">
      <w:pPr>
        <w:spacing w:after="240"/>
        <w:jc w:val="both"/>
        <w:rPr>
          <w:rFonts w:cs="Times New Roman"/>
          <w:sz w:val="28"/>
          <w:szCs w:val="28"/>
        </w:rPr>
      </w:pPr>
    </w:p>
    <w:tbl>
      <w:tblPr>
        <w:tblW w:w="0" w:type="auto"/>
        <w:jc w:val="center"/>
        <w:tblLayout w:type="fixed"/>
        <w:tblLook w:val="04A0" w:firstRow="1" w:lastRow="0" w:firstColumn="1" w:lastColumn="0" w:noHBand="0" w:noVBand="1"/>
      </w:tblPr>
      <w:tblGrid>
        <w:gridCol w:w="2592"/>
        <w:gridCol w:w="6768"/>
      </w:tblGrid>
      <w:tr w:rsidR="008F344F" w:rsidRPr="003F2F6F" w14:paraId="2AB8EF5E" w14:textId="77777777" w:rsidTr="003F2F6F">
        <w:trPr>
          <w:jc w:val="center"/>
        </w:trPr>
        <w:tc>
          <w:tcPr>
            <w:tcW w:w="2592" w:type="dxa"/>
            <w:shd w:val="clear" w:color="auto" w:fill="auto"/>
            <w:tcMar>
              <w:top w:w="80" w:type="dxa"/>
              <w:left w:w="100" w:type="dxa"/>
              <w:bottom w:w="80" w:type="dxa"/>
              <w:right w:w="100" w:type="dxa"/>
            </w:tcMar>
          </w:tcPr>
          <w:p w14:paraId="5B434F5A" w14:textId="77777777" w:rsidR="008F344F" w:rsidRPr="003F2F6F" w:rsidRDefault="00000000" w:rsidP="003F2F6F">
            <w:pPr>
              <w:jc w:val="both"/>
              <w:rPr>
                <w:rFonts w:cs="Times New Roman"/>
                <w:sz w:val="28"/>
                <w:szCs w:val="28"/>
              </w:rPr>
            </w:pPr>
            <w:r w:rsidRPr="003F2F6F">
              <w:rPr>
                <w:rFonts w:cs="Times New Roman"/>
                <w:b/>
                <w:sz w:val="28"/>
                <w:szCs w:val="28"/>
              </w:rPr>
              <w:t>Manuscript Title:</w:t>
            </w:r>
          </w:p>
        </w:tc>
        <w:tc>
          <w:tcPr>
            <w:tcW w:w="6768" w:type="dxa"/>
            <w:shd w:val="clear" w:color="auto" w:fill="auto"/>
            <w:tcMar>
              <w:top w:w="80" w:type="dxa"/>
              <w:left w:w="100" w:type="dxa"/>
              <w:bottom w:w="80" w:type="dxa"/>
              <w:right w:w="100" w:type="dxa"/>
            </w:tcMar>
          </w:tcPr>
          <w:p w14:paraId="404824CF" w14:textId="77777777" w:rsidR="008F344F" w:rsidRPr="003F2F6F" w:rsidRDefault="00000000" w:rsidP="003F2F6F">
            <w:pPr>
              <w:jc w:val="both"/>
              <w:rPr>
                <w:rFonts w:cs="Times New Roman"/>
                <w:sz w:val="28"/>
                <w:szCs w:val="28"/>
              </w:rPr>
            </w:pPr>
            <w:r w:rsidRPr="003F2F6F">
              <w:rPr>
                <w:rFonts w:cs="Times New Roman"/>
                <w:sz w:val="28"/>
                <w:szCs w:val="28"/>
              </w:rPr>
              <w:t>ViGATs: Vision Graph Attention Networks for Enhanced Plant Leaf Disease Classification</w:t>
            </w:r>
          </w:p>
        </w:tc>
      </w:tr>
      <w:tr w:rsidR="008F344F" w:rsidRPr="003F2F6F" w14:paraId="514C70DC" w14:textId="77777777" w:rsidTr="003F2F6F">
        <w:trPr>
          <w:jc w:val="center"/>
        </w:trPr>
        <w:tc>
          <w:tcPr>
            <w:tcW w:w="2592" w:type="dxa"/>
            <w:shd w:val="clear" w:color="auto" w:fill="auto"/>
            <w:tcMar>
              <w:top w:w="80" w:type="dxa"/>
              <w:left w:w="100" w:type="dxa"/>
              <w:bottom w:w="80" w:type="dxa"/>
              <w:right w:w="100" w:type="dxa"/>
            </w:tcMar>
          </w:tcPr>
          <w:p w14:paraId="13C3BEA5" w14:textId="77777777" w:rsidR="008F344F" w:rsidRPr="003F2F6F" w:rsidRDefault="00000000" w:rsidP="003F2F6F">
            <w:pPr>
              <w:jc w:val="both"/>
              <w:rPr>
                <w:rFonts w:cs="Times New Roman"/>
                <w:sz w:val="28"/>
                <w:szCs w:val="28"/>
              </w:rPr>
            </w:pPr>
            <w:r w:rsidRPr="003F2F6F">
              <w:rPr>
                <w:rFonts w:cs="Times New Roman"/>
                <w:b/>
                <w:sz w:val="28"/>
                <w:szCs w:val="28"/>
              </w:rPr>
              <w:t>Authors:</w:t>
            </w:r>
          </w:p>
        </w:tc>
        <w:tc>
          <w:tcPr>
            <w:tcW w:w="6768" w:type="dxa"/>
            <w:shd w:val="clear" w:color="auto" w:fill="auto"/>
            <w:tcMar>
              <w:top w:w="80" w:type="dxa"/>
              <w:left w:w="100" w:type="dxa"/>
              <w:bottom w:w="80" w:type="dxa"/>
              <w:right w:w="100" w:type="dxa"/>
            </w:tcMar>
          </w:tcPr>
          <w:p w14:paraId="57757D15" w14:textId="77777777" w:rsidR="008F344F" w:rsidRPr="003F2F6F" w:rsidRDefault="00000000" w:rsidP="003F2F6F">
            <w:pPr>
              <w:jc w:val="both"/>
              <w:rPr>
                <w:rFonts w:cs="Times New Roman"/>
                <w:sz w:val="28"/>
                <w:szCs w:val="28"/>
              </w:rPr>
            </w:pPr>
            <w:r w:rsidRPr="003F2F6F">
              <w:rPr>
                <w:rFonts w:cs="Times New Roman"/>
                <w:sz w:val="28"/>
                <w:szCs w:val="28"/>
              </w:rPr>
              <w:t>Thanh-Hai Tong-Le, Minh-Hai Le, and Thanh-Nghi Doan*</w:t>
            </w:r>
          </w:p>
        </w:tc>
      </w:tr>
      <w:tr w:rsidR="008F344F" w:rsidRPr="003F2F6F" w14:paraId="4A941CBA" w14:textId="77777777" w:rsidTr="003F2F6F">
        <w:trPr>
          <w:jc w:val="center"/>
        </w:trPr>
        <w:tc>
          <w:tcPr>
            <w:tcW w:w="2592" w:type="dxa"/>
            <w:shd w:val="clear" w:color="auto" w:fill="auto"/>
            <w:tcMar>
              <w:top w:w="80" w:type="dxa"/>
              <w:left w:w="100" w:type="dxa"/>
              <w:bottom w:w="80" w:type="dxa"/>
              <w:right w:w="100" w:type="dxa"/>
            </w:tcMar>
          </w:tcPr>
          <w:p w14:paraId="7C9286C7" w14:textId="77777777" w:rsidR="008F344F" w:rsidRPr="003F2F6F" w:rsidRDefault="00000000" w:rsidP="003F2F6F">
            <w:pPr>
              <w:jc w:val="both"/>
              <w:rPr>
                <w:rFonts w:cs="Times New Roman"/>
                <w:sz w:val="28"/>
                <w:szCs w:val="28"/>
              </w:rPr>
            </w:pPr>
            <w:r w:rsidRPr="003F2F6F">
              <w:rPr>
                <w:rFonts w:cs="Times New Roman"/>
                <w:b/>
                <w:sz w:val="28"/>
                <w:szCs w:val="28"/>
              </w:rPr>
              <w:t>Corresponding Author:</w:t>
            </w:r>
          </w:p>
        </w:tc>
        <w:tc>
          <w:tcPr>
            <w:tcW w:w="6768" w:type="dxa"/>
            <w:shd w:val="clear" w:color="auto" w:fill="auto"/>
            <w:tcMar>
              <w:top w:w="80" w:type="dxa"/>
              <w:left w:w="100" w:type="dxa"/>
              <w:bottom w:w="80" w:type="dxa"/>
              <w:right w:w="100" w:type="dxa"/>
            </w:tcMar>
          </w:tcPr>
          <w:p w14:paraId="1C497ED9" w14:textId="77777777" w:rsidR="008F344F" w:rsidRPr="003F2F6F" w:rsidRDefault="00000000" w:rsidP="003F2F6F">
            <w:pPr>
              <w:jc w:val="both"/>
              <w:rPr>
                <w:rFonts w:cs="Times New Roman"/>
                <w:sz w:val="28"/>
                <w:szCs w:val="28"/>
              </w:rPr>
            </w:pPr>
            <w:r w:rsidRPr="003F2F6F">
              <w:rPr>
                <w:rFonts w:cs="Times New Roman"/>
                <w:sz w:val="28"/>
                <w:szCs w:val="28"/>
              </w:rPr>
              <w:t>Thanh-Nghi Doan (Email: dtnghi@agu.edu.vn)</w:t>
            </w:r>
          </w:p>
        </w:tc>
      </w:tr>
      <w:tr w:rsidR="008F344F" w:rsidRPr="003F2F6F" w14:paraId="73E31D77" w14:textId="77777777" w:rsidTr="003F2F6F">
        <w:trPr>
          <w:jc w:val="center"/>
        </w:trPr>
        <w:tc>
          <w:tcPr>
            <w:tcW w:w="2592" w:type="dxa"/>
            <w:shd w:val="clear" w:color="auto" w:fill="auto"/>
            <w:tcMar>
              <w:top w:w="80" w:type="dxa"/>
              <w:left w:w="100" w:type="dxa"/>
              <w:bottom w:w="80" w:type="dxa"/>
              <w:right w:w="100" w:type="dxa"/>
            </w:tcMar>
          </w:tcPr>
          <w:p w14:paraId="2F1EF9DE" w14:textId="77777777" w:rsidR="008F344F" w:rsidRPr="003F2F6F" w:rsidRDefault="00000000" w:rsidP="003F2F6F">
            <w:pPr>
              <w:jc w:val="both"/>
              <w:rPr>
                <w:rFonts w:cs="Times New Roman"/>
                <w:sz w:val="28"/>
                <w:szCs w:val="28"/>
              </w:rPr>
            </w:pPr>
            <w:r w:rsidRPr="003F2F6F">
              <w:rPr>
                <w:rFonts w:cs="Times New Roman"/>
                <w:b/>
                <w:sz w:val="28"/>
                <w:szCs w:val="28"/>
              </w:rPr>
              <w:t>Submission Category:</w:t>
            </w:r>
          </w:p>
        </w:tc>
        <w:tc>
          <w:tcPr>
            <w:tcW w:w="6768" w:type="dxa"/>
            <w:shd w:val="clear" w:color="auto" w:fill="auto"/>
            <w:tcMar>
              <w:top w:w="80" w:type="dxa"/>
              <w:left w:w="100" w:type="dxa"/>
              <w:bottom w:w="80" w:type="dxa"/>
              <w:right w:w="100" w:type="dxa"/>
            </w:tcMar>
          </w:tcPr>
          <w:p w14:paraId="52647B82" w14:textId="77777777" w:rsidR="008F344F" w:rsidRPr="003F2F6F" w:rsidRDefault="00000000" w:rsidP="003F2F6F">
            <w:pPr>
              <w:jc w:val="both"/>
              <w:rPr>
                <w:rFonts w:cs="Times New Roman"/>
                <w:sz w:val="28"/>
                <w:szCs w:val="28"/>
              </w:rPr>
            </w:pPr>
            <w:r w:rsidRPr="003F2F6F">
              <w:rPr>
                <w:rFonts w:cs="Times New Roman"/>
                <w:sz w:val="28"/>
                <w:szCs w:val="28"/>
              </w:rPr>
              <w:t>Revised Research Article (Major Revision)</w:t>
            </w:r>
          </w:p>
        </w:tc>
      </w:tr>
    </w:tbl>
    <w:p w14:paraId="6AEE4601" w14:textId="77777777" w:rsidR="008F344F" w:rsidRPr="003F2F6F" w:rsidRDefault="008F344F" w:rsidP="003F2F6F">
      <w:pPr>
        <w:spacing w:after="240"/>
        <w:jc w:val="both"/>
        <w:rPr>
          <w:rFonts w:cs="Times New Roman"/>
          <w:sz w:val="28"/>
          <w:szCs w:val="28"/>
        </w:rPr>
      </w:pPr>
    </w:p>
    <w:p w14:paraId="5200843B" w14:textId="77777777" w:rsidR="008F344F" w:rsidRPr="003F2F6F" w:rsidRDefault="00000000" w:rsidP="003F2F6F">
      <w:pPr>
        <w:jc w:val="both"/>
        <w:rPr>
          <w:rFonts w:cs="Times New Roman"/>
          <w:sz w:val="28"/>
          <w:szCs w:val="28"/>
        </w:rPr>
      </w:pPr>
      <w:r w:rsidRPr="003F2F6F">
        <w:rPr>
          <w:rFonts w:cs="Times New Roman"/>
          <w:b/>
          <w:color w:val="003366"/>
          <w:sz w:val="28"/>
          <w:szCs w:val="28"/>
        </w:rPr>
        <w:t>Dear Editor-in-Chief and Esteemed Reviewers,</w:t>
      </w:r>
    </w:p>
    <w:p w14:paraId="78DDAC9D" w14:textId="77777777" w:rsidR="008F344F" w:rsidRPr="003F2F6F" w:rsidRDefault="00000000" w:rsidP="003F2F6F">
      <w:pPr>
        <w:jc w:val="both"/>
        <w:rPr>
          <w:rFonts w:cs="Times New Roman"/>
          <w:sz w:val="28"/>
          <w:szCs w:val="28"/>
        </w:rPr>
      </w:pPr>
      <w:r w:rsidRPr="003F2F6F">
        <w:rPr>
          <w:rFonts w:cs="Times New Roman"/>
          <w:sz w:val="28"/>
          <w:szCs w:val="28"/>
        </w:rPr>
        <w:t>We express our sincere gratitude to the Editor and the Reviewers for their constructive, thorough, and highly insightful feedback on our manuscript. The reviewers' suggestions have provided crucial guidance for improving the technical rigor, statistical validation, computational profiling, and presentation of our work. In response to the feedback, we have conducted a major overhaul of our experimental protocol and manuscript structure. Specifically:</w:t>
      </w:r>
    </w:p>
    <w:p w14:paraId="6B33F36D" w14:textId="77777777" w:rsidR="008F344F" w:rsidRPr="003F2F6F" w:rsidRDefault="00000000" w:rsidP="003F2F6F">
      <w:pPr>
        <w:pStyle w:val="ListBullet"/>
        <w:jc w:val="both"/>
        <w:rPr>
          <w:rFonts w:cs="Times New Roman"/>
          <w:sz w:val="28"/>
          <w:szCs w:val="28"/>
        </w:rPr>
      </w:pPr>
      <w:r w:rsidRPr="003F2F6F">
        <w:rPr>
          <w:rFonts w:cs="Times New Roman"/>
          <w:b/>
          <w:sz w:val="28"/>
          <w:szCs w:val="28"/>
        </w:rPr>
        <w:t xml:space="preserve">Zero Data Leakage &amp; 5-Fold Stratified Cross-Validation: </w:t>
      </w:r>
      <w:r w:rsidRPr="003F2F6F">
        <w:rPr>
          <w:rFonts w:cs="Times New Roman"/>
          <w:sz w:val="28"/>
          <w:szCs w:val="28"/>
        </w:rPr>
        <w:t>We replaced the single train/test evaluation with a strict 5-fold stratified cross-validation protocol (approx. 70% Train, 10% Validation, 20% Test) across all datasets. Early stopping and checkpoint selection are governed strictly by the validation set.</w:t>
      </w:r>
    </w:p>
    <w:p w14:paraId="430E881F" w14:textId="77777777" w:rsidR="008F344F" w:rsidRPr="003F2F6F" w:rsidRDefault="00000000" w:rsidP="003F2F6F">
      <w:pPr>
        <w:pStyle w:val="ListBullet"/>
        <w:jc w:val="both"/>
        <w:rPr>
          <w:rFonts w:cs="Times New Roman"/>
          <w:sz w:val="28"/>
          <w:szCs w:val="28"/>
        </w:rPr>
      </w:pPr>
      <w:r w:rsidRPr="003F2F6F">
        <w:rPr>
          <w:rFonts w:cs="Times New Roman"/>
          <w:b/>
          <w:sz w:val="28"/>
          <w:szCs w:val="28"/>
        </w:rPr>
        <w:t xml:space="preserve">Sample Mean ± Standard Deviation &amp; Statistical Significance: </w:t>
      </w:r>
      <w:r w:rsidRPr="003F2F6F">
        <w:rPr>
          <w:rFonts w:cs="Times New Roman"/>
          <w:sz w:val="28"/>
          <w:szCs w:val="28"/>
        </w:rPr>
        <w:t>All experimental results are now reported as Mean ± Std over 5 folds, supplemented with Holm-adjusted paired t-tests to establish statistical significance.</w:t>
      </w:r>
    </w:p>
    <w:p w14:paraId="1F88D9EA" w14:textId="77777777" w:rsidR="008F344F" w:rsidRPr="003F2F6F" w:rsidRDefault="00000000" w:rsidP="003F2F6F">
      <w:pPr>
        <w:pStyle w:val="ListBullet"/>
        <w:jc w:val="both"/>
        <w:rPr>
          <w:rFonts w:cs="Times New Roman"/>
          <w:sz w:val="28"/>
          <w:szCs w:val="28"/>
        </w:rPr>
      </w:pPr>
      <w:r w:rsidRPr="003F2F6F">
        <w:rPr>
          <w:rFonts w:cs="Times New Roman"/>
          <w:b/>
          <w:sz w:val="28"/>
          <w:szCs w:val="28"/>
        </w:rPr>
        <w:lastRenderedPageBreak/>
        <w:t xml:space="preserve">Expanded In-Field &amp; Cross-Domain Benchmarks: </w:t>
      </w:r>
      <w:r w:rsidRPr="003F2F6F">
        <w:rPr>
          <w:rFonts w:cs="Times New Roman"/>
          <w:sz w:val="28"/>
          <w:szCs w:val="28"/>
        </w:rPr>
        <w:t>We replaced the flawed PlantDoc dataset with PlantRaw—a rigorous multicrop in-the-wild benchmark (16,165 images, 35 classes, 10 crops)—and evaluated unseen aerial drone zero-shot transfer on IIITDMJ Maize.</w:t>
      </w:r>
    </w:p>
    <w:p w14:paraId="601CB8E0" w14:textId="77777777" w:rsidR="008F344F" w:rsidRPr="003F2F6F" w:rsidRDefault="00000000" w:rsidP="003F2F6F">
      <w:pPr>
        <w:pStyle w:val="ListBullet"/>
        <w:jc w:val="both"/>
        <w:rPr>
          <w:rFonts w:cs="Times New Roman"/>
          <w:sz w:val="28"/>
          <w:szCs w:val="28"/>
        </w:rPr>
      </w:pPr>
      <w:r w:rsidRPr="003F2F6F">
        <w:rPr>
          <w:rFonts w:cs="Times New Roman"/>
          <w:b/>
          <w:sz w:val="28"/>
          <w:szCs w:val="28"/>
        </w:rPr>
        <w:t xml:space="preserve">Real Hardware Profiling on Edge AI Platform: </w:t>
      </w:r>
      <w:r w:rsidRPr="003F2F6F">
        <w:rPr>
          <w:rFonts w:cs="Times New Roman"/>
          <w:sz w:val="28"/>
          <w:szCs w:val="28"/>
        </w:rPr>
        <w:t>We conducted physical hardware profiling on an NVIDIA RTX 5070 Ti GPU, reporting Params, GFLOPs, peak VRAM memory (MB), and inference speed (FPS/Latency).</w:t>
      </w:r>
    </w:p>
    <w:p w14:paraId="48ED6588" w14:textId="77777777" w:rsidR="008F344F" w:rsidRPr="003F2F6F" w:rsidRDefault="00000000" w:rsidP="003F2F6F">
      <w:pPr>
        <w:pStyle w:val="ListBullet"/>
        <w:jc w:val="both"/>
        <w:rPr>
          <w:rFonts w:cs="Times New Roman"/>
          <w:sz w:val="28"/>
          <w:szCs w:val="28"/>
        </w:rPr>
      </w:pPr>
      <w:r w:rsidRPr="003F2F6F">
        <w:rPr>
          <w:rFonts w:cs="Times New Roman"/>
          <w:b/>
          <w:sz w:val="28"/>
          <w:szCs w:val="28"/>
        </w:rPr>
        <w:t xml:space="preserve">Clarification of GNN Novelty &amp; Baselines: </w:t>
      </w:r>
      <w:r w:rsidRPr="003F2F6F">
        <w:rPr>
          <w:rFonts w:cs="Times New Roman"/>
          <w:sz w:val="28"/>
          <w:szCs w:val="28"/>
        </w:rPr>
        <w:t>We corrected the theoretical motivation regarding MRConv (clarifying channel-wise maximum), distinguished ViGATs from AttentionViG and GAT/GATv2, and added 10+ modern SOTA baselines (Swin Transformer, ConvNeXt, EfficientNetV2, MambaOut, FastViT, RepViT, EfficientViT).</w:t>
      </w:r>
    </w:p>
    <w:p w14:paraId="565CEB6C" w14:textId="77777777" w:rsidR="008F344F" w:rsidRPr="003F2F6F" w:rsidRDefault="00000000" w:rsidP="003F2F6F">
      <w:pPr>
        <w:pStyle w:val="ListBullet"/>
        <w:jc w:val="both"/>
        <w:rPr>
          <w:rFonts w:cs="Times New Roman"/>
          <w:sz w:val="28"/>
          <w:szCs w:val="28"/>
        </w:rPr>
      </w:pPr>
      <w:r w:rsidRPr="003F2F6F">
        <w:rPr>
          <w:rFonts w:cs="Times New Roman"/>
          <w:b/>
          <w:sz w:val="28"/>
          <w:szCs w:val="28"/>
        </w:rPr>
        <w:t xml:space="preserve">Extended Ablations &amp; Explainability: </w:t>
      </w:r>
      <w:r w:rsidRPr="003F2F6F">
        <w:rPr>
          <w:rFonts w:cs="Times New Roman"/>
          <w:sz w:val="28"/>
          <w:szCs w:val="28"/>
        </w:rPr>
        <w:t>We added multi-factor ablations (attention heads H, hidden dimension C, layer depth L, activations, time/epoch) and visual attention maps.</w:t>
      </w:r>
    </w:p>
    <w:p w14:paraId="45C05FFB" w14:textId="77777777" w:rsidR="008F344F" w:rsidRPr="003F2F6F" w:rsidRDefault="00000000" w:rsidP="003F2F6F">
      <w:pPr>
        <w:jc w:val="both"/>
        <w:rPr>
          <w:rFonts w:cs="Times New Roman"/>
          <w:sz w:val="28"/>
          <w:szCs w:val="28"/>
        </w:rPr>
      </w:pPr>
      <w:r w:rsidRPr="003F2F6F">
        <w:rPr>
          <w:rFonts w:cs="Times New Roman"/>
          <w:sz w:val="28"/>
          <w:szCs w:val="28"/>
        </w:rPr>
        <w:t>Below is our comprehensive, point-by-point response to all comments raised by each reviewer.</w:t>
      </w:r>
    </w:p>
    <w:p w14:paraId="002F008C" w14:textId="77777777" w:rsidR="008F344F" w:rsidRPr="003F2F6F" w:rsidRDefault="00000000" w:rsidP="003F2F6F">
      <w:pPr>
        <w:jc w:val="both"/>
        <w:rPr>
          <w:rFonts w:cs="Times New Roman"/>
          <w:sz w:val="28"/>
          <w:szCs w:val="28"/>
        </w:rPr>
      </w:pPr>
      <w:r w:rsidRPr="003F2F6F">
        <w:rPr>
          <w:rFonts w:cs="Times New Roman"/>
          <w:b/>
          <w:color w:val="800000"/>
          <w:sz w:val="28"/>
          <w:szCs w:val="28"/>
        </w:rPr>
        <w:t>RESPONSE TO REVIEWER #1</w:t>
      </w:r>
    </w:p>
    <w:tbl>
      <w:tblPr>
        <w:tblW w:w="0" w:type="auto"/>
        <w:jc w:val="center"/>
        <w:tblLayout w:type="fixed"/>
        <w:tblLook w:val="04A0" w:firstRow="1" w:lastRow="0" w:firstColumn="1" w:lastColumn="0" w:noHBand="0" w:noVBand="1"/>
      </w:tblPr>
      <w:tblGrid>
        <w:gridCol w:w="9360"/>
      </w:tblGrid>
      <w:tr w:rsidR="008F344F" w:rsidRPr="003F2F6F" w14:paraId="4BB54613" w14:textId="77777777" w:rsidTr="003F2F6F">
        <w:trPr>
          <w:jc w:val="center"/>
        </w:trPr>
        <w:tc>
          <w:tcPr>
            <w:tcW w:w="9360" w:type="dxa"/>
            <w:shd w:val="clear" w:color="auto" w:fill="auto"/>
            <w:tcMar>
              <w:top w:w="100" w:type="dxa"/>
              <w:left w:w="150" w:type="dxa"/>
              <w:bottom w:w="100" w:type="dxa"/>
              <w:right w:w="150" w:type="dxa"/>
            </w:tcMar>
          </w:tcPr>
          <w:p w14:paraId="26349E9A"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1.1: </w:t>
            </w:r>
            <w:r w:rsidRPr="003F2F6F">
              <w:rPr>
                <w:rFonts w:cs="Times New Roman"/>
                <w:i/>
                <w:sz w:val="28"/>
                <w:szCs w:val="28"/>
              </w:rPr>
              <w:t>While the reported improvements are promising, the paper does not clearly discuss the statistical significance of the performance gains. Confidence intervals or statistical significance tests would strengthen the validity of the conclusions.</w:t>
            </w:r>
          </w:p>
        </w:tc>
      </w:tr>
    </w:tbl>
    <w:p w14:paraId="044E1DC0" w14:textId="77777777" w:rsidR="008F344F" w:rsidRPr="003F2F6F" w:rsidRDefault="008F344F" w:rsidP="003F2F6F">
      <w:pPr>
        <w:spacing w:after="80"/>
        <w:jc w:val="both"/>
        <w:rPr>
          <w:rFonts w:cs="Times New Roman"/>
          <w:sz w:val="28"/>
          <w:szCs w:val="28"/>
        </w:rPr>
      </w:pPr>
    </w:p>
    <w:p w14:paraId="43D7EFDE"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completely agree with the reviewer. To address this essential requirement, we migrated our entire experimental evaluation to a rigorous 5-Fold Stratified Cross-Validation protocol. For every benchmark, we now report the sample mean and standard deviation (Mean ± Std). Furthermore, we conducted pairwise Holm-adjusted t-tests between ViGATs and all comparative baselines. The resulting p-values (p_Holm) are explicitly listed in Table 4 (PlantVillage, Maize, Rice V2), Table 5 (PlantRaw), and Table 7 (Tiny ImageNet), demonstrating that ViGATs's gains over standard CNNs and Transformers are statistically significant (p &lt; 0.001).</w:t>
      </w:r>
    </w:p>
    <w:p w14:paraId="4E19FC6D" w14:textId="77777777" w:rsidR="008F344F" w:rsidRPr="003F2F6F" w:rsidRDefault="00000000" w:rsidP="003F2F6F">
      <w:pPr>
        <w:jc w:val="both"/>
        <w:rPr>
          <w:rFonts w:cs="Times New Roman"/>
          <w:sz w:val="28"/>
          <w:szCs w:val="28"/>
        </w:rPr>
      </w:pPr>
      <w:r w:rsidRPr="003F2F6F">
        <w:rPr>
          <w:rFonts w:cs="Times New Roman"/>
          <w:b/>
          <w:i/>
          <w:color w:val="663300"/>
          <w:sz w:val="28"/>
          <w:szCs w:val="28"/>
        </w:rPr>
        <w:lastRenderedPageBreak/>
        <w:t xml:space="preserve">Manuscript Changes: </w:t>
      </w:r>
      <w:r w:rsidRPr="003F2F6F">
        <w:rPr>
          <w:rFonts w:cs="Times New Roman"/>
          <w:sz w:val="28"/>
          <w:szCs w:val="28"/>
        </w:rPr>
        <w:t>Updated Sections 4.3, 5.2, 5.3, and Tables 4, 5, 7 in the revised manuscript.</w:t>
      </w:r>
    </w:p>
    <w:p w14:paraId="55F5C733"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68E558A5" w14:textId="77777777" w:rsidTr="003F2F6F">
        <w:trPr>
          <w:jc w:val="center"/>
        </w:trPr>
        <w:tc>
          <w:tcPr>
            <w:tcW w:w="9360" w:type="dxa"/>
            <w:shd w:val="clear" w:color="auto" w:fill="auto"/>
            <w:tcMar>
              <w:top w:w="100" w:type="dxa"/>
              <w:left w:w="150" w:type="dxa"/>
              <w:bottom w:w="100" w:type="dxa"/>
              <w:right w:w="150" w:type="dxa"/>
            </w:tcMar>
          </w:tcPr>
          <w:p w14:paraId="50E7D50E"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1.2: </w:t>
            </w:r>
            <w:r w:rsidRPr="003F2F6F">
              <w:rPr>
                <w:rFonts w:cs="Times New Roman"/>
                <w:i/>
                <w:sz w:val="28"/>
                <w:szCs w:val="28"/>
              </w:rPr>
              <w:t>The experiments appear to rely on a single training configuration. Reporting results across multiple random seeds would provide stronger evidence regarding the robustness and stability of the proposed approach.</w:t>
            </w:r>
          </w:p>
        </w:tc>
      </w:tr>
    </w:tbl>
    <w:p w14:paraId="4186949F" w14:textId="77777777" w:rsidR="008F344F" w:rsidRPr="003F2F6F" w:rsidRDefault="008F344F" w:rsidP="003F2F6F">
      <w:pPr>
        <w:spacing w:after="80"/>
        <w:jc w:val="both"/>
        <w:rPr>
          <w:rFonts w:cs="Times New Roman"/>
          <w:sz w:val="28"/>
          <w:szCs w:val="28"/>
        </w:rPr>
      </w:pPr>
    </w:p>
    <w:p w14:paraId="63007A11"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Thank you for this critical point. By adopting 5-Fold Stratified Cross-Validation across independent partition folds (Train ~70%, Val ~10%, Test ~20%), our evaluation inherently accounts for variance across different data subsets and initialization trajectories. Across all 5 folds, ViGATs demonstrates exceptionally low standard deviation (e.g., 99.75 ± 0.06% on PlantVillage, 98.58 ± 0.39% on Maize, 99.93 ± 0.11% on Rice V2, 86.12 ± 0.61% on PlantRaw), confirming the stability and reproducibility of the architecture.</w:t>
      </w:r>
    </w:p>
    <w:p w14:paraId="2457C401"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Detailed fold-wise statistics and variance metrics are provided in Tables 4, 5, 6, 7.</w:t>
      </w:r>
    </w:p>
    <w:p w14:paraId="56072E6F"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7EA5141E" w14:textId="77777777" w:rsidTr="003F2F6F">
        <w:trPr>
          <w:jc w:val="center"/>
        </w:trPr>
        <w:tc>
          <w:tcPr>
            <w:tcW w:w="9360" w:type="dxa"/>
            <w:shd w:val="clear" w:color="auto" w:fill="auto"/>
            <w:tcMar>
              <w:top w:w="100" w:type="dxa"/>
              <w:left w:w="150" w:type="dxa"/>
              <w:bottom w:w="100" w:type="dxa"/>
              <w:right w:w="150" w:type="dxa"/>
            </w:tcMar>
          </w:tcPr>
          <w:p w14:paraId="6C8D2A85"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1.3: </w:t>
            </w:r>
            <w:r w:rsidRPr="003F2F6F">
              <w:rPr>
                <w:rFonts w:cs="Times New Roman"/>
                <w:i/>
                <w:sz w:val="28"/>
                <w:szCs w:val="28"/>
              </w:rPr>
              <w:t>Although parameter counts are reported, a more detailed analysis of computational efficiency, including inference time, memory consumption, and deployment costs on edge devices, would better support the claim that the model is suitable for resource-constrained environments.</w:t>
            </w:r>
          </w:p>
        </w:tc>
      </w:tr>
    </w:tbl>
    <w:p w14:paraId="1E01C101" w14:textId="77777777" w:rsidR="008F344F" w:rsidRPr="003F2F6F" w:rsidRDefault="008F344F" w:rsidP="003F2F6F">
      <w:pPr>
        <w:spacing w:after="80"/>
        <w:jc w:val="both"/>
        <w:rPr>
          <w:rFonts w:cs="Times New Roman"/>
          <w:sz w:val="28"/>
          <w:szCs w:val="28"/>
        </w:rPr>
      </w:pPr>
    </w:p>
    <w:p w14:paraId="445611D0"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appreciate this constructive suggestion. We conducted comprehensive hardware benchmarking on an NVIDIA GeForce RTX 5070 Ti GPU (Ubuntu 24.04, FP32 precision, batch size 256, 64x64 resolution). We measured: (1) Total Parameter count (4.67M), (2) FLOPs (1.13 GFLOPs), (3) Peak VRAM Memory consumption (129.8 MB), and (4) Real-world inference throughput (74.0 FPS, latency 13.5 ms/batch). This demonstrates that ViGATs delivers near-CNN throughput and low memory footprint while maintaining superior accuracy.</w:t>
      </w:r>
    </w:p>
    <w:p w14:paraId="34F63939" w14:textId="77777777" w:rsidR="008F344F" w:rsidRPr="003F2F6F" w:rsidRDefault="00000000" w:rsidP="003F2F6F">
      <w:pPr>
        <w:jc w:val="both"/>
        <w:rPr>
          <w:rFonts w:cs="Times New Roman"/>
          <w:sz w:val="28"/>
          <w:szCs w:val="28"/>
        </w:rPr>
      </w:pPr>
      <w:r w:rsidRPr="003F2F6F">
        <w:rPr>
          <w:rFonts w:cs="Times New Roman"/>
          <w:b/>
          <w:i/>
          <w:color w:val="663300"/>
          <w:sz w:val="28"/>
          <w:szCs w:val="28"/>
        </w:rPr>
        <w:lastRenderedPageBreak/>
        <w:t xml:space="preserve">Manuscript Changes: </w:t>
      </w:r>
      <w:r w:rsidRPr="003F2F6F">
        <w:rPr>
          <w:rFonts w:cs="Times New Roman"/>
          <w:sz w:val="28"/>
          <w:szCs w:val="28"/>
        </w:rPr>
        <w:t>A dedicated computational complexity table (Table 2) and discussion have been added to Section 3.6.</w:t>
      </w:r>
    </w:p>
    <w:p w14:paraId="64FDFF52"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41623210" w14:textId="77777777" w:rsidTr="003F2F6F">
        <w:trPr>
          <w:jc w:val="center"/>
        </w:trPr>
        <w:tc>
          <w:tcPr>
            <w:tcW w:w="9360" w:type="dxa"/>
            <w:shd w:val="clear" w:color="auto" w:fill="auto"/>
            <w:tcMar>
              <w:top w:w="100" w:type="dxa"/>
              <w:left w:w="150" w:type="dxa"/>
              <w:bottom w:w="100" w:type="dxa"/>
              <w:right w:w="150" w:type="dxa"/>
            </w:tcMar>
          </w:tcPr>
          <w:p w14:paraId="7F38CECB"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1.4: </w:t>
            </w:r>
            <w:r w:rsidRPr="003F2F6F">
              <w:rPr>
                <w:rFonts w:cs="Times New Roman"/>
                <w:i/>
                <w:sz w:val="28"/>
                <w:szCs w:val="28"/>
              </w:rPr>
              <w:t>The datasets used, while diverse, primarily consist of benchmark datasets. Additional discussion regarding generalization to real-world field conditions, varying illumination, occlusions, and image quality would strengthen the practical relevance of the work.</w:t>
            </w:r>
          </w:p>
        </w:tc>
      </w:tr>
    </w:tbl>
    <w:p w14:paraId="6F277470" w14:textId="77777777" w:rsidR="008F344F" w:rsidRPr="003F2F6F" w:rsidRDefault="008F344F" w:rsidP="003F2F6F">
      <w:pPr>
        <w:spacing w:after="80"/>
        <w:jc w:val="both"/>
        <w:rPr>
          <w:rFonts w:cs="Times New Roman"/>
          <w:sz w:val="28"/>
          <w:szCs w:val="28"/>
        </w:rPr>
      </w:pPr>
    </w:p>
    <w:p w14:paraId="57AAEAB7"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fully agree. To validate real-world generalization, we introduced two major additions: (1) The PlantRaw benchmark dataset, comprising 16,165 in-the-wild images across 35 disease classes from 10 crops under unconstrained illumination and complex foliage occlusion (where ViGATs achieves 86.12% accuracy vs. ResNet-18 79.64% and ViT 70.91%); and (2) An unseen aerial drone cross-domain transfer benchmark (IIITDMJ), evaluating close-up trained models directly on aerial drone imagery without fine-tuning (where ViGATs achieves 71.30% zero-shot accuracy).</w:t>
      </w:r>
    </w:p>
    <w:p w14:paraId="52FB5C66"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Detailed analysis added in Sections 4.1.1, 5.2.1 (PlantRaw), Section 5.3 (IIITDMJ Drone), and Section 6.3.</w:t>
      </w:r>
    </w:p>
    <w:p w14:paraId="1014A0CE"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2D0FAB8B" w14:textId="77777777" w:rsidTr="003F2F6F">
        <w:trPr>
          <w:jc w:val="center"/>
        </w:trPr>
        <w:tc>
          <w:tcPr>
            <w:tcW w:w="9360" w:type="dxa"/>
            <w:shd w:val="clear" w:color="auto" w:fill="auto"/>
            <w:tcMar>
              <w:top w:w="100" w:type="dxa"/>
              <w:left w:w="150" w:type="dxa"/>
              <w:bottom w:w="100" w:type="dxa"/>
              <w:right w:w="150" w:type="dxa"/>
            </w:tcMar>
          </w:tcPr>
          <w:p w14:paraId="0269B9F5"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1.5: </w:t>
            </w:r>
            <w:r w:rsidRPr="003F2F6F">
              <w:rPr>
                <w:rFonts w:cs="Times New Roman"/>
                <w:i/>
                <w:sz w:val="28"/>
                <w:szCs w:val="28"/>
              </w:rPr>
              <w:t>The improvements over the original ViG architecture, although consistent, should be discussed in relation to the added complexity introduced by the attention mechanism to better justify the trade-off between performance and computational cost.</w:t>
            </w:r>
          </w:p>
        </w:tc>
      </w:tr>
    </w:tbl>
    <w:p w14:paraId="4D34CE89" w14:textId="77777777" w:rsidR="008F344F" w:rsidRPr="003F2F6F" w:rsidRDefault="008F344F" w:rsidP="003F2F6F">
      <w:pPr>
        <w:spacing w:after="80"/>
        <w:jc w:val="both"/>
        <w:rPr>
          <w:rFonts w:cs="Times New Roman"/>
          <w:sz w:val="28"/>
          <w:szCs w:val="28"/>
        </w:rPr>
      </w:pPr>
    </w:p>
    <w:p w14:paraId="7DE442D8"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 xml:space="preserve">Thank you for highlighting this trade-off. We added a dedicated structural comparison (Table 1) and complexity analysis (Table 2) across Vision GNN operators. While standard dynamic attention (GATv2) increases computation to 1.81 GFLOPs (+72% over ViG's 1.05 GFLOPs), our proposed GATConv utilizes grouped linear projections, requiring only 1.13 GFLOPs (+7.6% over ViG, saving 37.6% GFLOPs compared to GATv2). This modest </w:t>
      </w:r>
      <w:r w:rsidRPr="003F2F6F">
        <w:rPr>
          <w:rFonts w:cs="Times New Roman"/>
          <w:sz w:val="28"/>
          <w:szCs w:val="28"/>
        </w:rPr>
        <w:lastRenderedPageBreak/>
        <w:t>computational overhead yields significant accuracy improvements on challenging real-world datasets (+1.11% on PlantRaw, +7.60% on unseen drone transfer).</w:t>
      </w:r>
    </w:p>
    <w:p w14:paraId="38E559F2"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Incorporated into Sections 3.5, 3.6, Table 1, and Section 6.1.</w:t>
      </w:r>
    </w:p>
    <w:p w14:paraId="51B86DF5" w14:textId="77777777" w:rsidR="008F344F" w:rsidRPr="003F2F6F" w:rsidRDefault="008F344F" w:rsidP="003F2F6F">
      <w:pPr>
        <w:spacing w:after="160"/>
        <w:jc w:val="both"/>
        <w:rPr>
          <w:rFonts w:cs="Times New Roman"/>
          <w:sz w:val="28"/>
          <w:szCs w:val="28"/>
        </w:rPr>
      </w:pPr>
    </w:p>
    <w:p w14:paraId="2B5F3010" w14:textId="77777777" w:rsidR="008F344F" w:rsidRPr="003F2F6F" w:rsidRDefault="00000000" w:rsidP="003F2F6F">
      <w:pPr>
        <w:jc w:val="both"/>
        <w:rPr>
          <w:rFonts w:cs="Times New Roman"/>
          <w:sz w:val="28"/>
          <w:szCs w:val="28"/>
        </w:rPr>
      </w:pPr>
      <w:r w:rsidRPr="003F2F6F">
        <w:rPr>
          <w:rFonts w:cs="Times New Roman"/>
          <w:b/>
          <w:color w:val="800000"/>
          <w:sz w:val="28"/>
          <w:szCs w:val="28"/>
        </w:rPr>
        <w:t>RESPONSE TO REVIEWER #2</w:t>
      </w:r>
    </w:p>
    <w:tbl>
      <w:tblPr>
        <w:tblW w:w="0" w:type="auto"/>
        <w:jc w:val="center"/>
        <w:tblLayout w:type="fixed"/>
        <w:tblLook w:val="04A0" w:firstRow="1" w:lastRow="0" w:firstColumn="1" w:lastColumn="0" w:noHBand="0" w:noVBand="1"/>
      </w:tblPr>
      <w:tblGrid>
        <w:gridCol w:w="9360"/>
      </w:tblGrid>
      <w:tr w:rsidR="008F344F" w:rsidRPr="003F2F6F" w14:paraId="566D3464" w14:textId="77777777" w:rsidTr="003F2F6F">
        <w:trPr>
          <w:jc w:val="center"/>
        </w:trPr>
        <w:tc>
          <w:tcPr>
            <w:tcW w:w="9360" w:type="dxa"/>
            <w:shd w:val="clear" w:color="auto" w:fill="auto"/>
            <w:tcMar>
              <w:top w:w="100" w:type="dxa"/>
              <w:left w:w="150" w:type="dxa"/>
              <w:bottom w:w="100" w:type="dxa"/>
              <w:right w:w="150" w:type="dxa"/>
            </w:tcMar>
          </w:tcPr>
          <w:p w14:paraId="7DC3AA67"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2.1: </w:t>
            </w:r>
            <w:r w:rsidRPr="003F2F6F">
              <w:rPr>
                <w:rFonts w:cs="Times New Roman"/>
                <w:i/>
                <w:sz w:val="28"/>
                <w:szCs w:val="28"/>
              </w:rPr>
              <w:t>Only a train-test split is defined, although early stopping, best-checkpoint selection and repeated performance monitoring are reported. Figures 4 and 5 explicitly show test metrics during training, suggesting that the test set influenced model selection. A separate validation set and duplicate-aware splitting are essential, particularly for PlantVillage.</w:t>
            </w:r>
          </w:p>
        </w:tc>
      </w:tr>
    </w:tbl>
    <w:p w14:paraId="367FCDA6" w14:textId="77777777" w:rsidR="008F344F" w:rsidRPr="003F2F6F" w:rsidRDefault="008F344F" w:rsidP="003F2F6F">
      <w:pPr>
        <w:spacing w:after="80"/>
        <w:jc w:val="both"/>
        <w:rPr>
          <w:rFonts w:cs="Times New Roman"/>
          <w:sz w:val="28"/>
          <w:szCs w:val="28"/>
        </w:rPr>
      </w:pPr>
    </w:p>
    <w:p w14:paraId="600133AB"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are deeply grateful to the reviewer for identifying this fundamental methodological issue. In this revised manuscript, we completely eliminated any possibility of data leakage by establishing a strict 3-way split within a 5-Fold Stratified Cross-Validation scheme: ~70% Training, ~10% Validation, and ~20% Test. Early stopping (patience = 15) and best-checkpoint selection are exclusively governed by validation accuracy. The held-out test split is evaluated only once on the finalized model checkpoint. Figures 4 and 5 from the original draft have been replaced with validation-only optimization traces (Figure 6). Furthermore, all image duplicates and augmentation operations were confined strictly within training folds.</w:t>
      </w:r>
    </w:p>
    <w:p w14:paraId="29280336"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Revised experimental protocol detailed in Section 4.2, Table 3, and Figure 6.</w:t>
      </w:r>
    </w:p>
    <w:p w14:paraId="7F0FEB28"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1A68D691" w14:textId="77777777" w:rsidTr="003F2F6F">
        <w:trPr>
          <w:jc w:val="center"/>
        </w:trPr>
        <w:tc>
          <w:tcPr>
            <w:tcW w:w="9360" w:type="dxa"/>
            <w:shd w:val="clear" w:color="auto" w:fill="auto"/>
            <w:tcMar>
              <w:top w:w="100" w:type="dxa"/>
              <w:left w:w="150" w:type="dxa"/>
              <w:bottom w:w="100" w:type="dxa"/>
              <w:right w:w="150" w:type="dxa"/>
            </w:tcMar>
          </w:tcPr>
          <w:p w14:paraId="20BD54BF"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2.2: </w:t>
            </w:r>
            <w:r w:rsidRPr="003F2F6F">
              <w:rPr>
                <w:rFonts w:cs="Times New Roman"/>
                <w:i/>
                <w:sz w:val="28"/>
                <w:szCs w:val="28"/>
              </w:rPr>
              <w:t>The reported improvements are also too small to demonstrate superiority from a single run. The gains over ViG are only 0.08 percentage points on PlantVillage and 0.23 points on Tiny ImageNet. The authors should repeat the experiments with multiple seeds and report confidence intervals, standard deviations and paired significance tests.</w:t>
            </w:r>
          </w:p>
        </w:tc>
      </w:tr>
    </w:tbl>
    <w:p w14:paraId="42FC2E79" w14:textId="77777777" w:rsidR="008F344F" w:rsidRPr="003F2F6F" w:rsidRDefault="008F344F" w:rsidP="003F2F6F">
      <w:pPr>
        <w:spacing w:after="80"/>
        <w:jc w:val="both"/>
        <w:rPr>
          <w:rFonts w:cs="Times New Roman"/>
          <w:sz w:val="28"/>
          <w:szCs w:val="28"/>
        </w:rPr>
      </w:pPr>
    </w:p>
    <w:p w14:paraId="5F8FC1D4"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fully agree. Across 5-fold cross-validation, we observed that while lab-curated PlantVillage is near saturation (&gt;99.7%), the true superiority of ViGATs emerges on challenging in-the-wild and transfer datasets: on PlantRaw, ViGATs achieves 86.12 ± 0.61% vs. ViG 85.01 ± 2.00% (+1.11% gain with much higher stability); on Tiny ImageNet from scratch, ViGATs reaches 45.73 ± 0.26% vs. non-GNN SOTA 37.50% (p &lt; 0.001); and on unseen drone transfer, ViGATs achieves 71.30 ± 4.10% vs. ViG 63.70 ± 5.25% (+7.60% gain). All metrics now include standard deviations and Holm-adjusted paired t-tests.</w:t>
      </w:r>
    </w:p>
    <w:p w14:paraId="290BD51B"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Updated Tables 4, 5, 6, 7 with 5-fold mean ± std and statistical significance.</w:t>
      </w:r>
    </w:p>
    <w:p w14:paraId="45FB46A6"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3F219336" w14:textId="77777777" w:rsidTr="003F2F6F">
        <w:trPr>
          <w:jc w:val="center"/>
        </w:trPr>
        <w:tc>
          <w:tcPr>
            <w:tcW w:w="9360" w:type="dxa"/>
            <w:shd w:val="clear" w:color="auto" w:fill="auto"/>
            <w:tcMar>
              <w:top w:w="100" w:type="dxa"/>
              <w:left w:w="150" w:type="dxa"/>
              <w:bottom w:w="100" w:type="dxa"/>
              <w:right w:w="150" w:type="dxa"/>
            </w:tcMar>
          </w:tcPr>
          <w:p w14:paraId="53D21FFA"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2.3: </w:t>
            </w:r>
            <w:r w:rsidRPr="003F2F6F">
              <w:rPr>
                <w:rFonts w:cs="Times New Roman"/>
                <w:i/>
                <w:sz w:val="28"/>
                <w:szCs w:val="28"/>
              </w:rPr>
              <w:t>The novelty must be clarified against AttentionViG (2025), which already introduced attention-based neighbour aggregation into Vision GNNs. Comparisons with standard GAT/GATv2, AttentionViG and parameter-matched baselines are needed. Ablations should separately examine the attention mechanism, number of heads, difference features and grouped projection.</w:t>
            </w:r>
          </w:p>
        </w:tc>
      </w:tr>
    </w:tbl>
    <w:p w14:paraId="06194CD9" w14:textId="77777777" w:rsidR="008F344F" w:rsidRPr="003F2F6F" w:rsidRDefault="008F344F" w:rsidP="003F2F6F">
      <w:pPr>
        <w:spacing w:after="80"/>
        <w:jc w:val="both"/>
        <w:rPr>
          <w:rFonts w:cs="Times New Roman"/>
          <w:sz w:val="28"/>
          <w:szCs w:val="28"/>
        </w:rPr>
      </w:pPr>
    </w:p>
    <w:p w14:paraId="13A5C639"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sincerely appreciate this comment. First, regarding AttentionViG (Gedik et al., 2025): it is a concurrent preprint on arXiv (arXiv:2509.25570) whose official codebase has not been made publicly available. Architecturally, AttentionViG utilizes cross-attention across full patch token embeddings. In contrast, ViGATs introduces an Edge-Difference Multi-Head Attention (GATConv) directly computing attention on difference vectors (x_j - x_i) with grouped linear projections. Second, to provide rigorous empirical grounding, we fully implemented and benchmarked the two foundational, peer-reviewed graph attention architectures: Standard GAT (Veličković et al., ICLR 2018) and Dynamic GATv2 (Brody et al., ICLR 2022) across all 5-fold benchmarks. Third, we added extensive ablations on attention heads (H=1,2,4,8), hidden dimension C, depth L, grouped projections, and activations in Table 9.</w:t>
      </w:r>
    </w:p>
    <w:p w14:paraId="59B244AF" w14:textId="77777777" w:rsidR="008F344F" w:rsidRPr="003F2F6F" w:rsidRDefault="00000000" w:rsidP="003F2F6F">
      <w:pPr>
        <w:jc w:val="both"/>
        <w:rPr>
          <w:rFonts w:cs="Times New Roman"/>
          <w:sz w:val="28"/>
          <w:szCs w:val="28"/>
        </w:rPr>
      </w:pPr>
      <w:r w:rsidRPr="003F2F6F">
        <w:rPr>
          <w:rFonts w:cs="Times New Roman"/>
          <w:b/>
          <w:i/>
          <w:color w:val="663300"/>
          <w:sz w:val="28"/>
          <w:szCs w:val="28"/>
        </w:rPr>
        <w:lastRenderedPageBreak/>
        <w:t xml:space="preserve">Manuscript Changes: </w:t>
      </w:r>
      <w:r w:rsidRPr="003F2F6F">
        <w:rPr>
          <w:rFonts w:cs="Times New Roman"/>
          <w:sz w:val="28"/>
          <w:szCs w:val="28"/>
        </w:rPr>
        <w:t>Clarified in Section 2.3 (Related Work), Section 3.5 (Operator Comparison, Table 1), and Section 5.1 (Extended Ablation Table 9).</w:t>
      </w:r>
    </w:p>
    <w:p w14:paraId="2701CE75"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1E6442D3" w14:textId="77777777" w:rsidTr="003F2F6F">
        <w:trPr>
          <w:jc w:val="center"/>
        </w:trPr>
        <w:tc>
          <w:tcPr>
            <w:tcW w:w="9360" w:type="dxa"/>
            <w:shd w:val="clear" w:color="auto" w:fill="auto"/>
            <w:tcMar>
              <w:top w:w="100" w:type="dxa"/>
              <w:left w:w="150" w:type="dxa"/>
              <w:bottom w:w="100" w:type="dxa"/>
              <w:right w:w="150" w:type="dxa"/>
            </w:tcMar>
          </w:tcPr>
          <w:p w14:paraId="0B5A3307"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2.4: </w:t>
            </w:r>
            <w:r w:rsidRPr="003F2F6F">
              <w:rPr>
                <w:rFonts w:cs="Times New Roman"/>
                <w:i/>
                <w:sz w:val="28"/>
                <w:szCs w:val="28"/>
              </w:rPr>
              <w:t>MRConv does not treat all neighbours equally; its channel-wise maximum selectively retains the strongest responses. The motivation should therefore be technically corrected.</w:t>
            </w:r>
          </w:p>
        </w:tc>
      </w:tr>
    </w:tbl>
    <w:p w14:paraId="076463BC" w14:textId="77777777" w:rsidR="008F344F" w:rsidRPr="003F2F6F" w:rsidRDefault="008F344F" w:rsidP="003F2F6F">
      <w:pPr>
        <w:spacing w:after="80"/>
        <w:jc w:val="both"/>
        <w:rPr>
          <w:rFonts w:cs="Times New Roman"/>
          <w:sz w:val="28"/>
          <w:szCs w:val="28"/>
        </w:rPr>
      </w:pPr>
    </w:p>
    <w:p w14:paraId="3152D6EC"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The reviewer is entirely correct. We have thoroughly revised the theoretical motivation in Sections 1 and 3.4. We now explicitly state that MRConv applies a channel-wise hard maximum operation over neighbor differences. We explain that while channel-wise max pooling retains peak feature responses, it enforces a rigid selection that discards subtle, multi-aspect contextual contributions from other neighbors, making it prone to background noise. GATConv overcomes this by learning adaptive, soft multi-head attention weights.</w:t>
      </w:r>
    </w:p>
    <w:p w14:paraId="520BFB58"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Corrected in Section 1 (Introduction) and Section 3.4 (MRConv Baseline).</w:t>
      </w:r>
    </w:p>
    <w:p w14:paraId="30B6301E"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1260FF16" w14:textId="77777777" w:rsidTr="003F2F6F">
        <w:trPr>
          <w:jc w:val="center"/>
        </w:trPr>
        <w:tc>
          <w:tcPr>
            <w:tcW w:w="9360" w:type="dxa"/>
            <w:shd w:val="clear" w:color="auto" w:fill="auto"/>
            <w:tcMar>
              <w:top w:w="100" w:type="dxa"/>
              <w:left w:w="150" w:type="dxa"/>
              <w:bottom w:w="100" w:type="dxa"/>
              <w:right w:w="150" w:type="dxa"/>
            </w:tcMar>
          </w:tcPr>
          <w:p w14:paraId="5860BDDF"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2.5: </w:t>
            </w:r>
            <w:r w:rsidRPr="003F2F6F">
              <w:rPr>
                <w:rFonts w:cs="Times New Roman"/>
                <w:i/>
                <w:sz w:val="28"/>
                <w:szCs w:val="28"/>
              </w:rPr>
              <w:t>The efficiency claims are inconsistent with the reported results. ViGATs requires 1.43 GFLOPs compared with 1.05 GFLOPs for ViG, despite using fewer neighbours. Its suitability for resource-constrained deployment cannot be concluded without latency, memory and hardware-based measurements. The claimed KNN complexity should also be revised.</w:t>
            </w:r>
          </w:p>
        </w:tc>
      </w:tr>
    </w:tbl>
    <w:p w14:paraId="2E26B820" w14:textId="77777777" w:rsidR="008F344F" w:rsidRPr="003F2F6F" w:rsidRDefault="008F344F" w:rsidP="003F2F6F">
      <w:pPr>
        <w:spacing w:after="80"/>
        <w:jc w:val="both"/>
        <w:rPr>
          <w:rFonts w:cs="Times New Roman"/>
          <w:sz w:val="28"/>
          <w:szCs w:val="28"/>
        </w:rPr>
      </w:pPr>
    </w:p>
    <w:p w14:paraId="1E7261E5"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Thank you for pointing out this discrepancy. In our optimized implementation using grouped projections, ViGATs requires only 1.13 GFLOPs (down from the unoptimized 1.43 GFLOPs in the preliminary draft), which is very close to ViG (1.05 GFLOPs) and 37.6% lower than GATv2 (1.81 GFLOPs). We conducted comprehensive physical profiling on an RTX 5070 Ti GPU, recording 129.8 MB VRAM and 74.0 FPS throughput. We also revised the dynamic KNN complexity explanation in Section 3.3.</w:t>
      </w:r>
    </w:p>
    <w:p w14:paraId="25223F7F" w14:textId="77777777" w:rsidR="008F344F" w:rsidRPr="003F2F6F" w:rsidRDefault="00000000" w:rsidP="003F2F6F">
      <w:pPr>
        <w:jc w:val="both"/>
        <w:rPr>
          <w:rFonts w:cs="Times New Roman"/>
          <w:sz w:val="28"/>
          <w:szCs w:val="28"/>
        </w:rPr>
      </w:pPr>
      <w:r w:rsidRPr="003F2F6F">
        <w:rPr>
          <w:rFonts w:cs="Times New Roman"/>
          <w:b/>
          <w:i/>
          <w:color w:val="663300"/>
          <w:sz w:val="28"/>
          <w:szCs w:val="28"/>
        </w:rPr>
        <w:lastRenderedPageBreak/>
        <w:t xml:space="preserve">Manuscript Changes: </w:t>
      </w:r>
      <w:r w:rsidRPr="003F2F6F">
        <w:rPr>
          <w:rFonts w:cs="Times New Roman"/>
          <w:sz w:val="28"/>
          <w:szCs w:val="28"/>
        </w:rPr>
        <w:t>Revised in Section 3.5 (Table 1), Section 3.6 (Table 2), and Section 6.3.</w:t>
      </w:r>
    </w:p>
    <w:p w14:paraId="2DEAB28B"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17720610" w14:textId="77777777" w:rsidTr="003F2F6F">
        <w:trPr>
          <w:jc w:val="center"/>
        </w:trPr>
        <w:tc>
          <w:tcPr>
            <w:tcW w:w="9360" w:type="dxa"/>
            <w:shd w:val="clear" w:color="auto" w:fill="auto"/>
            <w:tcMar>
              <w:top w:w="100" w:type="dxa"/>
              <w:left w:w="150" w:type="dxa"/>
              <w:bottom w:w="100" w:type="dxa"/>
              <w:right w:w="150" w:type="dxa"/>
            </w:tcMar>
          </w:tcPr>
          <w:p w14:paraId="1FD05C4F"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2.6: </w:t>
            </w:r>
            <w:r w:rsidRPr="003F2F6F">
              <w:rPr>
                <w:rFonts w:cs="Times New Roman"/>
                <w:i/>
                <w:sz w:val="28"/>
                <w:szCs w:val="28"/>
              </w:rPr>
              <w:t>The attention visualizations do not establish that the model focuses on disease regions because no localization annotations or quantitative evidence are provided. Several experimental details, split indices and implementation information are missing.</w:t>
            </w:r>
          </w:p>
        </w:tc>
      </w:tr>
    </w:tbl>
    <w:p w14:paraId="0C5F529B" w14:textId="77777777" w:rsidR="008F344F" w:rsidRPr="003F2F6F" w:rsidRDefault="008F344F" w:rsidP="003F2F6F">
      <w:pPr>
        <w:spacing w:after="80"/>
        <w:jc w:val="both"/>
        <w:rPr>
          <w:rFonts w:cs="Times New Roman"/>
          <w:sz w:val="28"/>
          <w:szCs w:val="28"/>
        </w:rPr>
      </w:pPr>
    </w:p>
    <w:p w14:paraId="3FF0C007"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have enhanced visual interpretability by adding query-key cosine similarity visualizations (Figure 9) from Grapher block 1 on Rice Blast and Bacterial Blight samples. The heatmaps demonstrate that the model selectively focuses on disconnected lesion spots across the leaf while ignoring healthy foliage. Furthermore, we have published the complete 5-fold cross-validation split indices, preprocessing code, and reproduction scripts on our open GitHub repository (https://github.com/ViGATs-Plant/ViGATs) and archived PlantRaw metadata on Zenodo (DOI: 10.5281/zenodo.21869021).</w:t>
      </w:r>
    </w:p>
    <w:p w14:paraId="12039D78"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Added Figure 9, Section 6.2, and Data Availability Statement.</w:t>
      </w:r>
    </w:p>
    <w:p w14:paraId="2FBCBEAA" w14:textId="77777777" w:rsidR="008F344F" w:rsidRPr="003F2F6F" w:rsidRDefault="008F344F" w:rsidP="003F2F6F">
      <w:pPr>
        <w:spacing w:after="160"/>
        <w:jc w:val="both"/>
        <w:rPr>
          <w:rFonts w:cs="Times New Roman"/>
          <w:sz w:val="28"/>
          <w:szCs w:val="28"/>
        </w:rPr>
      </w:pPr>
    </w:p>
    <w:p w14:paraId="76EB50D4" w14:textId="77777777" w:rsidR="008F344F" w:rsidRPr="003F2F6F" w:rsidRDefault="00000000" w:rsidP="003F2F6F">
      <w:pPr>
        <w:jc w:val="both"/>
        <w:rPr>
          <w:rFonts w:cs="Times New Roman"/>
          <w:sz w:val="28"/>
          <w:szCs w:val="28"/>
        </w:rPr>
      </w:pPr>
      <w:r w:rsidRPr="003F2F6F">
        <w:rPr>
          <w:rFonts w:cs="Times New Roman"/>
          <w:b/>
          <w:color w:val="800000"/>
          <w:sz w:val="28"/>
          <w:szCs w:val="28"/>
        </w:rPr>
        <w:t>RESPONSE TO REVIEWER #3</w:t>
      </w:r>
    </w:p>
    <w:tbl>
      <w:tblPr>
        <w:tblW w:w="0" w:type="auto"/>
        <w:jc w:val="center"/>
        <w:tblLayout w:type="fixed"/>
        <w:tblLook w:val="04A0" w:firstRow="1" w:lastRow="0" w:firstColumn="1" w:lastColumn="0" w:noHBand="0" w:noVBand="1"/>
      </w:tblPr>
      <w:tblGrid>
        <w:gridCol w:w="9360"/>
      </w:tblGrid>
      <w:tr w:rsidR="008F344F" w:rsidRPr="003F2F6F" w14:paraId="65BC75DE" w14:textId="77777777" w:rsidTr="003F2F6F">
        <w:trPr>
          <w:jc w:val="center"/>
        </w:trPr>
        <w:tc>
          <w:tcPr>
            <w:tcW w:w="9360" w:type="dxa"/>
            <w:shd w:val="clear" w:color="auto" w:fill="auto"/>
            <w:tcMar>
              <w:top w:w="100" w:type="dxa"/>
              <w:left w:w="150" w:type="dxa"/>
              <w:bottom w:w="100" w:type="dxa"/>
              <w:right w:w="150" w:type="dxa"/>
            </w:tcMar>
          </w:tcPr>
          <w:p w14:paraId="3C88C363"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3.1: </w:t>
            </w:r>
            <w:r w:rsidRPr="003F2F6F">
              <w:rPr>
                <w:rFonts w:cs="Times New Roman"/>
                <w:i/>
                <w:sz w:val="28"/>
                <w:szCs w:val="28"/>
              </w:rPr>
              <w:t>The manuscript should clearly articulate the theoretical novelty and distinguish ViGATs from prior GAT-based vision models and Vision GNN variants.</w:t>
            </w:r>
          </w:p>
        </w:tc>
      </w:tr>
    </w:tbl>
    <w:p w14:paraId="0A02BBBD" w14:textId="77777777" w:rsidR="008F344F" w:rsidRPr="003F2F6F" w:rsidRDefault="008F344F" w:rsidP="003F2F6F">
      <w:pPr>
        <w:spacing w:after="80"/>
        <w:jc w:val="both"/>
        <w:rPr>
          <w:rFonts w:cs="Times New Roman"/>
          <w:sz w:val="28"/>
          <w:szCs w:val="28"/>
        </w:rPr>
      </w:pPr>
    </w:p>
    <w:p w14:paraId="25E8FF54"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have refined Section 3 to explicitly formulate the theoretical formulation of GATConv. We provided: (1) Algorithm 1 detailing the four-step message passing and attention mechanism, (2) Table 1 comparing MRConv, GAT, GATv2, and GATConv across projection levels and mathematical scoring formulations, and (3) Figure 4 showing the complete numerical calculation flowchart.</w:t>
      </w:r>
    </w:p>
    <w:p w14:paraId="7697FFCC" w14:textId="77777777" w:rsidR="008F344F" w:rsidRPr="003F2F6F" w:rsidRDefault="00000000" w:rsidP="003F2F6F">
      <w:pPr>
        <w:jc w:val="both"/>
        <w:rPr>
          <w:rFonts w:cs="Times New Roman"/>
          <w:sz w:val="28"/>
          <w:szCs w:val="28"/>
        </w:rPr>
      </w:pPr>
      <w:r w:rsidRPr="003F2F6F">
        <w:rPr>
          <w:rFonts w:cs="Times New Roman"/>
          <w:b/>
          <w:i/>
          <w:color w:val="663300"/>
          <w:sz w:val="28"/>
          <w:szCs w:val="28"/>
        </w:rPr>
        <w:lastRenderedPageBreak/>
        <w:t xml:space="preserve">Manuscript Changes: </w:t>
      </w:r>
      <w:r w:rsidRPr="003F2F6F">
        <w:rPr>
          <w:rFonts w:cs="Times New Roman"/>
          <w:sz w:val="28"/>
          <w:szCs w:val="28"/>
        </w:rPr>
        <w:t>Detailed in Section 3.5, Algorithm 1, Table 1, and Figure 4.</w:t>
      </w:r>
    </w:p>
    <w:p w14:paraId="403D1D7C"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517ACF53" w14:textId="77777777" w:rsidTr="003F2F6F">
        <w:trPr>
          <w:jc w:val="center"/>
        </w:trPr>
        <w:tc>
          <w:tcPr>
            <w:tcW w:w="9360" w:type="dxa"/>
            <w:shd w:val="clear" w:color="auto" w:fill="auto"/>
            <w:tcMar>
              <w:top w:w="100" w:type="dxa"/>
              <w:left w:w="150" w:type="dxa"/>
              <w:bottom w:w="100" w:type="dxa"/>
              <w:right w:w="150" w:type="dxa"/>
            </w:tcMar>
          </w:tcPr>
          <w:p w14:paraId="03A0F8F0"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3.2: </w:t>
            </w:r>
            <w:r w:rsidRPr="003F2F6F">
              <w:rPr>
                <w:rFonts w:cs="Times New Roman"/>
                <w:i/>
                <w:sz w:val="28"/>
                <w:szCs w:val="28"/>
              </w:rPr>
              <w:t>Performance gains are largely demonstrated on curated datasets, while generalization to real-world scenarios remains limited. The authors should discuss this limitation and propose strategies to improve generalization.</w:t>
            </w:r>
          </w:p>
        </w:tc>
      </w:tr>
    </w:tbl>
    <w:p w14:paraId="6F708F92" w14:textId="77777777" w:rsidR="008F344F" w:rsidRPr="003F2F6F" w:rsidRDefault="008F344F" w:rsidP="003F2F6F">
      <w:pPr>
        <w:spacing w:after="80"/>
        <w:jc w:val="both"/>
        <w:rPr>
          <w:rFonts w:cs="Times New Roman"/>
          <w:sz w:val="28"/>
          <w:szCs w:val="28"/>
        </w:rPr>
      </w:pPr>
    </w:p>
    <w:p w14:paraId="4C40CDDF"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addressed this by evaluating on two challenging real-world benchmarks: (1) PlantRaw (16,165 images from 9 field sources), where ViGATs achieves 86.12% accuracy, outperforming all CNN and ViT baselines; and (2) Unseen drone aerial transfer on IIITDMJ Maize (71.30% zero-shot accuracy). We also added an in-depth discussion on edge deployment, camera perspective shifts, and future extensions to approximate KNN in Section 6.3.</w:t>
      </w:r>
    </w:p>
    <w:p w14:paraId="6D26CB56"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Incorporated in Sections 4.1.1, 5.2.1, 5.3, and 6.3.</w:t>
      </w:r>
    </w:p>
    <w:p w14:paraId="04538E98"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409D6519" w14:textId="77777777" w:rsidTr="003F2F6F">
        <w:trPr>
          <w:jc w:val="center"/>
        </w:trPr>
        <w:tc>
          <w:tcPr>
            <w:tcW w:w="9360" w:type="dxa"/>
            <w:shd w:val="clear" w:color="auto" w:fill="auto"/>
            <w:tcMar>
              <w:top w:w="100" w:type="dxa"/>
              <w:left w:w="150" w:type="dxa"/>
              <w:bottom w:w="100" w:type="dxa"/>
              <w:right w:w="150" w:type="dxa"/>
            </w:tcMar>
          </w:tcPr>
          <w:p w14:paraId="14920383"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3.3: </w:t>
            </w:r>
            <w:r w:rsidRPr="003F2F6F">
              <w:rPr>
                <w:rFonts w:cs="Times New Roman"/>
                <w:i/>
                <w:sz w:val="28"/>
                <w:szCs w:val="28"/>
              </w:rPr>
              <w:t>Multi-head graph attention increases computational overhead. However, the manuscript does not provide comparisons of training time, inference speed, FLOPs, memory consumption, parameter count, or latency.</w:t>
            </w:r>
          </w:p>
        </w:tc>
      </w:tr>
    </w:tbl>
    <w:p w14:paraId="713C45DF" w14:textId="77777777" w:rsidR="008F344F" w:rsidRPr="003F2F6F" w:rsidRDefault="008F344F" w:rsidP="003F2F6F">
      <w:pPr>
        <w:spacing w:after="80"/>
        <w:jc w:val="both"/>
        <w:rPr>
          <w:rFonts w:cs="Times New Roman"/>
          <w:sz w:val="28"/>
          <w:szCs w:val="28"/>
        </w:rPr>
      </w:pPr>
    </w:p>
    <w:p w14:paraId="30517B64"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have conducted rigorous hardware measurements across all evaluated models on an NVIDIA RTX 5070 Ti GPU. Table 2 now reports: Parameters (4.67M), GFLOPs (1.13), Peak VRAM (129.8 MB), and Inference Throughput (74.0 FPS). Furthermore, Table 9 reports wall-clock training time per epoch (36.6 s/epoch) across various architectural configurations.</w:t>
      </w:r>
    </w:p>
    <w:p w14:paraId="40F77D13"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Added Table 2 (Section 3.6) and Table 9 (Section 5.1).</w:t>
      </w:r>
    </w:p>
    <w:p w14:paraId="71862242"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5D4B979D" w14:textId="77777777" w:rsidTr="003F2F6F">
        <w:trPr>
          <w:jc w:val="center"/>
        </w:trPr>
        <w:tc>
          <w:tcPr>
            <w:tcW w:w="9360" w:type="dxa"/>
            <w:shd w:val="clear" w:color="auto" w:fill="auto"/>
            <w:tcMar>
              <w:top w:w="100" w:type="dxa"/>
              <w:left w:w="150" w:type="dxa"/>
              <w:bottom w:w="100" w:type="dxa"/>
              <w:right w:w="150" w:type="dxa"/>
            </w:tcMar>
          </w:tcPr>
          <w:p w14:paraId="41DD2E72"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3.4: </w:t>
            </w:r>
            <w:r w:rsidRPr="003F2F6F">
              <w:rPr>
                <w:rFonts w:cs="Times New Roman"/>
                <w:i/>
                <w:sz w:val="28"/>
                <w:szCs w:val="28"/>
              </w:rPr>
              <w:t>Additional experiments should evaluate the influence of: Number of attention heads, Hidden dimensions, Graph construction strategy, MLP architecture, Attention activation functions, Number of graph layers.</w:t>
            </w:r>
          </w:p>
        </w:tc>
      </w:tr>
    </w:tbl>
    <w:p w14:paraId="380457D3" w14:textId="77777777" w:rsidR="008F344F" w:rsidRPr="003F2F6F" w:rsidRDefault="008F344F" w:rsidP="003F2F6F">
      <w:pPr>
        <w:spacing w:after="80"/>
        <w:jc w:val="both"/>
        <w:rPr>
          <w:rFonts w:cs="Times New Roman"/>
          <w:sz w:val="28"/>
          <w:szCs w:val="28"/>
        </w:rPr>
      </w:pPr>
    </w:p>
    <w:p w14:paraId="19AA01D0"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conducted an extensive one-factor-at-a-time ablation study (Table 9) systematically examining: (1) Attention heads H in {1, 2, 4, 8}, (2) Grapher blocks L in {4, 6, 8, 12}, (3) Hidden dimension C in {96, 144, 192, 256}, (4) Attention activation functions (LeakyReLU vs. GELU vs. ReLU), and (5) Neighborhood size K in {3, 5, 7, 9} (Table 8).</w:t>
      </w:r>
    </w:p>
    <w:p w14:paraId="2A1438F8"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Reported in Section 5.1, Table 8, and Table 9.</w:t>
      </w:r>
    </w:p>
    <w:p w14:paraId="64DA429B"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647F5F7B" w14:textId="77777777" w:rsidTr="003F2F6F">
        <w:trPr>
          <w:jc w:val="center"/>
        </w:trPr>
        <w:tc>
          <w:tcPr>
            <w:tcW w:w="9360" w:type="dxa"/>
            <w:shd w:val="clear" w:color="auto" w:fill="auto"/>
            <w:tcMar>
              <w:top w:w="100" w:type="dxa"/>
              <w:left w:w="150" w:type="dxa"/>
              <w:bottom w:w="100" w:type="dxa"/>
              <w:right w:w="150" w:type="dxa"/>
            </w:tcMar>
          </w:tcPr>
          <w:p w14:paraId="243A1D36"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3.5: </w:t>
            </w:r>
            <w:r w:rsidRPr="003F2F6F">
              <w:rPr>
                <w:rFonts w:cs="Times New Roman"/>
                <w:i/>
                <w:sz w:val="28"/>
                <w:szCs w:val="28"/>
              </w:rPr>
              <w:t>Manuscript should compare ViGATs with recent state-of-the-art models, including Vision Transformers, Swin Transformer, ConvNeXt, Mamba-based architectures, EfficientNetV2, and hybrid CNN-transformer networks.</w:t>
            </w:r>
          </w:p>
        </w:tc>
      </w:tr>
    </w:tbl>
    <w:p w14:paraId="057EDABD" w14:textId="77777777" w:rsidR="008F344F" w:rsidRPr="003F2F6F" w:rsidRDefault="008F344F" w:rsidP="003F2F6F">
      <w:pPr>
        <w:spacing w:after="80"/>
        <w:jc w:val="both"/>
        <w:rPr>
          <w:rFonts w:cs="Times New Roman"/>
          <w:sz w:val="28"/>
          <w:szCs w:val="28"/>
        </w:rPr>
      </w:pPr>
    </w:p>
    <w:p w14:paraId="6E9A2B19"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substantially expanded our baseline comparisons by adding: ConvNeXt-Tiny (2022), EfficientNetV2-S (2021), Swin-T (2021), MambaOut-Tiny (2024 SSM), FastViT-T8 (2023), RepViT-M1 (2024), and EfficientViT-B1 (2023), alongside ResNet-18, ViT, ViG, ViG+GAT, and ViG+GATv2. ViGATs consistently achieves the highest accuracy across all 5-fold benchmarks.</w:t>
      </w:r>
    </w:p>
    <w:p w14:paraId="2B743EE4"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Presented in Table 3 (Baseline overview), Tables 4, 5, 6, 7 (Benchmark results), and Table 8 (Summary).</w:t>
      </w:r>
    </w:p>
    <w:p w14:paraId="259D7E61"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555FD611" w14:textId="77777777" w:rsidTr="003F2F6F">
        <w:trPr>
          <w:jc w:val="center"/>
        </w:trPr>
        <w:tc>
          <w:tcPr>
            <w:tcW w:w="9360" w:type="dxa"/>
            <w:shd w:val="clear" w:color="auto" w:fill="auto"/>
            <w:tcMar>
              <w:top w:w="100" w:type="dxa"/>
              <w:left w:w="150" w:type="dxa"/>
              <w:bottom w:w="100" w:type="dxa"/>
              <w:right w:w="150" w:type="dxa"/>
            </w:tcMar>
          </w:tcPr>
          <w:p w14:paraId="26062901"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3.6: </w:t>
            </w:r>
            <w:r w:rsidRPr="003F2F6F">
              <w:rPr>
                <w:rFonts w:cs="Times New Roman"/>
                <w:i/>
                <w:sz w:val="28"/>
                <w:szCs w:val="28"/>
              </w:rPr>
              <w:t>The manuscript lacks qualitative analysis of misclassified samples. Including representative failure cases would provide valuable insight into the limitations of the proposed approach.</w:t>
            </w:r>
          </w:p>
        </w:tc>
      </w:tr>
    </w:tbl>
    <w:p w14:paraId="58A427AF" w14:textId="77777777" w:rsidR="008F344F" w:rsidRPr="003F2F6F" w:rsidRDefault="008F344F" w:rsidP="003F2F6F">
      <w:pPr>
        <w:spacing w:after="80"/>
        <w:jc w:val="both"/>
        <w:rPr>
          <w:rFonts w:cs="Times New Roman"/>
          <w:sz w:val="28"/>
          <w:szCs w:val="28"/>
        </w:rPr>
      </w:pPr>
    </w:p>
    <w:p w14:paraId="2C9358CA"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 xml:space="preserve">We included confusion matrices (Figure 7), t-SNE manifold projections (Figure 8), and an in-depth discussion of misclassified samples in Section 6.3. We analyzed that failure cases primarily occur in severe cross-domain perspective shifts (drone high altitude) or extreme image blur, and outlined </w:t>
      </w:r>
      <w:r w:rsidRPr="003F2F6F">
        <w:rPr>
          <w:rFonts w:cs="Times New Roman"/>
          <w:sz w:val="28"/>
          <w:szCs w:val="28"/>
        </w:rPr>
        <w:lastRenderedPageBreak/>
        <w:t>actionable avenues for future research (e.g., multi-scale graph pyramids and approximate KNN search).</w:t>
      </w:r>
    </w:p>
    <w:p w14:paraId="2BC20CA9"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Added Figure 7, Figure 8, and Section 6.3.</w:t>
      </w:r>
    </w:p>
    <w:p w14:paraId="4E6C699D" w14:textId="77777777" w:rsidR="008F344F" w:rsidRPr="003F2F6F" w:rsidRDefault="008F344F" w:rsidP="003F2F6F">
      <w:pPr>
        <w:spacing w:after="160"/>
        <w:jc w:val="both"/>
        <w:rPr>
          <w:rFonts w:cs="Times New Roman"/>
          <w:sz w:val="28"/>
          <w:szCs w:val="28"/>
        </w:rPr>
      </w:pPr>
    </w:p>
    <w:p w14:paraId="301C8B0C" w14:textId="77777777" w:rsidR="008F344F" w:rsidRPr="003F2F6F" w:rsidRDefault="008F344F" w:rsidP="003F2F6F">
      <w:pPr>
        <w:spacing w:after="240"/>
        <w:jc w:val="both"/>
        <w:rPr>
          <w:rFonts w:cs="Times New Roman"/>
          <w:sz w:val="28"/>
          <w:szCs w:val="28"/>
        </w:rPr>
      </w:pPr>
    </w:p>
    <w:p w14:paraId="520F0B1F" w14:textId="77777777" w:rsidR="008F344F" w:rsidRPr="003F2F6F" w:rsidRDefault="00000000" w:rsidP="003F2F6F">
      <w:pPr>
        <w:spacing w:after="240"/>
        <w:jc w:val="both"/>
        <w:rPr>
          <w:rFonts w:cs="Times New Roman"/>
          <w:sz w:val="28"/>
          <w:szCs w:val="28"/>
        </w:rPr>
      </w:pPr>
      <w:r w:rsidRPr="003F2F6F">
        <w:rPr>
          <w:rFonts w:cs="Times New Roman"/>
          <w:sz w:val="28"/>
          <w:szCs w:val="28"/>
        </w:rPr>
        <w:t>Once again, we express our heartfelt appreciation to the Editor and the Reviewers for their constructive critiques, which have substantially enhanced the scientific rigor, reproducibility, and clarity of our manuscript. We hope the revised manuscript and our detailed responses meet the high standards of the Journal of Information and Telecommunication.</w:t>
      </w:r>
    </w:p>
    <w:p w14:paraId="0E9C2398" w14:textId="77777777" w:rsidR="003F2F6F" w:rsidRDefault="00000000" w:rsidP="003F2F6F">
      <w:pPr>
        <w:jc w:val="both"/>
        <w:rPr>
          <w:rFonts w:cs="Times New Roman"/>
          <w:b/>
          <w:sz w:val="28"/>
          <w:szCs w:val="28"/>
        </w:rPr>
      </w:pPr>
      <w:r w:rsidRPr="003F2F6F">
        <w:rPr>
          <w:rFonts w:cs="Times New Roman"/>
          <w:b/>
          <w:sz w:val="28"/>
          <w:szCs w:val="28"/>
        </w:rPr>
        <w:t>Sincerely,</w:t>
      </w:r>
    </w:p>
    <w:p w14:paraId="26A6D77D" w14:textId="170E4242" w:rsidR="003F2F6F" w:rsidRDefault="00000000" w:rsidP="003F2F6F">
      <w:pPr>
        <w:jc w:val="both"/>
        <w:rPr>
          <w:rFonts w:cs="Times New Roman"/>
          <w:sz w:val="28"/>
          <w:szCs w:val="28"/>
        </w:rPr>
      </w:pPr>
      <w:r w:rsidRPr="003F2F6F">
        <w:rPr>
          <w:rFonts w:cs="Times New Roman"/>
          <w:sz w:val="28"/>
          <w:szCs w:val="28"/>
        </w:rPr>
        <w:t>Thanh-Hai Tong-Le, Minh-Hai Le, and Thanh-Nghi Doan*</w:t>
      </w:r>
    </w:p>
    <w:p w14:paraId="18F0D908" w14:textId="77777777" w:rsidR="003F2F6F" w:rsidRDefault="00000000" w:rsidP="003F2F6F">
      <w:pPr>
        <w:jc w:val="both"/>
        <w:rPr>
          <w:rFonts w:cs="Times New Roman"/>
          <w:sz w:val="28"/>
          <w:szCs w:val="28"/>
        </w:rPr>
      </w:pPr>
      <w:r w:rsidRPr="003F2F6F">
        <w:rPr>
          <w:rFonts w:cs="Times New Roman"/>
          <w:sz w:val="28"/>
          <w:szCs w:val="28"/>
        </w:rPr>
        <w:t>On behalf of all authors</w:t>
      </w:r>
    </w:p>
    <w:p w14:paraId="1F1D034F" w14:textId="77777777" w:rsidR="003F2F6F" w:rsidRDefault="00000000" w:rsidP="003F2F6F">
      <w:pPr>
        <w:jc w:val="both"/>
        <w:rPr>
          <w:rFonts w:cs="Times New Roman"/>
          <w:sz w:val="28"/>
          <w:szCs w:val="28"/>
        </w:rPr>
      </w:pPr>
      <w:r w:rsidRPr="003F2F6F">
        <w:rPr>
          <w:rFonts w:cs="Times New Roman"/>
          <w:sz w:val="28"/>
          <w:szCs w:val="28"/>
        </w:rPr>
        <w:t>Faculty of Information Technology, An Giang University, VNU-HCM, Vietnam</w:t>
      </w:r>
    </w:p>
    <w:p w14:paraId="262A9435" w14:textId="4C958506" w:rsidR="008F344F" w:rsidRPr="003F2F6F" w:rsidRDefault="00000000" w:rsidP="003F2F6F">
      <w:pPr>
        <w:jc w:val="both"/>
        <w:rPr>
          <w:rFonts w:cs="Times New Roman"/>
          <w:sz w:val="28"/>
          <w:szCs w:val="28"/>
        </w:rPr>
      </w:pPr>
      <w:r w:rsidRPr="003F2F6F">
        <w:rPr>
          <w:rFonts w:cs="Times New Roman"/>
          <w:sz w:val="28"/>
          <w:szCs w:val="28"/>
        </w:rPr>
        <w:t>Email: dtnghi@agu.edu.vn</w:t>
      </w:r>
    </w:p>
    <w:sectPr w:rsidR="008F344F" w:rsidRPr="003F2F6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3230676">
    <w:abstractNumId w:val="8"/>
  </w:num>
  <w:num w:numId="2" w16cid:durableId="1354769725">
    <w:abstractNumId w:val="6"/>
  </w:num>
  <w:num w:numId="3" w16cid:durableId="1749494298">
    <w:abstractNumId w:val="5"/>
  </w:num>
  <w:num w:numId="4" w16cid:durableId="1222402639">
    <w:abstractNumId w:val="4"/>
  </w:num>
  <w:num w:numId="5" w16cid:durableId="306937280">
    <w:abstractNumId w:val="7"/>
  </w:num>
  <w:num w:numId="6" w16cid:durableId="1587959579">
    <w:abstractNumId w:val="3"/>
  </w:num>
  <w:num w:numId="7" w16cid:durableId="1080172675">
    <w:abstractNumId w:val="2"/>
  </w:num>
  <w:num w:numId="8" w16cid:durableId="454299045">
    <w:abstractNumId w:val="1"/>
  </w:num>
  <w:num w:numId="9" w16cid:durableId="1864973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470E"/>
    <w:rsid w:val="0029639D"/>
    <w:rsid w:val="00326F90"/>
    <w:rsid w:val="003F2F6F"/>
    <w:rsid w:val="008F344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E46DED"/>
  <w14:defaultImageDpi w14:val="300"/>
  <w15:docId w15:val="{7278C27C-B5AE-41A5-B753-2090B0F9D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11</Pages>
  <Words>2743</Words>
  <Characters>15639</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2</cp:revision>
  <dcterms:created xsi:type="dcterms:W3CDTF">2013-12-23T23:15:00Z</dcterms:created>
  <dcterms:modified xsi:type="dcterms:W3CDTF">2026-08-28T22:10:00Z</dcterms:modified>
  <cp:category/>
</cp:coreProperties>
</file>