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0C2AE" w14:textId="77777777" w:rsidR="002B56F5" w:rsidRPr="00CA5187" w:rsidRDefault="00000000" w:rsidP="00A15E6A">
      <w:pPr>
        <w:spacing w:line="240" w:lineRule="auto"/>
        <w:jc w:val="center"/>
        <w:rPr>
          <w:rFonts w:cs="Times New Roman"/>
          <w:sz w:val="28"/>
          <w:szCs w:val="28"/>
        </w:rPr>
      </w:pPr>
      <w:r w:rsidRPr="00CA5187">
        <w:rPr>
          <w:rFonts w:cs="Times New Roman"/>
          <w:b/>
          <w:color w:val="003366"/>
          <w:sz w:val="28"/>
          <w:szCs w:val="28"/>
        </w:rPr>
        <w:t>POINT-BY-POINT RESPONSE TO REVIEWERS' COMMENTS</w:t>
      </w:r>
    </w:p>
    <w:p w14:paraId="4E996D91" w14:textId="77777777" w:rsidR="002B56F5" w:rsidRPr="00A15E6A" w:rsidRDefault="00000000" w:rsidP="00A15E6A">
      <w:pPr>
        <w:spacing w:line="240" w:lineRule="auto"/>
        <w:jc w:val="center"/>
        <w:rPr>
          <w:rFonts w:cs="Times New Roman"/>
          <w:color w:val="000000" w:themeColor="text1"/>
          <w:sz w:val="28"/>
          <w:szCs w:val="28"/>
        </w:rPr>
      </w:pPr>
      <w:r w:rsidRPr="00A15E6A">
        <w:rPr>
          <w:rFonts w:cs="Times New Roman"/>
          <w:i/>
          <w:color w:val="000000" w:themeColor="text1"/>
          <w:sz w:val="28"/>
          <w:szCs w:val="28"/>
        </w:rPr>
        <w:t>Journal of Information and Telecommunication (Taylor &amp; Francis)</w:t>
      </w:r>
      <w:r w:rsidRPr="00A15E6A">
        <w:rPr>
          <w:rFonts w:cs="Times New Roman"/>
          <w:i/>
          <w:color w:val="000000" w:themeColor="text1"/>
          <w:sz w:val="28"/>
          <w:szCs w:val="28"/>
        </w:rPr>
        <w:br/>
        <w:t>Ref.: Ms. No. 266350252 (Revision Round)</w:t>
      </w:r>
    </w:p>
    <w:p w14:paraId="6F0D4424" w14:textId="77777777" w:rsidR="002B56F5" w:rsidRPr="00CA5187" w:rsidRDefault="002B56F5" w:rsidP="00A15E6A">
      <w:pPr>
        <w:spacing w:line="240" w:lineRule="auto"/>
        <w:rPr>
          <w:rFonts w:cs="Times New Roman"/>
          <w:sz w:val="28"/>
          <w:szCs w:val="28"/>
        </w:rPr>
      </w:pPr>
    </w:p>
    <w:tbl>
      <w:tblPr>
        <w:tblW w:w="10068" w:type="dxa"/>
        <w:jc w:val="center"/>
        <w:tblLayout w:type="fixed"/>
        <w:tblLook w:val="04A0" w:firstRow="1" w:lastRow="0" w:firstColumn="1" w:lastColumn="0" w:noHBand="0" w:noVBand="1"/>
      </w:tblPr>
      <w:tblGrid>
        <w:gridCol w:w="3064"/>
        <w:gridCol w:w="7004"/>
      </w:tblGrid>
      <w:tr w:rsidR="002B56F5" w:rsidRPr="00CA5187" w14:paraId="64D0DC7D" w14:textId="77777777" w:rsidTr="002B60DA">
        <w:trPr>
          <w:jc w:val="center"/>
        </w:trPr>
        <w:tc>
          <w:tcPr>
            <w:tcW w:w="3064" w:type="dxa"/>
            <w:shd w:val="clear" w:color="auto" w:fill="auto"/>
            <w:tcMar>
              <w:top w:w="80" w:type="dxa"/>
              <w:left w:w="100" w:type="dxa"/>
              <w:bottom w:w="80" w:type="dxa"/>
              <w:right w:w="100" w:type="dxa"/>
            </w:tcMar>
          </w:tcPr>
          <w:p w14:paraId="6AFC0B91" w14:textId="77777777" w:rsidR="002B56F5" w:rsidRPr="00CA5187" w:rsidRDefault="00000000" w:rsidP="00A15E6A">
            <w:pPr>
              <w:spacing w:line="240" w:lineRule="auto"/>
              <w:rPr>
                <w:rFonts w:cs="Times New Roman"/>
                <w:sz w:val="28"/>
                <w:szCs w:val="28"/>
              </w:rPr>
            </w:pPr>
            <w:r w:rsidRPr="00CA5187">
              <w:rPr>
                <w:rFonts w:cs="Times New Roman"/>
                <w:b/>
                <w:sz w:val="28"/>
                <w:szCs w:val="28"/>
              </w:rPr>
              <w:t>Manuscript Title:</w:t>
            </w:r>
          </w:p>
        </w:tc>
        <w:tc>
          <w:tcPr>
            <w:tcW w:w="7004" w:type="dxa"/>
            <w:shd w:val="clear" w:color="auto" w:fill="auto"/>
            <w:tcMar>
              <w:top w:w="80" w:type="dxa"/>
              <w:left w:w="100" w:type="dxa"/>
              <w:bottom w:w="80" w:type="dxa"/>
              <w:right w:w="100" w:type="dxa"/>
            </w:tcMar>
          </w:tcPr>
          <w:p w14:paraId="6254A87E" w14:textId="412F862B" w:rsidR="002B56F5" w:rsidRPr="00CA5187" w:rsidRDefault="00000000" w:rsidP="00A15E6A">
            <w:pPr>
              <w:spacing w:line="240" w:lineRule="auto"/>
              <w:rPr>
                <w:rFonts w:cs="Times New Roman"/>
                <w:sz w:val="28"/>
                <w:szCs w:val="28"/>
              </w:rPr>
            </w:pPr>
            <w:r w:rsidRPr="00CA5187">
              <w:rPr>
                <w:rFonts w:cs="Times New Roman"/>
                <w:sz w:val="28"/>
                <w:szCs w:val="28"/>
              </w:rPr>
              <w:t>ViGATs: Vision Graph Attention Networks for</w:t>
            </w:r>
            <w:r w:rsidR="00CA5187">
              <w:rPr>
                <w:rFonts w:cs="Times New Roman"/>
                <w:sz w:val="28"/>
                <w:szCs w:val="28"/>
              </w:rPr>
              <w:br/>
            </w:r>
            <w:r w:rsidRPr="00CA5187">
              <w:rPr>
                <w:rFonts w:cs="Times New Roman"/>
                <w:sz w:val="28"/>
                <w:szCs w:val="28"/>
              </w:rPr>
              <w:t>Enhanced Plant Leaf Disease Classification</w:t>
            </w:r>
          </w:p>
        </w:tc>
      </w:tr>
      <w:tr w:rsidR="002B56F5" w:rsidRPr="00CA5187" w14:paraId="4472B8FC" w14:textId="77777777" w:rsidTr="002B60DA">
        <w:trPr>
          <w:jc w:val="center"/>
        </w:trPr>
        <w:tc>
          <w:tcPr>
            <w:tcW w:w="3064" w:type="dxa"/>
            <w:shd w:val="clear" w:color="auto" w:fill="auto"/>
            <w:tcMar>
              <w:top w:w="80" w:type="dxa"/>
              <w:left w:w="100" w:type="dxa"/>
              <w:bottom w:w="80" w:type="dxa"/>
              <w:right w:w="100" w:type="dxa"/>
            </w:tcMar>
          </w:tcPr>
          <w:p w14:paraId="3BA784C5" w14:textId="77777777" w:rsidR="002B56F5" w:rsidRPr="00CA5187" w:rsidRDefault="00000000" w:rsidP="00A15E6A">
            <w:pPr>
              <w:spacing w:line="240" w:lineRule="auto"/>
              <w:rPr>
                <w:rFonts w:cs="Times New Roman"/>
                <w:sz w:val="28"/>
                <w:szCs w:val="28"/>
              </w:rPr>
            </w:pPr>
            <w:r w:rsidRPr="00CA5187">
              <w:rPr>
                <w:rFonts w:cs="Times New Roman"/>
                <w:b/>
                <w:sz w:val="28"/>
                <w:szCs w:val="28"/>
              </w:rPr>
              <w:t>Authors:</w:t>
            </w:r>
          </w:p>
        </w:tc>
        <w:tc>
          <w:tcPr>
            <w:tcW w:w="7004" w:type="dxa"/>
            <w:shd w:val="clear" w:color="auto" w:fill="auto"/>
            <w:tcMar>
              <w:top w:w="80" w:type="dxa"/>
              <w:left w:w="100" w:type="dxa"/>
              <w:bottom w:w="80" w:type="dxa"/>
              <w:right w:w="100" w:type="dxa"/>
            </w:tcMar>
          </w:tcPr>
          <w:p w14:paraId="249D5FD8" w14:textId="77777777" w:rsidR="002B56F5" w:rsidRPr="00CA5187" w:rsidRDefault="00000000" w:rsidP="00A15E6A">
            <w:pPr>
              <w:spacing w:line="240" w:lineRule="auto"/>
              <w:rPr>
                <w:rFonts w:cs="Times New Roman"/>
                <w:sz w:val="28"/>
                <w:szCs w:val="28"/>
              </w:rPr>
            </w:pPr>
            <w:r w:rsidRPr="00CA5187">
              <w:rPr>
                <w:rFonts w:cs="Times New Roman"/>
                <w:sz w:val="28"/>
                <w:szCs w:val="28"/>
              </w:rPr>
              <w:t>Thanh-Hai Tong-Le, Minh-Hai Le, and Thanh-Nghi Doan*</w:t>
            </w:r>
          </w:p>
        </w:tc>
      </w:tr>
      <w:tr w:rsidR="002B56F5" w:rsidRPr="00CA5187" w14:paraId="7E9FE5DB" w14:textId="77777777" w:rsidTr="002B60DA">
        <w:trPr>
          <w:jc w:val="center"/>
        </w:trPr>
        <w:tc>
          <w:tcPr>
            <w:tcW w:w="3064" w:type="dxa"/>
            <w:shd w:val="clear" w:color="auto" w:fill="auto"/>
            <w:tcMar>
              <w:top w:w="80" w:type="dxa"/>
              <w:left w:w="100" w:type="dxa"/>
              <w:bottom w:w="80" w:type="dxa"/>
              <w:right w:w="100" w:type="dxa"/>
            </w:tcMar>
          </w:tcPr>
          <w:p w14:paraId="002F7B62" w14:textId="77777777" w:rsidR="002B56F5" w:rsidRPr="00CA5187" w:rsidRDefault="00000000" w:rsidP="00A15E6A">
            <w:pPr>
              <w:spacing w:line="240" w:lineRule="auto"/>
              <w:rPr>
                <w:rFonts w:cs="Times New Roman"/>
                <w:sz w:val="28"/>
                <w:szCs w:val="28"/>
              </w:rPr>
            </w:pPr>
            <w:r w:rsidRPr="00CA5187">
              <w:rPr>
                <w:rFonts w:cs="Times New Roman"/>
                <w:b/>
                <w:sz w:val="28"/>
                <w:szCs w:val="28"/>
              </w:rPr>
              <w:t>Corresponding Author:</w:t>
            </w:r>
          </w:p>
        </w:tc>
        <w:tc>
          <w:tcPr>
            <w:tcW w:w="7004" w:type="dxa"/>
            <w:shd w:val="clear" w:color="auto" w:fill="auto"/>
            <w:tcMar>
              <w:top w:w="80" w:type="dxa"/>
              <w:left w:w="100" w:type="dxa"/>
              <w:bottom w:w="80" w:type="dxa"/>
              <w:right w:w="100" w:type="dxa"/>
            </w:tcMar>
          </w:tcPr>
          <w:p w14:paraId="389D1E4B" w14:textId="77777777" w:rsidR="002B56F5" w:rsidRPr="00CA5187" w:rsidRDefault="00000000" w:rsidP="00A15E6A">
            <w:pPr>
              <w:spacing w:line="240" w:lineRule="auto"/>
              <w:rPr>
                <w:rFonts w:cs="Times New Roman"/>
                <w:sz w:val="28"/>
                <w:szCs w:val="28"/>
              </w:rPr>
            </w:pPr>
            <w:r w:rsidRPr="00CA5187">
              <w:rPr>
                <w:rFonts w:cs="Times New Roman"/>
                <w:sz w:val="28"/>
                <w:szCs w:val="28"/>
              </w:rPr>
              <w:t>Thanh-Nghi Doan (Email: dtnghi@agu.edu.vn)</w:t>
            </w:r>
          </w:p>
        </w:tc>
      </w:tr>
      <w:tr w:rsidR="002B56F5" w:rsidRPr="00CA5187" w14:paraId="248EA92E" w14:textId="77777777" w:rsidTr="002B60DA">
        <w:trPr>
          <w:jc w:val="center"/>
        </w:trPr>
        <w:tc>
          <w:tcPr>
            <w:tcW w:w="3064" w:type="dxa"/>
            <w:shd w:val="clear" w:color="auto" w:fill="auto"/>
            <w:tcMar>
              <w:top w:w="80" w:type="dxa"/>
              <w:left w:w="100" w:type="dxa"/>
              <w:bottom w:w="80" w:type="dxa"/>
              <w:right w:w="100" w:type="dxa"/>
            </w:tcMar>
          </w:tcPr>
          <w:p w14:paraId="5741FD24" w14:textId="77777777" w:rsidR="002B56F5" w:rsidRPr="00CA5187" w:rsidRDefault="00000000" w:rsidP="00A15E6A">
            <w:pPr>
              <w:spacing w:line="240" w:lineRule="auto"/>
              <w:rPr>
                <w:rFonts w:cs="Times New Roman"/>
                <w:sz w:val="28"/>
                <w:szCs w:val="28"/>
              </w:rPr>
            </w:pPr>
            <w:r w:rsidRPr="00CA5187">
              <w:rPr>
                <w:rFonts w:cs="Times New Roman"/>
                <w:b/>
                <w:sz w:val="28"/>
                <w:szCs w:val="28"/>
              </w:rPr>
              <w:t>Submission Category:</w:t>
            </w:r>
          </w:p>
        </w:tc>
        <w:tc>
          <w:tcPr>
            <w:tcW w:w="7004" w:type="dxa"/>
            <w:shd w:val="clear" w:color="auto" w:fill="auto"/>
            <w:tcMar>
              <w:top w:w="80" w:type="dxa"/>
              <w:left w:w="100" w:type="dxa"/>
              <w:bottom w:w="80" w:type="dxa"/>
              <w:right w:w="100" w:type="dxa"/>
            </w:tcMar>
          </w:tcPr>
          <w:p w14:paraId="19992E37" w14:textId="77777777" w:rsidR="002B56F5" w:rsidRPr="00CA5187" w:rsidRDefault="00000000" w:rsidP="00A15E6A">
            <w:pPr>
              <w:spacing w:line="240" w:lineRule="auto"/>
              <w:rPr>
                <w:rFonts w:cs="Times New Roman"/>
                <w:sz w:val="28"/>
                <w:szCs w:val="28"/>
              </w:rPr>
            </w:pPr>
            <w:r w:rsidRPr="00CA5187">
              <w:rPr>
                <w:rFonts w:cs="Times New Roman"/>
                <w:sz w:val="28"/>
                <w:szCs w:val="28"/>
              </w:rPr>
              <w:t>Revised Research Article (Major Revision)</w:t>
            </w:r>
          </w:p>
        </w:tc>
      </w:tr>
    </w:tbl>
    <w:p w14:paraId="0FFD2234" w14:textId="77777777" w:rsidR="002B56F5" w:rsidRPr="00CA5187" w:rsidRDefault="002B56F5" w:rsidP="00A15E6A">
      <w:pPr>
        <w:spacing w:line="240" w:lineRule="auto"/>
        <w:rPr>
          <w:rFonts w:cs="Times New Roman"/>
          <w:sz w:val="28"/>
          <w:szCs w:val="28"/>
        </w:rPr>
      </w:pPr>
    </w:p>
    <w:p w14:paraId="7D15EC38" w14:textId="77777777" w:rsidR="002B56F5" w:rsidRPr="00CA5187" w:rsidRDefault="00000000" w:rsidP="00A15E6A">
      <w:pPr>
        <w:spacing w:line="240" w:lineRule="auto"/>
        <w:rPr>
          <w:rFonts w:cs="Times New Roman"/>
          <w:sz w:val="28"/>
          <w:szCs w:val="28"/>
        </w:rPr>
      </w:pPr>
      <w:r w:rsidRPr="00CA5187">
        <w:rPr>
          <w:rFonts w:cs="Times New Roman"/>
          <w:b/>
          <w:color w:val="003366"/>
          <w:sz w:val="28"/>
          <w:szCs w:val="28"/>
        </w:rPr>
        <w:t>Dear Editor-in-Chief and Esteemed Reviewers,</w:t>
      </w:r>
    </w:p>
    <w:p w14:paraId="4D141D8C" w14:textId="77777777" w:rsidR="002B56F5" w:rsidRPr="00CA5187" w:rsidRDefault="00000000" w:rsidP="00A15E6A">
      <w:pPr>
        <w:spacing w:line="240" w:lineRule="auto"/>
        <w:jc w:val="both"/>
        <w:rPr>
          <w:rFonts w:cs="Times New Roman"/>
          <w:sz w:val="28"/>
          <w:szCs w:val="28"/>
        </w:rPr>
      </w:pPr>
      <w:r w:rsidRPr="00CA5187">
        <w:rPr>
          <w:rFonts w:cs="Times New Roman"/>
          <w:sz w:val="28"/>
          <w:szCs w:val="28"/>
        </w:rP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17BE71C8"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t>Zero Data Leakage &amp; 5-Fold Stratified Cross-Validation: We replaced the single train/test evaluation with a strict 5-fold stratified cross-validation protocol (approx. 70% Train, 10% Validation, 20% Test) across all datasets. Early stopping and checkpoint selection are governed strictly by the validation set.</w:t>
      </w:r>
    </w:p>
    <w:p w14:paraId="001FCB0B"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t>Sample Mean ± Standard Deviation &amp; Statistical Significance: All experimental results are now reported as Mean ± Std over 5 folds, supplemented with Holm-adjusted paired t-tests to establish statistical significance.</w:t>
      </w:r>
    </w:p>
    <w:p w14:paraId="5EBD201D"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t>Expanded In-Field &amp; Cross-Domain Benchmarks: We replaced the flawed PlantDoc dataset with PlantRaw—a rigorous multicrop in-the-wild benchmark (16,165 images, 35 classes, 10 crops)—and evaluated unseen aerial drone zero-shot transfer on IIITDMJ Maize.</w:t>
      </w:r>
    </w:p>
    <w:p w14:paraId="1885DE71"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t>Real Hardware Profiling on Edge AI Platform: We conducted physical hardware profiling on an NVIDIA RTX 5070 Ti GPU, reporting Params, GFLOPs, peak VRAM memory (MB), and inference speed (FPS/Latency).</w:t>
      </w:r>
    </w:p>
    <w:p w14:paraId="62B3581C"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t>Clarification of GNN Novelty &amp; Baselines: We corrected the theoretical motivation regarding MRConv (clarifying channel-wise maximum), distinguished ViGATs from AttentionViG and GAT/GATv2, and added 10+ modern SOTA baselines (Swin Transformer, ConvNeXt, EfficientNetV2, MambaOut, FastViT, RepViT, EfficientViT).</w:t>
      </w:r>
    </w:p>
    <w:p w14:paraId="154819D1" w14:textId="77777777" w:rsidR="002B56F5" w:rsidRPr="002B60DA" w:rsidRDefault="00000000" w:rsidP="00A15E6A">
      <w:pPr>
        <w:pStyle w:val="ListBullet"/>
        <w:numPr>
          <w:ilvl w:val="0"/>
          <w:numId w:val="10"/>
        </w:numPr>
        <w:tabs>
          <w:tab w:val="left" w:pos="709"/>
        </w:tabs>
        <w:spacing w:line="240" w:lineRule="auto"/>
        <w:ind w:left="0" w:firstLine="426"/>
        <w:jc w:val="both"/>
        <w:rPr>
          <w:rFonts w:cs="Times New Roman"/>
          <w:bCs/>
          <w:sz w:val="28"/>
          <w:szCs w:val="28"/>
        </w:rPr>
      </w:pPr>
      <w:r w:rsidRPr="002B60DA">
        <w:rPr>
          <w:rFonts w:cs="Times New Roman"/>
          <w:bCs/>
          <w:sz w:val="28"/>
          <w:szCs w:val="28"/>
        </w:rPr>
        <w:lastRenderedPageBreak/>
        <w:t>Extended Ablations &amp; Explainability: We added multi-factor ablations (attention heads H, hidden dimension C, layer depth L, activations, time/epoch) and visual attention maps.</w:t>
      </w:r>
    </w:p>
    <w:p w14:paraId="0A133322" w14:textId="77777777" w:rsidR="002B56F5" w:rsidRPr="00CA5187" w:rsidRDefault="00000000" w:rsidP="00A15E6A">
      <w:pPr>
        <w:spacing w:line="240" w:lineRule="auto"/>
        <w:jc w:val="both"/>
        <w:rPr>
          <w:rFonts w:cs="Times New Roman"/>
          <w:sz w:val="28"/>
          <w:szCs w:val="28"/>
        </w:rPr>
      </w:pPr>
      <w:r w:rsidRPr="00CA5187">
        <w:rPr>
          <w:rFonts w:cs="Times New Roman"/>
          <w:sz w:val="28"/>
          <w:szCs w:val="28"/>
        </w:rPr>
        <w:t>Below is our comprehensive, point-by-point response to all comments raised by each reviewer.</w:t>
      </w:r>
    </w:p>
    <w:p w14:paraId="1D9D486A" w14:textId="6CF86798" w:rsidR="002B56F5" w:rsidRPr="00CA5187" w:rsidRDefault="00000000" w:rsidP="00A15E6A">
      <w:pPr>
        <w:spacing w:line="240" w:lineRule="auto"/>
        <w:jc w:val="both"/>
        <w:rPr>
          <w:rFonts w:cs="Times New Roman"/>
          <w:sz w:val="28"/>
          <w:szCs w:val="28"/>
        </w:rPr>
      </w:pPr>
      <w:r w:rsidRPr="00CA5187">
        <w:rPr>
          <w:rFonts w:cs="Times New Roman"/>
          <w:b/>
          <w:color w:val="800000"/>
          <w:sz w:val="28"/>
          <w:szCs w:val="28"/>
        </w:rPr>
        <w:t xml:space="preserve">RESPONSE TO REVIEWER </w:t>
      </w:r>
      <w:r w:rsidR="002B60DA">
        <w:rPr>
          <w:rFonts w:cs="Times New Roman"/>
          <w:b/>
          <w:color w:val="800000"/>
          <w:sz w:val="28"/>
          <w:szCs w:val="28"/>
        </w:rPr>
        <w:t xml:space="preserve"> </w:t>
      </w:r>
      <w:r w:rsidRPr="00CA5187">
        <w:rPr>
          <w:rFonts w:cs="Times New Roman"/>
          <w:b/>
          <w:color w:val="800000"/>
          <w:sz w:val="28"/>
          <w:szCs w:val="28"/>
        </w:rPr>
        <w:t>1</w:t>
      </w:r>
    </w:p>
    <w:p w14:paraId="3D41ED8F" w14:textId="6C5175E3" w:rsidR="002B56F5" w:rsidRPr="00CA5187" w:rsidRDefault="002B60DA" w:rsidP="00A15E6A">
      <w:pPr>
        <w:spacing w:line="240" w:lineRule="auto"/>
        <w:jc w:val="both"/>
        <w:rPr>
          <w:rFonts w:cs="Times New Roman"/>
          <w:sz w:val="28"/>
          <w:szCs w:val="28"/>
        </w:rPr>
      </w:pPr>
      <w:r w:rsidRPr="00CA5187">
        <w:rPr>
          <w:rFonts w:cs="Times New Roman"/>
          <w:b/>
          <w:color w:val="004080"/>
          <w:sz w:val="28"/>
          <w:szCs w:val="28"/>
        </w:rPr>
        <w:t xml:space="preserve">Comment 1.1: </w:t>
      </w:r>
      <w:r w:rsidRPr="00CA5187">
        <w:rPr>
          <w:rFonts w:cs="Times New Roman"/>
          <w:i/>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p w14:paraId="2543497D"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14:paraId="2166FF47"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Updated Sections 4.3, 5.2, 5.3, and Tables 4, 5, 7 in the revised manuscript.</w:t>
      </w:r>
    </w:p>
    <w:p w14:paraId="075C097C" w14:textId="77777777" w:rsidR="002B56F5" w:rsidRPr="00CA5187" w:rsidRDefault="002B56F5" w:rsidP="00A15E6A">
      <w:pPr>
        <w:spacing w:line="240" w:lineRule="auto"/>
        <w:jc w:val="both"/>
        <w:rPr>
          <w:rFonts w:cs="Times New Roman"/>
          <w:sz w:val="28"/>
          <w:szCs w:val="28"/>
        </w:rPr>
      </w:pPr>
    </w:p>
    <w:p w14:paraId="76E1A01B" w14:textId="20F2A64E" w:rsidR="002B56F5" w:rsidRPr="00CA5187" w:rsidRDefault="004217C6" w:rsidP="00A15E6A">
      <w:pPr>
        <w:spacing w:line="240" w:lineRule="auto"/>
        <w:jc w:val="both"/>
        <w:rPr>
          <w:rFonts w:cs="Times New Roman"/>
          <w:sz w:val="28"/>
          <w:szCs w:val="28"/>
        </w:rPr>
      </w:pPr>
      <w:r w:rsidRPr="00CA5187">
        <w:rPr>
          <w:rFonts w:cs="Times New Roman"/>
          <w:b/>
          <w:color w:val="004080"/>
          <w:sz w:val="28"/>
          <w:szCs w:val="28"/>
        </w:rPr>
        <w:t xml:space="preserve">Comment 1.2: </w:t>
      </w:r>
      <w:r w:rsidRPr="00CA5187">
        <w:rPr>
          <w:rFonts w:cs="Times New Roman"/>
          <w:i/>
          <w:sz w:val="28"/>
          <w:szCs w:val="28"/>
        </w:rPr>
        <w:t>The experiments appear to rely on a single training configuration. Reporting results across multiple random seeds would provide stronger evidence regarding the robustness and stability of the proposed approach</w:t>
      </w:r>
    </w:p>
    <w:p w14:paraId="48C82BF0"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14:paraId="424A610B"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Detailed fold-wise statistics and variance metrics are provided in Tables 4, 5, 6, 7.</w:t>
      </w:r>
    </w:p>
    <w:p w14:paraId="3A79A815" w14:textId="77777777" w:rsidR="002B56F5" w:rsidRPr="00CA5187" w:rsidRDefault="002B56F5" w:rsidP="00A15E6A">
      <w:pPr>
        <w:spacing w:line="240" w:lineRule="auto"/>
        <w:jc w:val="both"/>
        <w:rPr>
          <w:rFonts w:cs="Times New Roman"/>
          <w:sz w:val="28"/>
          <w:szCs w:val="28"/>
        </w:rPr>
      </w:pPr>
    </w:p>
    <w:p w14:paraId="30E4539D" w14:textId="315BD2AD" w:rsidR="002B56F5" w:rsidRPr="00CA5187" w:rsidRDefault="004217C6" w:rsidP="00A15E6A">
      <w:pPr>
        <w:spacing w:line="240" w:lineRule="auto"/>
        <w:jc w:val="both"/>
        <w:rPr>
          <w:rFonts w:cs="Times New Roman"/>
          <w:sz w:val="28"/>
          <w:szCs w:val="28"/>
        </w:rPr>
      </w:pPr>
      <w:r w:rsidRPr="00CA5187">
        <w:rPr>
          <w:rFonts w:cs="Times New Roman"/>
          <w:b/>
          <w:color w:val="004080"/>
          <w:sz w:val="28"/>
          <w:szCs w:val="28"/>
        </w:rPr>
        <w:t xml:space="preserve">Comment 1.3: </w:t>
      </w:r>
      <w:r w:rsidRPr="00CA5187">
        <w:rPr>
          <w:rFonts w:cs="Times New Roman"/>
          <w:i/>
          <w:sz w:val="28"/>
          <w:szCs w:val="28"/>
        </w:rPr>
        <w:t xml:space="preserve">Although parameter counts are reported, a more detailed analysis of computational efficiency, including inference time, memory consumption, and </w:t>
      </w:r>
      <w:r w:rsidRPr="00CA5187">
        <w:rPr>
          <w:rFonts w:cs="Times New Roman"/>
          <w:i/>
          <w:sz w:val="28"/>
          <w:szCs w:val="28"/>
        </w:rPr>
        <w:lastRenderedPageBreak/>
        <w:t>deployment costs on edge devices, would better support the claim that the model is suitable for resource-constrained environments.</w:t>
      </w:r>
    </w:p>
    <w:p w14:paraId="42688A32"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14:paraId="3F8A8A0A"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 dedicated computational complexity table (Table 2) and discussion have been added to Section 3.6.</w:t>
      </w:r>
    </w:p>
    <w:p w14:paraId="40DE6E5C" w14:textId="77777777" w:rsidR="002B56F5" w:rsidRPr="00CA5187" w:rsidRDefault="002B56F5" w:rsidP="00A15E6A">
      <w:pPr>
        <w:spacing w:line="240" w:lineRule="auto"/>
        <w:jc w:val="both"/>
        <w:rPr>
          <w:rFonts w:cs="Times New Roman"/>
          <w:sz w:val="28"/>
          <w:szCs w:val="28"/>
        </w:rPr>
      </w:pPr>
    </w:p>
    <w:p w14:paraId="1A8C597B" w14:textId="37027B3C" w:rsidR="002B56F5" w:rsidRPr="00CA5187" w:rsidRDefault="004217C6" w:rsidP="00A15E6A">
      <w:pPr>
        <w:spacing w:line="240" w:lineRule="auto"/>
        <w:jc w:val="both"/>
        <w:rPr>
          <w:rFonts w:cs="Times New Roman"/>
          <w:sz w:val="28"/>
          <w:szCs w:val="28"/>
        </w:rPr>
      </w:pPr>
      <w:r w:rsidRPr="00CA5187">
        <w:rPr>
          <w:rFonts w:cs="Times New Roman"/>
          <w:b/>
          <w:color w:val="004080"/>
          <w:sz w:val="28"/>
          <w:szCs w:val="28"/>
        </w:rPr>
        <w:t xml:space="preserve">Comment 1.4: </w:t>
      </w:r>
      <w:r w:rsidRPr="00CA5187">
        <w:rPr>
          <w:rFonts w:cs="Times New Roman"/>
          <w:i/>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p w14:paraId="155191E9"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14:paraId="75576365"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Detailed analysis added in Sections 4.1.1, 5.2.1 (PlantRaw), Section 5.3 (IIITDMJ Drone), and Section 6.3.</w:t>
      </w:r>
    </w:p>
    <w:p w14:paraId="348D0C08" w14:textId="77777777" w:rsidR="002B56F5" w:rsidRPr="00CA5187" w:rsidRDefault="002B56F5" w:rsidP="00A15E6A">
      <w:pPr>
        <w:spacing w:line="240" w:lineRule="auto"/>
        <w:jc w:val="both"/>
        <w:rPr>
          <w:rFonts w:cs="Times New Roman"/>
          <w:sz w:val="28"/>
          <w:szCs w:val="28"/>
        </w:rPr>
      </w:pPr>
    </w:p>
    <w:p w14:paraId="274F8358" w14:textId="69477BA1" w:rsidR="002B56F5" w:rsidRPr="00CA5187" w:rsidRDefault="004217C6" w:rsidP="00A15E6A">
      <w:pPr>
        <w:spacing w:line="240" w:lineRule="auto"/>
        <w:jc w:val="both"/>
        <w:rPr>
          <w:rFonts w:cs="Times New Roman"/>
          <w:sz w:val="28"/>
          <w:szCs w:val="28"/>
        </w:rPr>
      </w:pPr>
      <w:r w:rsidRPr="00CA5187">
        <w:rPr>
          <w:rFonts w:cs="Times New Roman"/>
          <w:b/>
          <w:color w:val="004080"/>
          <w:sz w:val="28"/>
          <w:szCs w:val="28"/>
        </w:rPr>
        <w:t xml:space="preserve">Comment 1.5: </w:t>
      </w:r>
      <w:r w:rsidRPr="00CA5187">
        <w:rPr>
          <w:rFonts w:cs="Times New Roman"/>
          <w:i/>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p w14:paraId="306E92CC"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 xml:space="preserve">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w:t>
      </w:r>
      <w:r w:rsidRPr="00CA5187">
        <w:rPr>
          <w:rFonts w:cs="Times New Roman"/>
          <w:sz w:val="28"/>
          <w:szCs w:val="28"/>
        </w:rPr>
        <w:lastRenderedPageBreak/>
        <w:t>yields significant accuracy improvements on challenging real-world datasets (+1.11% on PlantRaw, +7.60% on unseen drone transfer).</w:t>
      </w:r>
    </w:p>
    <w:p w14:paraId="1D026F0F"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Incorporated into Sections 3.5, 3.6, Table 1, and Section 6.1.</w:t>
      </w:r>
    </w:p>
    <w:p w14:paraId="016B48DA" w14:textId="77777777" w:rsidR="002B56F5" w:rsidRPr="00CA5187" w:rsidRDefault="002B56F5" w:rsidP="00A15E6A">
      <w:pPr>
        <w:spacing w:line="240" w:lineRule="auto"/>
        <w:jc w:val="both"/>
        <w:rPr>
          <w:rFonts w:cs="Times New Roman"/>
          <w:sz w:val="28"/>
          <w:szCs w:val="28"/>
        </w:rPr>
      </w:pPr>
    </w:p>
    <w:p w14:paraId="0BD681BB" w14:textId="7528E6F7" w:rsidR="002B56F5" w:rsidRPr="00CA5187" w:rsidRDefault="00000000" w:rsidP="00A15E6A">
      <w:pPr>
        <w:spacing w:line="240" w:lineRule="auto"/>
        <w:jc w:val="both"/>
        <w:rPr>
          <w:rFonts w:cs="Times New Roman"/>
          <w:sz w:val="28"/>
          <w:szCs w:val="28"/>
        </w:rPr>
      </w:pPr>
      <w:r w:rsidRPr="00CA5187">
        <w:rPr>
          <w:rFonts w:cs="Times New Roman"/>
          <w:b/>
          <w:color w:val="800000"/>
          <w:sz w:val="28"/>
          <w:szCs w:val="28"/>
        </w:rPr>
        <w:t>RESPONSE TO REVIEWER 2</w:t>
      </w:r>
    </w:p>
    <w:p w14:paraId="6264CBC3" w14:textId="19FF3BAA" w:rsidR="002B56F5" w:rsidRPr="00CA5187" w:rsidRDefault="00574243" w:rsidP="00A15E6A">
      <w:pPr>
        <w:spacing w:line="240" w:lineRule="auto"/>
        <w:jc w:val="both"/>
        <w:rPr>
          <w:rFonts w:cs="Times New Roman"/>
          <w:sz w:val="28"/>
          <w:szCs w:val="28"/>
        </w:rPr>
      </w:pPr>
      <w:r w:rsidRPr="00CA5187">
        <w:rPr>
          <w:rFonts w:cs="Times New Roman"/>
          <w:b/>
          <w:color w:val="004080"/>
          <w:sz w:val="28"/>
          <w:szCs w:val="28"/>
        </w:rPr>
        <w:t xml:space="preserve">Comment 2.1: </w:t>
      </w:r>
      <w:r w:rsidRPr="00CA5187">
        <w:rPr>
          <w:rFonts w:cs="Times New Roman"/>
          <w:i/>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p w14:paraId="4FE9DD11"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14:paraId="59D2BE39"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Revised experimental protocol detailed in Section 4.2, Table 3, and Figure 6.</w:t>
      </w:r>
    </w:p>
    <w:p w14:paraId="04D883E0" w14:textId="77777777" w:rsidR="002B56F5" w:rsidRPr="00CA5187" w:rsidRDefault="002B56F5" w:rsidP="00A15E6A">
      <w:pPr>
        <w:spacing w:line="240" w:lineRule="auto"/>
        <w:jc w:val="both"/>
        <w:rPr>
          <w:rFonts w:cs="Times New Roman"/>
          <w:sz w:val="28"/>
          <w:szCs w:val="28"/>
        </w:rPr>
      </w:pPr>
    </w:p>
    <w:p w14:paraId="3DCA94DF" w14:textId="79A6136A" w:rsidR="002B56F5" w:rsidRPr="00CA5187" w:rsidRDefault="000E0FFE" w:rsidP="00A15E6A">
      <w:pPr>
        <w:spacing w:line="240" w:lineRule="auto"/>
        <w:jc w:val="both"/>
        <w:rPr>
          <w:rFonts w:cs="Times New Roman"/>
          <w:sz w:val="28"/>
          <w:szCs w:val="28"/>
        </w:rPr>
      </w:pPr>
      <w:r w:rsidRPr="00CA5187">
        <w:rPr>
          <w:rFonts w:cs="Times New Roman"/>
          <w:b/>
          <w:color w:val="004080"/>
          <w:sz w:val="28"/>
          <w:szCs w:val="28"/>
        </w:rPr>
        <w:t xml:space="preserve">Comment 2.2: </w:t>
      </w:r>
      <w:r w:rsidRPr="00CA5187">
        <w:rPr>
          <w:rFonts w:cs="Times New Roman"/>
          <w:i/>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p w14:paraId="1FBE052E"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14:paraId="57D98B34"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Updated Tables 4, 5, 6, 7 with 5-fold mean ± std and statistical significance.</w:t>
      </w:r>
    </w:p>
    <w:p w14:paraId="4FBE2D65" w14:textId="77777777" w:rsidR="002B56F5" w:rsidRPr="00CA5187" w:rsidRDefault="002B56F5" w:rsidP="00A15E6A">
      <w:pPr>
        <w:spacing w:line="240" w:lineRule="auto"/>
        <w:jc w:val="both"/>
        <w:rPr>
          <w:rFonts w:cs="Times New Roman"/>
          <w:sz w:val="28"/>
          <w:szCs w:val="28"/>
        </w:rPr>
      </w:pPr>
    </w:p>
    <w:p w14:paraId="51637069" w14:textId="69075897" w:rsidR="002B56F5" w:rsidRPr="00CA5187" w:rsidRDefault="003C345D" w:rsidP="00A15E6A">
      <w:pPr>
        <w:spacing w:line="240" w:lineRule="auto"/>
        <w:jc w:val="both"/>
        <w:rPr>
          <w:rFonts w:cs="Times New Roman"/>
          <w:sz w:val="28"/>
          <w:szCs w:val="28"/>
        </w:rPr>
      </w:pPr>
      <w:r w:rsidRPr="00CA5187">
        <w:rPr>
          <w:rFonts w:cs="Times New Roman"/>
          <w:b/>
          <w:color w:val="004080"/>
          <w:sz w:val="28"/>
          <w:szCs w:val="28"/>
        </w:rPr>
        <w:t xml:space="preserve">Comment 2.3: </w:t>
      </w:r>
      <w:r w:rsidRPr="00CA5187">
        <w:rPr>
          <w:rFonts w:cs="Times New Roman"/>
          <w:i/>
          <w:sz w:val="28"/>
          <w:szCs w:val="28"/>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p w14:paraId="6EDC3DF7"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1242140F"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Clarified in Section 2.3 (Related Work), Section 3.5 (Operator Comparison, Table 1), and Section 5.1 (Extended Ablation Table 9).</w:t>
      </w:r>
    </w:p>
    <w:p w14:paraId="0C084983" w14:textId="77777777" w:rsidR="002B56F5" w:rsidRPr="00CA5187" w:rsidRDefault="002B56F5" w:rsidP="00A15E6A">
      <w:pPr>
        <w:spacing w:line="240" w:lineRule="auto"/>
        <w:jc w:val="both"/>
        <w:rPr>
          <w:rFonts w:cs="Times New Roman"/>
          <w:sz w:val="28"/>
          <w:szCs w:val="28"/>
        </w:rPr>
      </w:pPr>
    </w:p>
    <w:p w14:paraId="10842885" w14:textId="7FA4A6E9" w:rsidR="002B56F5" w:rsidRPr="00CA5187" w:rsidRDefault="00E7551A" w:rsidP="00A15E6A">
      <w:pPr>
        <w:spacing w:line="240" w:lineRule="auto"/>
        <w:jc w:val="both"/>
        <w:rPr>
          <w:rFonts w:cs="Times New Roman"/>
          <w:sz w:val="28"/>
          <w:szCs w:val="28"/>
        </w:rPr>
      </w:pPr>
      <w:r w:rsidRPr="00CA5187">
        <w:rPr>
          <w:rFonts w:cs="Times New Roman"/>
          <w:b/>
          <w:color w:val="004080"/>
          <w:sz w:val="28"/>
          <w:szCs w:val="28"/>
        </w:rPr>
        <w:t xml:space="preserve">Comment 2.4: </w:t>
      </w:r>
      <w:r w:rsidRPr="00CA5187">
        <w:rPr>
          <w:rFonts w:cs="Times New Roman"/>
          <w:i/>
          <w:sz w:val="28"/>
          <w:szCs w:val="28"/>
        </w:rPr>
        <w:t>MRConv does not treat all neighbours equally; its channel-wise maximum selectively retains the strongest responses. The motivation should therefore be technically corrected.</w:t>
      </w:r>
    </w:p>
    <w:p w14:paraId="391324B3"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14:paraId="2E73AB37"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Corrected in Section 1 (Introduction) and Section 3.4 (MRConv Baseline).</w:t>
      </w:r>
    </w:p>
    <w:p w14:paraId="267C1BB3" w14:textId="77777777" w:rsidR="002B56F5" w:rsidRPr="00CA5187" w:rsidRDefault="002B56F5" w:rsidP="00A15E6A">
      <w:pPr>
        <w:spacing w:line="240" w:lineRule="auto"/>
        <w:jc w:val="both"/>
        <w:rPr>
          <w:rFonts w:cs="Times New Roman"/>
          <w:sz w:val="28"/>
          <w:szCs w:val="28"/>
        </w:rPr>
      </w:pPr>
    </w:p>
    <w:p w14:paraId="7E9AF44D" w14:textId="708F70C2" w:rsidR="002B56F5" w:rsidRPr="00CA5187" w:rsidRDefault="00871D91" w:rsidP="00A15E6A">
      <w:pPr>
        <w:spacing w:line="240" w:lineRule="auto"/>
        <w:jc w:val="both"/>
        <w:rPr>
          <w:rFonts w:cs="Times New Roman"/>
          <w:sz w:val="28"/>
          <w:szCs w:val="28"/>
        </w:rPr>
      </w:pPr>
      <w:r w:rsidRPr="00CA5187">
        <w:rPr>
          <w:rFonts w:cs="Times New Roman"/>
          <w:b/>
          <w:color w:val="004080"/>
          <w:sz w:val="28"/>
          <w:szCs w:val="28"/>
        </w:rPr>
        <w:t xml:space="preserve">Comment 2.5: </w:t>
      </w:r>
      <w:r w:rsidRPr="00CA5187">
        <w:rPr>
          <w:rFonts w:cs="Times New Roman"/>
          <w:i/>
          <w:sz w:val="28"/>
          <w:szCs w:val="28"/>
        </w:rPr>
        <w:t xml:space="preserve">The efficiency claims are inconsistent with the reported results. ViGATs requires 1.43 GFLOPs compared with 1.05 GFLOPs for ViG, despite using fewer neighbours. Its suitability for resource-constrained deployment cannot </w:t>
      </w:r>
      <w:r w:rsidRPr="00CA5187">
        <w:rPr>
          <w:rFonts w:cs="Times New Roman"/>
          <w:i/>
          <w:sz w:val="28"/>
          <w:szCs w:val="28"/>
        </w:rPr>
        <w:lastRenderedPageBreak/>
        <w:t>be concluded without latency, memory and hardware-based measurements. The claimed KNN complexity should also be revised.</w:t>
      </w:r>
    </w:p>
    <w:p w14:paraId="199B1993"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14:paraId="6E30C995"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Revised in Section 3.5 (Table 1), Section 3.6 (Table 2), and Section 6.3.</w:t>
      </w:r>
    </w:p>
    <w:p w14:paraId="60B24746" w14:textId="77777777" w:rsidR="002B56F5" w:rsidRPr="00CA5187" w:rsidRDefault="002B56F5" w:rsidP="00A15E6A">
      <w:pPr>
        <w:spacing w:line="240" w:lineRule="auto"/>
        <w:jc w:val="both"/>
        <w:rPr>
          <w:rFonts w:cs="Times New Roman"/>
          <w:sz w:val="28"/>
          <w:szCs w:val="28"/>
        </w:rPr>
      </w:pPr>
    </w:p>
    <w:p w14:paraId="6E37B52C" w14:textId="5A7D165A" w:rsidR="002B56F5" w:rsidRPr="00CA5187" w:rsidRDefault="004B09CE" w:rsidP="00A15E6A">
      <w:pPr>
        <w:spacing w:line="240" w:lineRule="auto"/>
        <w:jc w:val="both"/>
        <w:rPr>
          <w:rFonts w:cs="Times New Roman"/>
          <w:sz w:val="28"/>
          <w:szCs w:val="28"/>
        </w:rPr>
      </w:pPr>
      <w:r w:rsidRPr="00CA5187">
        <w:rPr>
          <w:rFonts w:cs="Times New Roman"/>
          <w:b/>
          <w:color w:val="004080"/>
          <w:sz w:val="28"/>
          <w:szCs w:val="28"/>
        </w:rPr>
        <w:t xml:space="preserve">Comment 2.6: </w:t>
      </w:r>
      <w:r w:rsidRPr="00CA5187">
        <w:rPr>
          <w:rFonts w:cs="Times New Roman"/>
          <w:i/>
          <w:sz w:val="28"/>
          <w:szCs w:val="28"/>
        </w:rPr>
        <w:t>The attention visualizations do not establish that the model focuses on disease regions because no localization annotations or quantitative evidence are provided. Several experimental details, split indices and implementation information are missing.</w:t>
      </w:r>
    </w:p>
    <w:p w14:paraId="6A2E50A5"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0DD8A6EE"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Added Figure 9, Section 6.2, and Data Availability Statement.</w:t>
      </w:r>
    </w:p>
    <w:p w14:paraId="4B88BBE5" w14:textId="77777777" w:rsidR="002B56F5" w:rsidRPr="00CA5187" w:rsidRDefault="002B56F5" w:rsidP="00A15E6A">
      <w:pPr>
        <w:spacing w:line="240" w:lineRule="auto"/>
        <w:jc w:val="both"/>
        <w:rPr>
          <w:rFonts w:cs="Times New Roman"/>
          <w:sz w:val="28"/>
          <w:szCs w:val="28"/>
        </w:rPr>
      </w:pPr>
    </w:p>
    <w:p w14:paraId="4B7AD27A" w14:textId="332469E1" w:rsidR="002B56F5" w:rsidRPr="00CA5187" w:rsidRDefault="004B09CE" w:rsidP="00A15E6A">
      <w:pPr>
        <w:spacing w:line="240" w:lineRule="auto"/>
        <w:jc w:val="both"/>
        <w:rPr>
          <w:rFonts w:cs="Times New Roman"/>
          <w:sz w:val="28"/>
          <w:szCs w:val="28"/>
        </w:rPr>
      </w:pPr>
      <w:r w:rsidRPr="00CA5187">
        <w:rPr>
          <w:rFonts w:cs="Times New Roman"/>
          <w:b/>
          <w:color w:val="004080"/>
          <w:sz w:val="28"/>
          <w:szCs w:val="28"/>
        </w:rPr>
        <w:t xml:space="preserve">Comment 2.7: </w:t>
      </w:r>
      <w:r w:rsidRPr="00CA5187">
        <w:rPr>
          <w:rFonts w:cs="Times New Roman"/>
          <w:i/>
          <w:sz w:val="28"/>
          <w:szCs w:val="28"/>
        </w:rPr>
        <w:t>The state-of-the-art table contains incorrect method-citation associations.</w:t>
      </w:r>
    </w:p>
    <w:p w14:paraId="41E96F3B"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apologize for the oversight. We have thoroughly audited Table 3 (Baseline overview) and all subsequent result tables to ensure that every method is accurately associated with its original publication citation (e.g., properly citing He et al. 2016 for ResNet, Liu et al. 2021 for Swin Transformer, and Brody et al. 2022 for GATv2).</w:t>
      </w:r>
    </w:p>
    <w:p w14:paraId="335D0D44"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Citations in Table 3 and across the manuscript have been corrected.</w:t>
      </w:r>
    </w:p>
    <w:p w14:paraId="13D2B396" w14:textId="77777777" w:rsidR="002B56F5" w:rsidRPr="00CA5187" w:rsidRDefault="002B56F5" w:rsidP="00A15E6A">
      <w:pPr>
        <w:spacing w:line="240" w:lineRule="auto"/>
        <w:jc w:val="both"/>
        <w:rPr>
          <w:rFonts w:cs="Times New Roman"/>
          <w:sz w:val="28"/>
          <w:szCs w:val="28"/>
        </w:rPr>
      </w:pPr>
    </w:p>
    <w:p w14:paraId="154038B8" w14:textId="0D0FE237" w:rsidR="002B56F5" w:rsidRPr="00CA5187" w:rsidRDefault="00000000" w:rsidP="00A15E6A">
      <w:pPr>
        <w:spacing w:line="240" w:lineRule="auto"/>
        <w:jc w:val="both"/>
        <w:rPr>
          <w:rFonts w:cs="Times New Roman"/>
          <w:sz w:val="28"/>
          <w:szCs w:val="28"/>
        </w:rPr>
      </w:pPr>
      <w:r w:rsidRPr="00CA5187">
        <w:rPr>
          <w:rFonts w:cs="Times New Roman"/>
          <w:b/>
          <w:color w:val="800000"/>
          <w:sz w:val="28"/>
          <w:szCs w:val="28"/>
        </w:rPr>
        <w:lastRenderedPageBreak/>
        <w:t>RESPONSE TO REVIEWER 3</w:t>
      </w:r>
    </w:p>
    <w:p w14:paraId="571FAE95" w14:textId="4DA4EDA0" w:rsidR="002B56F5" w:rsidRPr="00CA5187" w:rsidRDefault="00795004" w:rsidP="00A15E6A">
      <w:pPr>
        <w:spacing w:line="240" w:lineRule="auto"/>
        <w:jc w:val="both"/>
        <w:rPr>
          <w:rFonts w:cs="Times New Roman"/>
          <w:sz w:val="28"/>
          <w:szCs w:val="28"/>
        </w:rPr>
      </w:pPr>
      <w:r w:rsidRPr="00CA5187">
        <w:rPr>
          <w:rFonts w:cs="Times New Roman"/>
          <w:b/>
          <w:color w:val="004080"/>
          <w:sz w:val="28"/>
          <w:szCs w:val="28"/>
        </w:rPr>
        <w:t xml:space="preserve">Comment 3.1: </w:t>
      </w:r>
      <w:r w:rsidRPr="00CA5187">
        <w:rPr>
          <w:rFonts w:cs="Times New Roman"/>
          <w:i/>
          <w:sz w:val="28"/>
          <w:szCs w:val="28"/>
        </w:rPr>
        <w:t>The manuscript should clearly articulate the theoretical novelty and distinguish ViGATs from prior GAT-based vision models and Vision GNN variants.</w:t>
      </w:r>
    </w:p>
    <w:p w14:paraId="7579659D"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4D3C2FEC"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Detailed in Section 3.5, Algorithm 1, Table 1, and Figure 4.</w:t>
      </w:r>
    </w:p>
    <w:p w14:paraId="19073C31" w14:textId="77777777" w:rsidR="002B56F5" w:rsidRPr="00CA5187" w:rsidRDefault="002B56F5" w:rsidP="00A15E6A">
      <w:pPr>
        <w:spacing w:line="240" w:lineRule="auto"/>
        <w:jc w:val="both"/>
        <w:rPr>
          <w:rFonts w:cs="Times New Roman"/>
          <w:sz w:val="28"/>
          <w:szCs w:val="28"/>
        </w:rPr>
      </w:pPr>
    </w:p>
    <w:p w14:paraId="6781618A" w14:textId="19A38C1B" w:rsidR="002B56F5" w:rsidRPr="00CA5187" w:rsidRDefault="00DE6EB8" w:rsidP="00A15E6A">
      <w:pPr>
        <w:spacing w:line="240" w:lineRule="auto"/>
        <w:jc w:val="both"/>
        <w:rPr>
          <w:rFonts w:cs="Times New Roman"/>
          <w:sz w:val="28"/>
          <w:szCs w:val="28"/>
        </w:rPr>
      </w:pPr>
      <w:r w:rsidRPr="00CA5187">
        <w:rPr>
          <w:rFonts w:cs="Times New Roman"/>
          <w:b/>
          <w:color w:val="004080"/>
          <w:sz w:val="28"/>
          <w:szCs w:val="28"/>
        </w:rPr>
        <w:t xml:space="preserve">Comment 3.2: </w:t>
      </w:r>
      <w:r w:rsidRPr="00CA5187">
        <w:rPr>
          <w:rFonts w:cs="Times New Roman"/>
          <w:i/>
          <w:sz w:val="28"/>
          <w:szCs w:val="28"/>
        </w:rPr>
        <w:t>Performance gains are largely demonstrated on curated datasets, while generalization to real-world scenarios remains limited. The authors should discuss this limitation and propose strategies to improve generalization.</w:t>
      </w:r>
    </w:p>
    <w:p w14:paraId="6987CEDC"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14:paraId="1A17C50F"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Incorporated in Sections 4.1.1, 5.2.1, 5.3, and 6.3.</w:t>
      </w:r>
    </w:p>
    <w:p w14:paraId="1CEFA2F3" w14:textId="77777777" w:rsidR="002B56F5" w:rsidRPr="00CA5187" w:rsidRDefault="002B56F5" w:rsidP="00A15E6A">
      <w:pPr>
        <w:spacing w:line="240" w:lineRule="auto"/>
        <w:jc w:val="both"/>
        <w:rPr>
          <w:rFonts w:cs="Times New Roman"/>
          <w:sz w:val="28"/>
          <w:szCs w:val="28"/>
        </w:rPr>
      </w:pPr>
    </w:p>
    <w:p w14:paraId="33ACAB2D" w14:textId="11D3F72C" w:rsidR="002B56F5" w:rsidRPr="00CA5187" w:rsidRDefault="00F43E54" w:rsidP="00A15E6A">
      <w:pPr>
        <w:spacing w:line="240" w:lineRule="auto"/>
        <w:jc w:val="both"/>
        <w:rPr>
          <w:rFonts w:cs="Times New Roman"/>
          <w:sz w:val="28"/>
          <w:szCs w:val="28"/>
        </w:rPr>
      </w:pPr>
      <w:r w:rsidRPr="00CA5187">
        <w:rPr>
          <w:rFonts w:cs="Times New Roman"/>
          <w:b/>
          <w:color w:val="004080"/>
          <w:sz w:val="28"/>
          <w:szCs w:val="28"/>
        </w:rPr>
        <w:t xml:space="preserve">Comment 3.3: </w:t>
      </w:r>
      <w:r w:rsidRPr="00CA5187">
        <w:rPr>
          <w:rFonts w:cs="Times New Roman"/>
          <w:i/>
          <w:sz w:val="28"/>
          <w:szCs w:val="28"/>
        </w:rPr>
        <w:t>The manuscript should include repeated experiments and appropriate statistical analyses (e.g., paired t-test, Wilcoxon signed-rank test, or confidence intervals) to demonstrate that the observed improvements are statistically meaningful.</w:t>
      </w:r>
    </w:p>
    <w:p w14:paraId="022FA8F4"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agree that statistical validation is essential. As addressed in our responses to Reviewers 1 and 2, we overhauled the experimental setup to use 5-Fold Stratified Cross-Validation, reporting the mean and standard deviation. Furthermore, we conducted Holm-adjusted paired t-tests, confirming that the improvements of ViGATs over the baselines are statistically significant (p &lt; 0.001).</w:t>
      </w:r>
    </w:p>
    <w:p w14:paraId="797156AE"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Added statistical significance tests to Tables 4, 5, 6, and 7.</w:t>
      </w:r>
    </w:p>
    <w:p w14:paraId="0C173A57" w14:textId="77777777" w:rsidR="002B56F5" w:rsidRPr="00CA5187" w:rsidRDefault="002B56F5" w:rsidP="00A15E6A">
      <w:pPr>
        <w:spacing w:line="240" w:lineRule="auto"/>
        <w:jc w:val="both"/>
        <w:rPr>
          <w:rFonts w:cs="Times New Roman"/>
          <w:sz w:val="28"/>
          <w:szCs w:val="28"/>
        </w:rPr>
      </w:pPr>
    </w:p>
    <w:p w14:paraId="233B20A7" w14:textId="0FCECE8C" w:rsidR="002B56F5" w:rsidRPr="00CA5187" w:rsidRDefault="00AA0D85" w:rsidP="00A15E6A">
      <w:pPr>
        <w:spacing w:line="240" w:lineRule="auto"/>
        <w:jc w:val="both"/>
        <w:rPr>
          <w:rFonts w:cs="Times New Roman"/>
          <w:sz w:val="28"/>
          <w:szCs w:val="28"/>
        </w:rPr>
      </w:pPr>
      <w:r w:rsidRPr="00CA5187">
        <w:rPr>
          <w:rFonts w:cs="Times New Roman"/>
          <w:b/>
          <w:color w:val="004080"/>
          <w:sz w:val="28"/>
          <w:szCs w:val="28"/>
        </w:rPr>
        <w:t xml:space="preserve">Comment 3.4: </w:t>
      </w:r>
      <w:r w:rsidRPr="00CA5187">
        <w:rPr>
          <w:rFonts w:cs="Times New Roman"/>
          <w:i/>
          <w:sz w:val="28"/>
          <w:szCs w:val="28"/>
        </w:rPr>
        <w:t>Multi-head graph attention increases computational overhead. However, the manuscript does not provide comparisons of training time, inference speed, FLOPs, memory consumption, parameter count, or latency.</w:t>
      </w:r>
    </w:p>
    <w:p w14:paraId="2E607CD6"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lastRenderedPageBreak/>
        <w:t xml:space="preserve">Author Response: </w:t>
      </w:r>
      <w:r w:rsidRPr="00CA5187">
        <w:rPr>
          <w:rFonts w:cs="Times New Roman"/>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6A1F33C"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Added Table 2 (Section 3.6) and Table 9 (Section 5.1).</w:t>
      </w:r>
    </w:p>
    <w:p w14:paraId="4DFD284D" w14:textId="77777777" w:rsidR="002B56F5" w:rsidRPr="00CA5187" w:rsidRDefault="002B56F5" w:rsidP="00A15E6A">
      <w:pPr>
        <w:spacing w:line="240" w:lineRule="auto"/>
        <w:jc w:val="both"/>
        <w:rPr>
          <w:rFonts w:cs="Times New Roman"/>
          <w:sz w:val="28"/>
          <w:szCs w:val="28"/>
        </w:rPr>
      </w:pPr>
    </w:p>
    <w:p w14:paraId="29DB96F1" w14:textId="614026C1" w:rsidR="002B56F5" w:rsidRPr="00CA5187" w:rsidRDefault="00AA0D85" w:rsidP="00A15E6A">
      <w:pPr>
        <w:spacing w:line="240" w:lineRule="auto"/>
        <w:jc w:val="both"/>
        <w:rPr>
          <w:rFonts w:cs="Times New Roman"/>
          <w:sz w:val="28"/>
          <w:szCs w:val="28"/>
        </w:rPr>
      </w:pPr>
      <w:r w:rsidRPr="00CA5187">
        <w:rPr>
          <w:rFonts w:cs="Times New Roman"/>
          <w:b/>
          <w:color w:val="004080"/>
          <w:sz w:val="28"/>
          <w:szCs w:val="28"/>
        </w:rPr>
        <w:t xml:space="preserve">Comment 3.5: </w:t>
      </w:r>
      <w:r w:rsidRPr="00CA5187">
        <w:rPr>
          <w:rFonts w:cs="Times New Roman"/>
          <w:i/>
          <w:sz w:val="28"/>
          <w:szCs w:val="28"/>
        </w:rPr>
        <w:t>Additional experiments should evaluate the influence of: Number of attention heads, Hidden dimensions, Graph construction strategy, MLP architecture, Attention activation functions, Number of graph layers.</w:t>
      </w:r>
    </w:p>
    <w:p w14:paraId="683A6D5F"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14:paraId="2482BCD7"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Reported in Section 5.1, Table 8, and Table 9.</w:t>
      </w:r>
    </w:p>
    <w:p w14:paraId="46934A17" w14:textId="77777777" w:rsidR="002B56F5" w:rsidRPr="00CA5187" w:rsidRDefault="002B56F5" w:rsidP="00A15E6A">
      <w:pPr>
        <w:spacing w:line="240" w:lineRule="auto"/>
        <w:jc w:val="both"/>
        <w:rPr>
          <w:rFonts w:cs="Times New Roman"/>
          <w:sz w:val="28"/>
          <w:szCs w:val="28"/>
        </w:rPr>
      </w:pPr>
    </w:p>
    <w:p w14:paraId="34EA1B98" w14:textId="4DF1B2D6" w:rsidR="002B56F5" w:rsidRPr="00CA5187" w:rsidRDefault="0083369E" w:rsidP="00A15E6A">
      <w:pPr>
        <w:spacing w:line="240" w:lineRule="auto"/>
        <w:jc w:val="both"/>
        <w:rPr>
          <w:rFonts w:cs="Times New Roman"/>
          <w:sz w:val="28"/>
          <w:szCs w:val="28"/>
        </w:rPr>
      </w:pPr>
      <w:r w:rsidRPr="00CA5187">
        <w:rPr>
          <w:rFonts w:cs="Times New Roman"/>
          <w:b/>
          <w:color w:val="004080"/>
          <w:sz w:val="28"/>
          <w:szCs w:val="28"/>
        </w:rPr>
        <w:t xml:space="preserve">Comment 3.6: </w:t>
      </w:r>
      <w:r w:rsidRPr="00CA5187">
        <w:rPr>
          <w:rFonts w:cs="Times New Roman"/>
          <w:i/>
          <w:sz w:val="28"/>
          <w:szCs w:val="28"/>
        </w:rPr>
        <w:t>Manuscript should compare ViGATs with recent state-of-the-art models, including Vision Transformers, Swin Transformer, ConvNeXt, Mamba-based architectures, EfficientNetV2, and hybrid CNN-transformer networks. Some recent works in this domain are:</w:t>
      </w:r>
      <w:r w:rsidRPr="00CA5187">
        <w:rPr>
          <w:rFonts w:cs="Times New Roman"/>
          <w:i/>
          <w:sz w:val="28"/>
          <w:szCs w:val="28"/>
        </w:rPr>
        <w:br/>
        <w:t>https://doi.org/10.1016/j.rineng.2026.111212</w:t>
      </w:r>
      <w:r w:rsidRPr="00CA5187">
        <w:rPr>
          <w:rFonts w:cs="Times New Roman"/>
          <w:i/>
          <w:sz w:val="28"/>
          <w:szCs w:val="28"/>
        </w:rPr>
        <w:br/>
        <w:t>https://doi.org/10.1016/j.rineng.2025.108826</w:t>
      </w:r>
      <w:r w:rsidRPr="00CA5187">
        <w:rPr>
          <w:rFonts w:cs="Times New Roman"/>
          <w:i/>
          <w:sz w:val="28"/>
          <w:szCs w:val="28"/>
        </w:rPr>
        <w:br/>
        <w:t>https://doi.org/10.3390/agriengineering7080268</w:t>
      </w:r>
      <w:r w:rsidRPr="00CA5187">
        <w:rPr>
          <w:rFonts w:cs="Times New Roman"/>
          <w:i/>
          <w:sz w:val="28"/>
          <w:szCs w:val="28"/>
        </w:rPr>
        <w:br/>
        <w:t>https://doi.org/10.3390/agriengineering7070205</w:t>
      </w:r>
    </w:p>
    <w:p w14:paraId="14316E7D"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substantially expanded our baseline comparisons by adding: ConvNeXt-Tiny (2022), EfficientNetV2-S (2021), Swin-T (2021), MambaOut-Tiny (2024 SSM), FastViT-T8 (2023), RepViT-M1 (2024), and EfficientViT-B1 (2023). ViGATs consistently achieves the highest accuracy across all 5-fold benchmarks. Furthermore, we deeply appreciate the reviewer's excellent literature recommendations. We have carefully studied and incorporated these 4 recent, highly relevant works into our Related Work section (Section 2) to provide a more comprehensive context regarding robust CNNs, lightweight Vision Transformers, and current AI bottlenecks in agricultural disease diagnosis.</w:t>
      </w:r>
    </w:p>
    <w:p w14:paraId="476863D6"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Presented in Table 3 (Baseline overview), Tables 4-7, and Table 8. Added citations to the 4 recommended works in Section 2.</w:t>
      </w:r>
    </w:p>
    <w:p w14:paraId="0ACAEBF3" w14:textId="77777777" w:rsidR="002B56F5" w:rsidRPr="00CA5187" w:rsidRDefault="002B56F5" w:rsidP="00A15E6A">
      <w:pPr>
        <w:spacing w:line="240" w:lineRule="auto"/>
        <w:jc w:val="both"/>
        <w:rPr>
          <w:rFonts w:cs="Times New Roman"/>
          <w:sz w:val="28"/>
          <w:szCs w:val="28"/>
        </w:rPr>
      </w:pPr>
    </w:p>
    <w:p w14:paraId="663A39DB" w14:textId="6808643E" w:rsidR="002B56F5" w:rsidRPr="00CA5187" w:rsidRDefault="005564D5" w:rsidP="00A15E6A">
      <w:pPr>
        <w:spacing w:line="240" w:lineRule="auto"/>
        <w:jc w:val="both"/>
        <w:rPr>
          <w:rFonts w:cs="Times New Roman"/>
          <w:sz w:val="28"/>
          <w:szCs w:val="28"/>
        </w:rPr>
      </w:pPr>
      <w:r w:rsidRPr="00CA5187">
        <w:rPr>
          <w:rFonts w:cs="Times New Roman"/>
          <w:b/>
          <w:color w:val="004080"/>
          <w:sz w:val="28"/>
          <w:szCs w:val="28"/>
        </w:rPr>
        <w:lastRenderedPageBreak/>
        <w:t xml:space="preserve">Comment 3.7: </w:t>
      </w:r>
      <w:r w:rsidRPr="00CA5187">
        <w:rPr>
          <w:rFonts w:cs="Times New Roman"/>
          <w:i/>
          <w:sz w:val="28"/>
          <w:szCs w:val="28"/>
        </w:rPr>
        <w:t>Manuscript should include visualization of attention maps or graph attention weights to illustrate which image regions or graph nodes contribute most to disease classification.</w:t>
      </w:r>
    </w:p>
    <w:p w14:paraId="62CA6677"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To improve interpretability, we added qualitative visualizations of the query-key cosine similarity (attention maps) in Figure 9. These visualizations confirm that the multi-head edge-difference attention mechanism successfully assigns higher weights to pathological regions (e.g., blast lesions) while suppressing irrelevant background foliage.</w:t>
      </w:r>
    </w:p>
    <w:p w14:paraId="09C9D041"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Added Figure 9 and the corresponding discussion in Section 6.2.</w:t>
      </w:r>
    </w:p>
    <w:p w14:paraId="1E470C1B" w14:textId="77777777" w:rsidR="002B56F5" w:rsidRPr="00CA5187" w:rsidRDefault="002B56F5" w:rsidP="00A15E6A">
      <w:pPr>
        <w:spacing w:line="240" w:lineRule="auto"/>
        <w:jc w:val="both"/>
        <w:rPr>
          <w:rFonts w:cs="Times New Roman"/>
          <w:sz w:val="28"/>
          <w:szCs w:val="28"/>
        </w:rPr>
      </w:pPr>
    </w:p>
    <w:p w14:paraId="453146DB" w14:textId="0409CCEB" w:rsidR="002B56F5" w:rsidRPr="00CA5187" w:rsidRDefault="00C00551" w:rsidP="00A15E6A">
      <w:pPr>
        <w:spacing w:line="240" w:lineRule="auto"/>
        <w:jc w:val="both"/>
        <w:rPr>
          <w:rFonts w:cs="Times New Roman"/>
          <w:sz w:val="28"/>
          <w:szCs w:val="28"/>
        </w:rPr>
      </w:pPr>
      <w:r w:rsidRPr="00CA5187">
        <w:rPr>
          <w:rFonts w:cs="Times New Roman"/>
          <w:b/>
          <w:color w:val="004080"/>
          <w:sz w:val="28"/>
          <w:szCs w:val="28"/>
        </w:rPr>
        <w:t xml:space="preserve">Comment 3.8: </w:t>
      </w:r>
      <w:r w:rsidRPr="00CA5187">
        <w:rPr>
          <w:rFonts w:cs="Times New Roman"/>
          <w:i/>
          <w:sz w:val="28"/>
          <w:szCs w:val="28"/>
        </w:rPr>
        <w:t>Authors should clarify the data partitioning strategy and ensure that no information leakage has occurred.</w:t>
      </w:r>
    </w:p>
    <w:p w14:paraId="0E781EB9"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have completely restructured our data partitioning to strictly avoid any information leakage. Specifically, we implemented a rigorous 5-fold stratified cross-validation protocol. In each fold, the dataset is partitioned into strictly disjoint subsets: ~70% Training, ~10% Validation, and ~20% Testing. All augmentations and early stopping criteria are strictly confined to the training and validation sets, respectively, and the test set is kept completely unseen until final evaluation.</w:t>
      </w:r>
    </w:p>
    <w:p w14:paraId="313F468C"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Clarified the leakage-free data partitioning strategy in Section 4.2.</w:t>
      </w:r>
    </w:p>
    <w:p w14:paraId="63822A32" w14:textId="77777777" w:rsidR="002B56F5" w:rsidRPr="00CA5187" w:rsidRDefault="002B56F5" w:rsidP="00A15E6A">
      <w:pPr>
        <w:spacing w:line="240" w:lineRule="auto"/>
        <w:jc w:val="both"/>
        <w:rPr>
          <w:rFonts w:cs="Times New Roman"/>
          <w:sz w:val="28"/>
          <w:szCs w:val="28"/>
        </w:rPr>
      </w:pPr>
    </w:p>
    <w:p w14:paraId="32E2EECB" w14:textId="08A8328A" w:rsidR="002B56F5" w:rsidRPr="00CA5187" w:rsidRDefault="00C00551" w:rsidP="00A15E6A">
      <w:pPr>
        <w:spacing w:line="240" w:lineRule="auto"/>
        <w:jc w:val="both"/>
        <w:rPr>
          <w:rFonts w:cs="Times New Roman"/>
          <w:sz w:val="28"/>
          <w:szCs w:val="28"/>
        </w:rPr>
      </w:pPr>
      <w:r w:rsidRPr="00CA5187">
        <w:rPr>
          <w:rFonts w:cs="Times New Roman"/>
          <w:b/>
          <w:color w:val="004080"/>
          <w:sz w:val="28"/>
          <w:szCs w:val="28"/>
        </w:rPr>
        <w:t xml:space="preserve">Comment 3.9: </w:t>
      </w:r>
      <w:r w:rsidRPr="00CA5187">
        <w:rPr>
          <w:rFonts w:cs="Times New Roman"/>
          <w:i/>
          <w:sz w:val="28"/>
          <w:szCs w:val="28"/>
        </w:rPr>
        <w:t>The manuscript lacks qualitative analysis of misclassified samples. Including representative failure cases would provide valuable insight into the limitations of the proposed approach.</w:t>
      </w:r>
    </w:p>
    <w:p w14:paraId="46EFAE2C" w14:textId="77777777" w:rsidR="002B56F5" w:rsidRPr="00CA5187" w:rsidRDefault="00000000" w:rsidP="00A15E6A">
      <w:pPr>
        <w:spacing w:line="240" w:lineRule="auto"/>
        <w:jc w:val="both"/>
        <w:rPr>
          <w:rFonts w:cs="Times New Roman"/>
          <w:sz w:val="28"/>
          <w:szCs w:val="28"/>
        </w:rPr>
      </w:pPr>
      <w:r w:rsidRPr="00CA5187">
        <w:rPr>
          <w:rFonts w:cs="Times New Roman"/>
          <w:b/>
          <w:color w:val="006633"/>
          <w:sz w:val="28"/>
          <w:szCs w:val="28"/>
        </w:rPr>
        <w:t xml:space="preserve">Author Response: </w:t>
      </w:r>
      <w:r w:rsidRPr="00CA5187">
        <w:rPr>
          <w:rFonts w:cs="Times New Roman"/>
          <w:sz w:val="28"/>
          <w:szCs w:val="28"/>
        </w:rP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14:paraId="73F9B24F" w14:textId="77777777" w:rsidR="002B56F5" w:rsidRPr="00CA5187" w:rsidRDefault="00000000" w:rsidP="00A15E6A">
      <w:pPr>
        <w:spacing w:line="240" w:lineRule="auto"/>
        <w:jc w:val="both"/>
        <w:rPr>
          <w:rFonts w:cs="Times New Roman"/>
          <w:sz w:val="28"/>
          <w:szCs w:val="28"/>
        </w:rPr>
      </w:pPr>
      <w:r w:rsidRPr="00CA5187">
        <w:rPr>
          <w:rFonts w:cs="Times New Roman"/>
          <w:b/>
          <w:i/>
          <w:color w:val="663300"/>
          <w:sz w:val="28"/>
          <w:szCs w:val="28"/>
        </w:rPr>
        <w:t xml:space="preserve">Manuscript Changes: </w:t>
      </w:r>
      <w:r w:rsidRPr="00CA5187">
        <w:rPr>
          <w:rFonts w:cs="Times New Roman"/>
          <w:sz w:val="28"/>
          <w:szCs w:val="28"/>
        </w:rPr>
        <w:t>Added Figure 7, Figure 8, and Section 6.3.</w:t>
      </w:r>
    </w:p>
    <w:p w14:paraId="4D3A8938" w14:textId="77777777" w:rsidR="002B56F5" w:rsidRPr="00CA5187" w:rsidRDefault="002B56F5" w:rsidP="00A15E6A">
      <w:pPr>
        <w:spacing w:line="240" w:lineRule="auto"/>
        <w:jc w:val="both"/>
        <w:rPr>
          <w:rFonts w:cs="Times New Roman"/>
          <w:sz w:val="28"/>
          <w:szCs w:val="28"/>
        </w:rPr>
      </w:pPr>
    </w:p>
    <w:p w14:paraId="29D4F6DA" w14:textId="77777777" w:rsidR="002B56F5" w:rsidRPr="00CA5187" w:rsidRDefault="00000000" w:rsidP="00A15E6A">
      <w:pPr>
        <w:spacing w:line="240" w:lineRule="auto"/>
        <w:jc w:val="both"/>
        <w:rPr>
          <w:rFonts w:cs="Times New Roman"/>
          <w:sz w:val="28"/>
          <w:szCs w:val="28"/>
        </w:rPr>
      </w:pPr>
      <w:r w:rsidRPr="00CA5187">
        <w:rPr>
          <w:rFonts w:cs="Times New Roman"/>
          <w:sz w:val="28"/>
          <w:szCs w:val="28"/>
        </w:rPr>
        <w:t xml:space="preserve">Once again, we express our heartfelt appreciation to the Editor and the Reviewers for their constructive critiques, which have substantially enhanced the scientific rigor, reproducibility, and clarity of our manuscript. We hope the revised </w:t>
      </w:r>
      <w:r w:rsidRPr="00CA5187">
        <w:rPr>
          <w:rFonts w:cs="Times New Roman"/>
          <w:sz w:val="28"/>
          <w:szCs w:val="28"/>
        </w:rPr>
        <w:lastRenderedPageBreak/>
        <w:t>manuscript and our detailed responses meet the high standards of the Journal of Information and Telecommunication.</w:t>
      </w:r>
    </w:p>
    <w:p w14:paraId="3A0BD063" w14:textId="77777777" w:rsidR="006439D8" w:rsidRDefault="00000000" w:rsidP="00A15E6A">
      <w:pPr>
        <w:spacing w:line="240" w:lineRule="auto"/>
        <w:jc w:val="both"/>
        <w:rPr>
          <w:rFonts w:cs="Times New Roman"/>
          <w:b/>
          <w:sz w:val="28"/>
          <w:szCs w:val="28"/>
        </w:rPr>
      </w:pPr>
      <w:r w:rsidRPr="00CA5187">
        <w:rPr>
          <w:rFonts w:cs="Times New Roman"/>
          <w:b/>
          <w:sz w:val="28"/>
          <w:szCs w:val="28"/>
        </w:rPr>
        <w:t>Sincerely,</w:t>
      </w:r>
    </w:p>
    <w:p w14:paraId="0935BF75" w14:textId="77777777" w:rsidR="006439D8" w:rsidRDefault="00000000" w:rsidP="00A15E6A">
      <w:pPr>
        <w:spacing w:line="240" w:lineRule="auto"/>
        <w:jc w:val="both"/>
        <w:rPr>
          <w:rFonts w:cs="Times New Roman"/>
          <w:sz w:val="28"/>
          <w:szCs w:val="28"/>
        </w:rPr>
      </w:pPr>
      <w:r w:rsidRPr="00CA5187">
        <w:rPr>
          <w:rFonts w:cs="Times New Roman"/>
          <w:sz w:val="28"/>
          <w:szCs w:val="28"/>
        </w:rPr>
        <w:t>Thanh-Hai Tong-Le, Minh-Hai Le, and Thanh-Nghi Doan*</w:t>
      </w:r>
    </w:p>
    <w:p w14:paraId="443C622A" w14:textId="77777777" w:rsidR="006439D8" w:rsidRDefault="00000000" w:rsidP="00A15E6A">
      <w:pPr>
        <w:spacing w:line="240" w:lineRule="auto"/>
        <w:jc w:val="both"/>
        <w:rPr>
          <w:rFonts w:cs="Times New Roman"/>
          <w:sz w:val="28"/>
          <w:szCs w:val="28"/>
        </w:rPr>
      </w:pPr>
      <w:r w:rsidRPr="00CA5187">
        <w:rPr>
          <w:rFonts w:cs="Times New Roman"/>
          <w:sz w:val="28"/>
          <w:szCs w:val="28"/>
        </w:rPr>
        <w:t>On behalf of all authors</w:t>
      </w:r>
    </w:p>
    <w:p w14:paraId="4E12378D" w14:textId="77777777" w:rsidR="006439D8" w:rsidRDefault="00000000" w:rsidP="00A15E6A">
      <w:pPr>
        <w:spacing w:line="240" w:lineRule="auto"/>
        <w:jc w:val="both"/>
        <w:rPr>
          <w:rFonts w:cs="Times New Roman"/>
          <w:sz w:val="28"/>
          <w:szCs w:val="28"/>
        </w:rPr>
      </w:pPr>
      <w:r w:rsidRPr="00CA5187">
        <w:rPr>
          <w:rFonts w:cs="Times New Roman"/>
          <w:sz w:val="28"/>
          <w:szCs w:val="28"/>
        </w:rPr>
        <w:t>Faculty of Information Technology, An Giang University, VNU-HCM, Vietnam</w:t>
      </w:r>
    </w:p>
    <w:p w14:paraId="6A0ED266" w14:textId="0E939044" w:rsidR="002B56F5" w:rsidRPr="00CA5187" w:rsidRDefault="00000000" w:rsidP="00A15E6A">
      <w:pPr>
        <w:spacing w:line="240" w:lineRule="auto"/>
        <w:jc w:val="both"/>
        <w:rPr>
          <w:rFonts w:cs="Times New Roman"/>
          <w:sz w:val="28"/>
          <w:szCs w:val="28"/>
        </w:rPr>
      </w:pPr>
      <w:r w:rsidRPr="00CA5187">
        <w:rPr>
          <w:rFonts w:cs="Times New Roman"/>
          <w:sz w:val="28"/>
          <w:szCs w:val="28"/>
        </w:rPr>
        <w:t>Email: dtnghi@agu.edu.vn</w:t>
      </w:r>
    </w:p>
    <w:sectPr w:rsidR="002B56F5" w:rsidRPr="00CA5187" w:rsidSect="00A15E6A">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C77024"/>
    <w:multiLevelType w:val="hybridMultilevel"/>
    <w:tmpl w:val="C8DC3746"/>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25788077">
    <w:abstractNumId w:val="8"/>
  </w:num>
  <w:num w:numId="2" w16cid:durableId="1071736381">
    <w:abstractNumId w:val="6"/>
  </w:num>
  <w:num w:numId="3" w16cid:durableId="1507480793">
    <w:abstractNumId w:val="5"/>
  </w:num>
  <w:num w:numId="4" w16cid:durableId="632903297">
    <w:abstractNumId w:val="4"/>
  </w:num>
  <w:num w:numId="5" w16cid:durableId="1025906789">
    <w:abstractNumId w:val="7"/>
  </w:num>
  <w:num w:numId="6" w16cid:durableId="1736925951">
    <w:abstractNumId w:val="3"/>
  </w:num>
  <w:num w:numId="7" w16cid:durableId="611985072">
    <w:abstractNumId w:val="2"/>
  </w:num>
  <w:num w:numId="8" w16cid:durableId="1842548010">
    <w:abstractNumId w:val="1"/>
  </w:num>
  <w:num w:numId="9" w16cid:durableId="1952546278">
    <w:abstractNumId w:val="0"/>
  </w:num>
  <w:num w:numId="10" w16cid:durableId="1374306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FFE"/>
    <w:rsid w:val="0015074B"/>
    <w:rsid w:val="0029639D"/>
    <w:rsid w:val="002B56F5"/>
    <w:rsid w:val="002B60DA"/>
    <w:rsid w:val="00326F90"/>
    <w:rsid w:val="0038033E"/>
    <w:rsid w:val="003C345D"/>
    <w:rsid w:val="004217C6"/>
    <w:rsid w:val="004B09CE"/>
    <w:rsid w:val="005564D5"/>
    <w:rsid w:val="00574243"/>
    <w:rsid w:val="006439D8"/>
    <w:rsid w:val="00795004"/>
    <w:rsid w:val="0083369E"/>
    <w:rsid w:val="00871D91"/>
    <w:rsid w:val="00A15E6A"/>
    <w:rsid w:val="00AA0D85"/>
    <w:rsid w:val="00AA1D8D"/>
    <w:rsid w:val="00B47730"/>
    <w:rsid w:val="00C00551"/>
    <w:rsid w:val="00CA5187"/>
    <w:rsid w:val="00CB0664"/>
    <w:rsid w:val="00DE6EB8"/>
    <w:rsid w:val="00E7551A"/>
    <w:rsid w:val="00F43E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425C3"/>
  <w14:defaultImageDpi w14:val="300"/>
  <w15:docId w15:val="{4413BD3A-1440-4A33-AA8A-FA1B00EB6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10</Pages>
  <Words>3211</Words>
  <Characters>18307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19</cp:revision>
  <dcterms:created xsi:type="dcterms:W3CDTF">2013-12-23T23:15:00Z</dcterms:created>
  <dcterms:modified xsi:type="dcterms:W3CDTF">2026-08-29T03:34:00Z</dcterms:modified>
  <cp:category/>
</cp:coreProperties>
</file>