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3B8EE" w14:textId="77777777" w:rsidR="008F344F" w:rsidRPr="006D3DC8" w:rsidRDefault="00000000" w:rsidP="00916741">
      <w:pPr>
        <w:jc w:val="center"/>
        <w:rPr>
          <w:rFonts w:cs="Times New Roman"/>
          <w:sz w:val="28"/>
          <w:szCs w:val="28"/>
        </w:rPr>
      </w:pPr>
      <w:r w:rsidRPr="006D3DC8">
        <w:rPr>
          <w:rFonts w:cs="Times New Roman"/>
          <w:b/>
          <w:color w:val="003366"/>
          <w:sz w:val="28"/>
          <w:szCs w:val="28"/>
        </w:rPr>
        <w:t>POINT-BY-POINT RESPONSE TO REVIEWERS' COMMENTS</w:t>
      </w:r>
    </w:p>
    <w:p w14:paraId="47B62F37" w14:textId="77777777" w:rsidR="00584E32" w:rsidRPr="003A0DA5" w:rsidRDefault="00000000" w:rsidP="00584E32">
      <w:pPr>
        <w:jc w:val="center"/>
        <w:rPr>
          <w:i/>
          <w:color w:val="000000" w:themeColor="text1"/>
          <w:sz w:val="28"/>
          <w:szCs w:val="28"/>
        </w:rPr>
      </w:pPr>
      <w:r w:rsidRPr="003A0DA5">
        <w:rPr>
          <w:i/>
          <w:color w:val="000000" w:themeColor="text1"/>
          <w:sz w:val="28"/>
          <w:szCs w:val="28"/>
        </w:rPr>
        <w:t>Journal of Information and Telecommunication (Taylor &amp; Francis)</w:t>
      </w:r>
    </w:p>
    <w:p w14:paraId="34DA2E5F" w14:textId="4B77A307" w:rsidR="008F344F" w:rsidRPr="003A0DA5" w:rsidRDefault="00000000" w:rsidP="00584E32">
      <w:pPr>
        <w:jc w:val="center"/>
        <w:rPr>
          <w:rFonts w:cs="Times New Roman"/>
          <w:color w:val="000000" w:themeColor="text1"/>
          <w:sz w:val="28"/>
          <w:szCs w:val="28"/>
        </w:rPr>
      </w:pPr>
      <w:r w:rsidRPr="003A0DA5">
        <w:rPr>
          <w:i/>
          <w:color w:val="000000" w:themeColor="text1"/>
          <w:sz w:val="28"/>
          <w:szCs w:val="28"/>
        </w:rPr>
        <w:t>Ref.: Ms. No. 266350252 (Revision Round)</w:t>
      </w:r>
    </w:p>
    <w:p w14:paraId="3131B6EC" w14:textId="77777777" w:rsidR="008F344F" w:rsidRPr="003F2F6F" w:rsidRDefault="008F344F" w:rsidP="003F2F6F">
      <w:pPr>
        <w:spacing w:after="240"/>
        <w:jc w:val="both"/>
        <w:rPr>
          <w:rFonts w:cs="Times New Roman"/>
          <w:sz w:val="28"/>
          <w:szCs w:val="28"/>
        </w:rPr>
      </w:pPr>
    </w:p>
    <w:tbl>
      <w:tblPr>
        <w:tblW w:w="10068" w:type="dxa"/>
        <w:jc w:val="center"/>
        <w:tblLayout w:type="fixed"/>
        <w:tblLook w:val="04A0" w:firstRow="1" w:lastRow="0" w:firstColumn="1" w:lastColumn="0" w:noHBand="0" w:noVBand="1"/>
      </w:tblPr>
      <w:tblGrid>
        <w:gridCol w:w="3064"/>
        <w:gridCol w:w="7004"/>
      </w:tblGrid>
      <w:tr w:rsidR="008F344F" w:rsidRPr="003F2F6F" w14:paraId="2AB8EF5E" w14:textId="77777777" w:rsidTr="00584E32">
        <w:trPr>
          <w:jc w:val="center"/>
        </w:trPr>
        <w:tc>
          <w:tcPr>
            <w:tcW w:w="3064" w:type="dxa"/>
            <w:shd w:val="clear" w:color="auto" w:fill="auto"/>
            <w:tcMar>
              <w:top w:w="80" w:type="dxa"/>
              <w:left w:w="100" w:type="dxa"/>
              <w:bottom w:w="80" w:type="dxa"/>
              <w:right w:w="100" w:type="dxa"/>
            </w:tcMar>
          </w:tcPr>
          <w:p w14:paraId="5B434F5A" w14:textId="77777777" w:rsidR="008F344F" w:rsidRPr="003F2F6F" w:rsidRDefault="00000000" w:rsidP="003F2F6F">
            <w:pPr>
              <w:jc w:val="both"/>
              <w:rPr>
                <w:rFonts w:cs="Times New Roman"/>
                <w:sz w:val="28"/>
                <w:szCs w:val="28"/>
              </w:rPr>
            </w:pPr>
            <w:r w:rsidRPr="003F2F6F">
              <w:rPr>
                <w:rFonts w:cs="Times New Roman"/>
                <w:b/>
                <w:sz w:val="28"/>
                <w:szCs w:val="28"/>
              </w:rPr>
              <w:t>Manuscript Title:</w:t>
            </w:r>
          </w:p>
        </w:tc>
        <w:tc>
          <w:tcPr>
            <w:tcW w:w="7004" w:type="dxa"/>
            <w:shd w:val="clear" w:color="auto" w:fill="auto"/>
            <w:tcMar>
              <w:top w:w="80" w:type="dxa"/>
              <w:left w:w="100" w:type="dxa"/>
              <w:bottom w:w="80" w:type="dxa"/>
              <w:right w:w="100" w:type="dxa"/>
            </w:tcMar>
          </w:tcPr>
          <w:p w14:paraId="404824CF" w14:textId="77777777" w:rsidR="008F344F" w:rsidRPr="003F2F6F" w:rsidRDefault="00000000" w:rsidP="003F2F6F">
            <w:pPr>
              <w:jc w:val="both"/>
              <w:rPr>
                <w:rFonts w:cs="Times New Roman"/>
                <w:sz w:val="28"/>
                <w:szCs w:val="28"/>
              </w:rPr>
            </w:pPr>
            <w:r w:rsidRPr="003F2F6F">
              <w:rPr>
                <w:rFonts w:cs="Times New Roman"/>
                <w:sz w:val="28"/>
                <w:szCs w:val="28"/>
              </w:rPr>
              <w:t>ViGATs: Vision Graph Attention Networks for Enhanced Plant Leaf Disease Classification</w:t>
            </w:r>
          </w:p>
        </w:tc>
      </w:tr>
      <w:tr w:rsidR="008F344F" w:rsidRPr="003F2F6F" w14:paraId="514C70DC" w14:textId="77777777" w:rsidTr="00584E32">
        <w:trPr>
          <w:jc w:val="center"/>
        </w:trPr>
        <w:tc>
          <w:tcPr>
            <w:tcW w:w="3064" w:type="dxa"/>
            <w:shd w:val="clear" w:color="auto" w:fill="auto"/>
            <w:tcMar>
              <w:top w:w="80" w:type="dxa"/>
              <w:left w:w="100" w:type="dxa"/>
              <w:bottom w:w="80" w:type="dxa"/>
              <w:right w:w="100" w:type="dxa"/>
            </w:tcMar>
          </w:tcPr>
          <w:p w14:paraId="13C3BEA5" w14:textId="77777777" w:rsidR="008F344F" w:rsidRPr="003F2F6F" w:rsidRDefault="00000000" w:rsidP="003F2F6F">
            <w:pPr>
              <w:jc w:val="both"/>
              <w:rPr>
                <w:rFonts w:cs="Times New Roman"/>
                <w:sz w:val="28"/>
                <w:szCs w:val="28"/>
              </w:rPr>
            </w:pPr>
            <w:r w:rsidRPr="003F2F6F">
              <w:rPr>
                <w:rFonts w:cs="Times New Roman"/>
                <w:b/>
                <w:sz w:val="28"/>
                <w:szCs w:val="28"/>
              </w:rPr>
              <w:t>Authors:</w:t>
            </w:r>
          </w:p>
        </w:tc>
        <w:tc>
          <w:tcPr>
            <w:tcW w:w="7004" w:type="dxa"/>
            <w:shd w:val="clear" w:color="auto" w:fill="auto"/>
            <w:tcMar>
              <w:top w:w="80" w:type="dxa"/>
              <w:left w:w="100" w:type="dxa"/>
              <w:bottom w:w="80" w:type="dxa"/>
              <w:right w:w="100" w:type="dxa"/>
            </w:tcMar>
          </w:tcPr>
          <w:p w14:paraId="57757D15" w14:textId="77777777" w:rsidR="008F344F" w:rsidRPr="003F2F6F" w:rsidRDefault="00000000" w:rsidP="003F2F6F">
            <w:pPr>
              <w:jc w:val="both"/>
              <w:rPr>
                <w:rFonts w:cs="Times New Roman"/>
                <w:sz w:val="28"/>
                <w:szCs w:val="28"/>
              </w:rPr>
            </w:pPr>
            <w:r w:rsidRPr="003F2F6F">
              <w:rPr>
                <w:rFonts w:cs="Times New Roman"/>
                <w:sz w:val="28"/>
                <w:szCs w:val="28"/>
              </w:rPr>
              <w:t>Thanh-Hai Tong-Le, Minh-Hai Le, and Thanh-Nghi Doan*</w:t>
            </w:r>
          </w:p>
        </w:tc>
      </w:tr>
      <w:tr w:rsidR="008F344F" w:rsidRPr="003F2F6F" w14:paraId="4A941CBA" w14:textId="77777777" w:rsidTr="00584E32">
        <w:trPr>
          <w:jc w:val="center"/>
        </w:trPr>
        <w:tc>
          <w:tcPr>
            <w:tcW w:w="3064" w:type="dxa"/>
            <w:shd w:val="clear" w:color="auto" w:fill="auto"/>
            <w:tcMar>
              <w:top w:w="80" w:type="dxa"/>
              <w:left w:w="100" w:type="dxa"/>
              <w:bottom w:w="80" w:type="dxa"/>
              <w:right w:w="100" w:type="dxa"/>
            </w:tcMar>
          </w:tcPr>
          <w:p w14:paraId="7C9286C7" w14:textId="77777777" w:rsidR="008F344F" w:rsidRPr="003F2F6F" w:rsidRDefault="00000000" w:rsidP="003F2F6F">
            <w:pPr>
              <w:jc w:val="both"/>
              <w:rPr>
                <w:rFonts w:cs="Times New Roman"/>
                <w:sz w:val="28"/>
                <w:szCs w:val="28"/>
              </w:rPr>
            </w:pPr>
            <w:r w:rsidRPr="003F2F6F">
              <w:rPr>
                <w:rFonts w:cs="Times New Roman"/>
                <w:b/>
                <w:sz w:val="28"/>
                <w:szCs w:val="28"/>
              </w:rPr>
              <w:t>Corresponding Author:</w:t>
            </w:r>
          </w:p>
        </w:tc>
        <w:tc>
          <w:tcPr>
            <w:tcW w:w="7004" w:type="dxa"/>
            <w:shd w:val="clear" w:color="auto" w:fill="auto"/>
            <w:tcMar>
              <w:top w:w="80" w:type="dxa"/>
              <w:left w:w="100" w:type="dxa"/>
              <w:bottom w:w="80" w:type="dxa"/>
              <w:right w:w="100" w:type="dxa"/>
            </w:tcMar>
          </w:tcPr>
          <w:p w14:paraId="1C497ED9" w14:textId="77777777" w:rsidR="008F344F" w:rsidRPr="003F2F6F" w:rsidRDefault="00000000" w:rsidP="003F2F6F">
            <w:pPr>
              <w:jc w:val="both"/>
              <w:rPr>
                <w:rFonts w:cs="Times New Roman"/>
                <w:sz w:val="28"/>
                <w:szCs w:val="28"/>
              </w:rPr>
            </w:pPr>
            <w:r w:rsidRPr="003F2F6F">
              <w:rPr>
                <w:rFonts w:cs="Times New Roman"/>
                <w:sz w:val="28"/>
                <w:szCs w:val="28"/>
              </w:rPr>
              <w:t>Thanh-Nghi Doan (Email: dtnghi@agu.edu.vn)</w:t>
            </w:r>
          </w:p>
        </w:tc>
      </w:tr>
      <w:tr w:rsidR="008F344F" w:rsidRPr="003F2F6F" w14:paraId="73E31D77" w14:textId="77777777" w:rsidTr="00584E32">
        <w:trPr>
          <w:jc w:val="center"/>
        </w:trPr>
        <w:tc>
          <w:tcPr>
            <w:tcW w:w="3064" w:type="dxa"/>
            <w:shd w:val="clear" w:color="auto" w:fill="auto"/>
            <w:tcMar>
              <w:top w:w="80" w:type="dxa"/>
              <w:left w:w="100" w:type="dxa"/>
              <w:bottom w:w="80" w:type="dxa"/>
              <w:right w:w="100" w:type="dxa"/>
            </w:tcMar>
          </w:tcPr>
          <w:p w14:paraId="2F1EF9DE" w14:textId="77777777" w:rsidR="008F344F" w:rsidRPr="003F2F6F" w:rsidRDefault="00000000" w:rsidP="003F2F6F">
            <w:pPr>
              <w:jc w:val="both"/>
              <w:rPr>
                <w:rFonts w:cs="Times New Roman"/>
                <w:sz w:val="28"/>
                <w:szCs w:val="28"/>
              </w:rPr>
            </w:pPr>
            <w:r w:rsidRPr="003F2F6F">
              <w:rPr>
                <w:rFonts w:cs="Times New Roman"/>
                <w:b/>
                <w:sz w:val="28"/>
                <w:szCs w:val="28"/>
              </w:rPr>
              <w:t>Submission Category:</w:t>
            </w:r>
          </w:p>
        </w:tc>
        <w:tc>
          <w:tcPr>
            <w:tcW w:w="7004" w:type="dxa"/>
            <w:shd w:val="clear" w:color="auto" w:fill="auto"/>
            <w:tcMar>
              <w:top w:w="80" w:type="dxa"/>
              <w:left w:w="100" w:type="dxa"/>
              <w:bottom w:w="80" w:type="dxa"/>
              <w:right w:w="100" w:type="dxa"/>
            </w:tcMar>
          </w:tcPr>
          <w:p w14:paraId="52647B82" w14:textId="77777777" w:rsidR="008F344F" w:rsidRPr="003F2F6F" w:rsidRDefault="00000000" w:rsidP="003F2F6F">
            <w:pPr>
              <w:jc w:val="both"/>
              <w:rPr>
                <w:rFonts w:cs="Times New Roman"/>
                <w:sz w:val="28"/>
                <w:szCs w:val="28"/>
              </w:rPr>
            </w:pPr>
            <w:r w:rsidRPr="003F2F6F">
              <w:rPr>
                <w:rFonts w:cs="Times New Roman"/>
                <w:sz w:val="28"/>
                <w:szCs w:val="28"/>
              </w:rPr>
              <w:t>Revised Research Article (Major Revision)</w:t>
            </w:r>
          </w:p>
        </w:tc>
      </w:tr>
    </w:tbl>
    <w:p w14:paraId="6AEE4601" w14:textId="77777777" w:rsidR="008F344F" w:rsidRPr="003F2F6F" w:rsidRDefault="008F344F" w:rsidP="003F2F6F">
      <w:pPr>
        <w:spacing w:after="240"/>
        <w:jc w:val="both"/>
        <w:rPr>
          <w:rFonts w:cs="Times New Roman"/>
          <w:sz w:val="28"/>
          <w:szCs w:val="28"/>
        </w:rPr>
      </w:pPr>
    </w:p>
    <w:p w14:paraId="5200843B" w14:textId="77777777" w:rsidR="008F344F" w:rsidRPr="003F2F6F" w:rsidRDefault="00000000" w:rsidP="003F2F6F">
      <w:pPr>
        <w:jc w:val="both"/>
        <w:rPr>
          <w:rFonts w:cs="Times New Roman"/>
          <w:sz w:val="28"/>
          <w:szCs w:val="28"/>
        </w:rPr>
      </w:pPr>
      <w:r w:rsidRPr="003F2F6F">
        <w:rPr>
          <w:rFonts w:cs="Times New Roman"/>
          <w:b/>
          <w:color w:val="003366"/>
          <w:sz w:val="28"/>
          <w:szCs w:val="28"/>
        </w:rPr>
        <w:t>Dear Editor-in-Chief and Esteemed Reviewers,</w:t>
      </w:r>
    </w:p>
    <w:p w14:paraId="78DDAC9D" w14:textId="77777777" w:rsidR="008F344F" w:rsidRPr="003F2F6F" w:rsidRDefault="00000000" w:rsidP="003F2F6F">
      <w:pPr>
        <w:jc w:val="both"/>
        <w:rPr>
          <w:rFonts w:cs="Times New Roman"/>
          <w:sz w:val="28"/>
          <w:szCs w:val="28"/>
        </w:rPr>
      </w:pPr>
      <w:r w:rsidRPr="003F2F6F">
        <w:rPr>
          <w:rFonts w:cs="Times New Roman"/>
          <w:sz w:val="28"/>
          <w:szCs w:val="28"/>
        </w:rP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14:paraId="6B33F36D"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3F2F6F">
        <w:rPr>
          <w:rFonts w:cs="Times New Roman"/>
          <w:b/>
          <w:sz w:val="28"/>
          <w:szCs w:val="28"/>
        </w:rPr>
        <w:t>Z</w:t>
      </w:r>
      <w:r w:rsidRPr="001364B0">
        <w:rPr>
          <w:rFonts w:cs="Times New Roman"/>
          <w:bCs/>
          <w:sz w:val="28"/>
          <w:szCs w:val="28"/>
        </w:rPr>
        <w:t>ero Data Leakage &amp; 5-Fold Stratified Cross-Validation: We replaced the single train/test evaluation with a strict 5-fold stratified cross-validation protocol (approx. 70% Train, 10% Validation, 20% Test) across all datasets. Early stopping and checkpoint selection are governed strictly by the validation set.</w:t>
      </w:r>
    </w:p>
    <w:p w14:paraId="430E881F"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t>Sample Mean ± Standard Deviation &amp; Statistical Significance: All experimental results are now reported as Mean ± Std over 5 folds, supplemented with Holm-adjusted paired t-tests to establish statistical significance.</w:t>
      </w:r>
    </w:p>
    <w:p w14:paraId="1F88D9EA"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t>Expanded In-Field &amp; Cross-Domain Benchmarks: We replaced the flawed PlantDoc dataset with PlantRaw—a rigorous multicrop in-the-wild benchmark (16,165 images, 35 classes, 10 crops)—and evaluated unseen aerial drone zero-shot transfer on IIITDMJ Maize.</w:t>
      </w:r>
    </w:p>
    <w:p w14:paraId="601CB8E0"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lastRenderedPageBreak/>
        <w:t>Real Hardware Profiling on Edge AI Platform: We conducted physical hardware profiling on an NVIDIA RTX 5070 Ti GPU, reporting Params, GFLOPs, peak VRAM memory (MB), and inference speed (FPS/Latency).</w:t>
      </w:r>
    </w:p>
    <w:p w14:paraId="48ED6588"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t>Clarification of GNN Novelty &amp; Baselines: We corrected the theoretical motivation regarding MRConv (clarifying channel-wise maximum), distinguished ViGATs from AttentionViG and GAT/GATv2, and added 10+ modern SOTA baselines (Swin Transformer, ConvNeXt, EfficientNetV2, MambaOut, FastViT, RepViT, EfficientViT).</w:t>
      </w:r>
    </w:p>
    <w:p w14:paraId="565CEB6C" w14:textId="77777777" w:rsidR="008F344F" w:rsidRPr="003F2F6F" w:rsidRDefault="00000000" w:rsidP="001364B0">
      <w:pPr>
        <w:pStyle w:val="ListBullet"/>
        <w:numPr>
          <w:ilvl w:val="0"/>
          <w:numId w:val="10"/>
        </w:numPr>
        <w:tabs>
          <w:tab w:val="left" w:pos="709"/>
        </w:tabs>
        <w:ind w:left="-142" w:firstLine="568"/>
        <w:jc w:val="both"/>
        <w:rPr>
          <w:rFonts w:cs="Times New Roman"/>
          <w:sz w:val="28"/>
          <w:szCs w:val="28"/>
        </w:rPr>
      </w:pPr>
      <w:r w:rsidRPr="001364B0">
        <w:rPr>
          <w:rFonts w:cs="Times New Roman"/>
          <w:bCs/>
          <w:sz w:val="28"/>
          <w:szCs w:val="28"/>
        </w:rPr>
        <w:t>Extended Ablations &amp; Explainability:</w:t>
      </w:r>
      <w:r w:rsidRPr="003F2F6F">
        <w:rPr>
          <w:rFonts w:cs="Times New Roman"/>
          <w:b/>
          <w:sz w:val="28"/>
          <w:szCs w:val="28"/>
        </w:rPr>
        <w:t xml:space="preserve"> </w:t>
      </w:r>
      <w:r w:rsidRPr="003F2F6F">
        <w:rPr>
          <w:rFonts w:cs="Times New Roman"/>
          <w:sz w:val="28"/>
          <w:szCs w:val="28"/>
        </w:rPr>
        <w:t>We added multi-factor ablations (attention heads H, hidden dimension C, layer depth L, activations, time/epoch) and visual attention maps.</w:t>
      </w:r>
    </w:p>
    <w:p w14:paraId="45C05FFB" w14:textId="77777777" w:rsidR="008F344F" w:rsidRPr="003F2F6F" w:rsidRDefault="00000000" w:rsidP="003F2F6F">
      <w:pPr>
        <w:jc w:val="both"/>
        <w:rPr>
          <w:rFonts w:cs="Times New Roman"/>
          <w:sz w:val="28"/>
          <w:szCs w:val="28"/>
        </w:rPr>
      </w:pPr>
      <w:r w:rsidRPr="003F2F6F">
        <w:rPr>
          <w:rFonts w:cs="Times New Roman"/>
          <w:sz w:val="28"/>
          <w:szCs w:val="28"/>
        </w:rPr>
        <w:t>Below is our comprehensive, point-by-point response to all comments raised by each reviewer.</w:t>
      </w:r>
    </w:p>
    <w:p w14:paraId="002F008C" w14:textId="1F74E729" w:rsidR="008F344F" w:rsidRPr="003F2F6F" w:rsidRDefault="00000000" w:rsidP="003F2F6F">
      <w:pPr>
        <w:jc w:val="both"/>
        <w:rPr>
          <w:rFonts w:cs="Times New Roman"/>
          <w:sz w:val="28"/>
          <w:szCs w:val="28"/>
        </w:rPr>
      </w:pPr>
      <w:r w:rsidRPr="003F2F6F">
        <w:rPr>
          <w:rFonts w:cs="Times New Roman"/>
          <w:b/>
          <w:color w:val="800000"/>
          <w:sz w:val="28"/>
          <w:szCs w:val="28"/>
        </w:rPr>
        <w:t>RESPONSE TO REVIEWER 1</w:t>
      </w:r>
    </w:p>
    <w:tbl>
      <w:tblPr>
        <w:tblW w:w="0" w:type="auto"/>
        <w:jc w:val="center"/>
        <w:tblLayout w:type="fixed"/>
        <w:tblLook w:val="04A0" w:firstRow="1" w:lastRow="0" w:firstColumn="1" w:lastColumn="0" w:noHBand="0" w:noVBand="1"/>
      </w:tblPr>
      <w:tblGrid>
        <w:gridCol w:w="9360"/>
      </w:tblGrid>
      <w:tr w:rsidR="008F344F" w:rsidRPr="003F2F6F" w14:paraId="4BB54613" w14:textId="77777777" w:rsidTr="003F2F6F">
        <w:trPr>
          <w:jc w:val="center"/>
        </w:trPr>
        <w:tc>
          <w:tcPr>
            <w:tcW w:w="9360" w:type="dxa"/>
            <w:shd w:val="clear" w:color="auto" w:fill="auto"/>
            <w:tcMar>
              <w:top w:w="100" w:type="dxa"/>
              <w:left w:w="150" w:type="dxa"/>
              <w:bottom w:w="100" w:type="dxa"/>
              <w:right w:w="150" w:type="dxa"/>
            </w:tcMar>
          </w:tcPr>
          <w:p w14:paraId="26349E9A"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1.1: </w:t>
            </w:r>
            <w:r w:rsidRPr="003F2F6F">
              <w:rPr>
                <w:rFonts w:cs="Times New Roman"/>
                <w:i/>
                <w:sz w:val="28"/>
                <w:szCs w:val="28"/>
              </w:rPr>
              <w:t>While the reported improvements are promising, the paper does not clearly discuss the statistical significance of the performance gains. Confidence intervals or statistical significance tests would strengthen the validity of the conclusions.</w:t>
            </w:r>
          </w:p>
        </w:tc>
      </w:tr>
    </w:tbl>
    <w:p w14:paraId="044E1DC0" w14:textId="77777777" w:rsidR="008F344F" w:rsidRPr="003F2F6F" w:rsidRDefault="008F344F" w:rsidP="003F2F6F">
      <w:pPr>
        <w:spacing w:after="80"/>
        <w:jc w:val="both"/>
        <w:rPr>
          <w:rFonts w:cs="Times New Roman"/>
          <w:sz w:val="28"/>
          <w:szCs w:val="28"/>
        </w:rPr>
      </w:pPr>
    </w:p>
    <w:p w14:paraId="43D7EFDE"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14:paraId="4E19FC6D"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Updated Sections 4.3, 5.2, 5.3, and Tables 4, 5, 7 in the revised manuscript.</w:t>
      </w:r>
    </w:p>
    <w:p w14:paraId="55F5C733"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68E558A5" w14:textId="77777777" w:rsidTr="003F2F6F">
        <w:trPr>
          <w:jc w:val="center"/>
        </w:trPr>
        <w:tc>
          <w:tcPr>
            <w:tcW w:w="9360" w:type="dxa"/>
            <w:shd w:val="clear" w:color="auto" w:fill="auto"/>
            <w:tcMar>
              <w:top w:w="100" w:type="dxa"/>
              <w:left w:w="150" w:type="dxa"/>
              <w:bottom w:w="100" w:type="dxa"/>
              <w:right w:w="150" w:type="dxa"/>
            </w:tcMar>
          </w:tcPr>
          <w:p w14:paraId="50E7D50E" w14:textId="77777777" w:rsidR="008F344F" w:rsidRPr="003F2F6F" w:rsidRDefault="00000000" w:rsidP="003F2F6F">
            <w:pPr>
              <w:jc w:val="both"/>
              <w:rPr>
                <w:rFonts w:cs="Times New Roman"/>
                <w:sz w:val="28"/>
                <w:szCs w:val="28"/>
              </w:rPr>
            </w:pPr>
            <w:r w:rsidRPr="003F2F6F">
              <w:rPr>
                <w:rFonts w:cs="Times New Roman"/>
                <w:b/>
                <w:color w:val="004080"/>
                <w:sz w:val="28"/>
                <w:szCs w:val="28"/>
              </w:rPr>
              <w:lastRenderedPageBreak/>
              <w:t xml:space="preserve">Comment 1.2: </w:t>
            </w:r>
            <w:r w:rsidRPr="003F2F6F">
              <w:rPr>
                <w:rFonts w:cs="Times New Roman"/>
                <w:i/>
                <w:sz w:val="28"/>
                <w:szCs w:val="28"/>
              </w:rPr>
              <w:t>The experiments appear to rely on a single training configuration. Reporting results across multiple random seeds would provide stronger evidence regarding the robustness and stability of the proposed approach.</w:t>
            </w:r>
          </w:p>
        </w:tc>
      </w:tr>
    </w:tbl>
    <w:p w14:paraId="4186949F" w14:textId="77777777" w:rsidR="008F344F" w:rsidRPr="003F2F6F" w:rsidRDefault="008F344F" w:rsidP="003F2F6F">
      <w:pPr>
        <w:spacing w:after="80"/>
        <w:jc w:val="both"/>
        <w:rPr>
          <w:rFonts w:cs="Times New Roman"/>
          <w:sz w:val="28"/>
          <w:szCs w:val="28"/>
        </w:rPr>
      </w:pPr>
    </w:p>
    <w:p w14:paraId="63007A11"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14:paraId="2457C401"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fold-wise statistics and variance metrics are provided in Tables 4, 5, 6, 7.</w:t>
      </w:r>
    </w:p>
    <w:p w14:paraId="56072E6F"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7EA5141E" w14:textId="77777777" w:rsidTr="003F2F6F">
        <w:trPr>
          <w:jc w:val="center"/>
        </w:trPr>
        <w:tc>
          <w:tcPr>
            <w:tcW w:w="9360" w:type="dxa"/>
            <w:shd w:val="clear" w:color="auto" w:fill="auto"/>
            <w:tcMar>
              <w:top w:w="100" w:type="dxa"/>
              <w:left w:w="150" w:type="dxa"/>
              <w:bottom w:w="100" w:type="dxa"/>
              <w:right w:w="150" w:type="dxa"/>
            </w:tcMar>
          </w:tcPr>
          <w:p w14:paraId="6C8D2A85"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1.3: </w:t>
            </w:r>
            <w:r w:rsidRPr="003F2F6F">
              <w:rPr>
                <w:rFonts w:cs="Times New Roman"/>
                <w:i/>
                <w:sz w:val="28"/>
                <w:szCs w:val="28"/>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tc>
      </w:tr>
    </w:tbl>
    <w:p w14:paraId="1E01C101" w14:textId="77777777" w:rsidR="008F344F" w:rsidRPr="003F2F6F" w:rsidRDefault="008F344F" w:rsidP="003F2F6F">
      <w:pPr>
        <w:spacing w:after="80"/>
        <w:jc w:val="both"/>
        <w:rPr>
          <w:rFonts w:cs="Times New Roman"/>
          <w:sz w:val="28"/>
          <w:szCs w:val="28"/>
        </w:rPr>
      </w:pPr>
    </w:p>
    <w:p w14:paraId="44561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14:paraId="34F63939"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 dedicated computational complexity table (Table 2) and discussion have been added to Section 3.6.</w:t>
      </w:r>
    </w:p>
    <w:p w14:paraId="64FDFF52"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41623210" w14:textId="77777777" w:rsidTr="003F2F6F">
        <w:trPr>
          <w:jc w:val="center"/>
        </w:trPr>
        <w:tc>
          <w:tcPr>
            <w:tcW w:w="9360" w:type="dxa"/>
            <w:shd w:val="clear" w:color="auto" w:fill="auto"/>
            <w:tcMar>
              <w:top w:w="100" w:type="dxa"/>
              <w:left w:w="150" w:type="dxa"/>
              <w:bottom w:w="100" w:type="dxa"/>
              <w:right w:w="150" w:type="dxa"/>
            </w:tcMar>
          </w:tcPr>
          <w:p w14:paraId="7F38CECB" w14:textId="77777777" w:rsidR="008F344F" w:rsidRPr="003F2F6F" w:rsidRDefault="00000000" w:rsidP="003F2F6F">
            <w:pPr>
              <w:jc w:val="both"/>
              <w:rPr>
                <w:rFonts w:cs="Times New Roman"/>
                <w:sz w:val="28"/>
                <w:szCs w:val="28"/>
              </w:rPr>
            </w:pPr>
            <w:r w:rsidRPr="003F2F6F">
              <w:rPr>
                <w:rFonts w:cs="Times New Roman"/>
                <w:b/>
                <w:color w:val="004080"/>
                <w:sz w:val="28"/>
                <w:szCs w:val="28"/>
              </w:rPr>
              <w:lastRenderedPageBreak/>
              <w:t xml:space="preserve">Comment 1.4: </w:t>
            </w:r>
            <w:r w:rsidRPr="003F2F6F">
              <w:rPr>
                <w:rFonts w:cs="Times New Roman"/>
                <w:i/>
                <w:sz w:val="28"/>
                <w:szCs w:val="28"/>
              </w:rPr>
              <w:t>The datasets used, while diverse, primarily consist of benchmark datasets. Additional discussion regarding generalization to real-world field conditions, varying illumination, occlusions, and image quality would strengthen the practical relevance of the work.</w:t>
            </w:r>
          </w:p>
        </w:tc>
      </w:tr>
    </w:tbl>
    <w:p w14:paraId="6F277470" w14:textId="77777777" w:rsidR="008F344F" w:rsidRPr="003F2F6F" w:rsidRDefault="008F344F" w:rsidP="003F2F6F">
      <w:pPr>
        <w:spacing w:after="80"/>
        <w:jc w:val="both"/>
        <w:rPr>
          <w:rFonts w:cs="Times New Roman"/>
          <w:sz w:val="28"/>
          <w:szCs w:val="28"/>
        </w:rPr>
      </w:pPr>
    </w:p>
    <w:p w14:paraId="57AAEAB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14:paraId="52FB5C6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analysis added in Sections 4.1.1, 5.2.1 (PlantRaw), Section 5.3 (IIITDMJ Drone), and Section 6.3.</w:t>
      </w:r>
    </w:p>
    <w:p w14:paraId="1014A0CE"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2D0FAB8B" w14:textId="77777777" w:rsidTr="003F2F6F">
        <w:trPr>
          <w:jc w:val="center"/>
        </w:trPr>
        <w:tc>
          <w:tcPr>
            <w:tcW w:w="9360" w:type="dxa"/>
            <w:shd w:val="clear" w:color="auto" w:fill="auto"/>
            <w:tcMar>
              <w:top w:w="100" w:type="dxa"/>
              <w:left w:w="150" w:type="dxa"/>
              <w:bottom w:w="100" w:type="dxa"/>
              <w:right w:w="150" w:type="dxa"/>
            </w:tcMar>
          </w:tcPr>
          <w:p w14:paraId="0269B9F5"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1.5: </w:t>
            </w:r>
            <w:r w:rsidRPr="003F2F6F">
              <w:rPr>
                <w:rFonts w:cs="Times New Roman"/>
                <w:i/>
                <w:sz w:val="28"/>
                <w:szCs w:val="28"/>
              </w:rPr>
              <w:t>The improvements over the original ViG architecture, although consistent, should be discussed in relation to the added complexity introduced by the attention mechanism to better justify the trade-off between performance and computational cost.</w:t>
            </w:r>
          </w:p>
        </w:tc>
      </w:tr>
    </w:tbl>
    <w:p w14:paraId="4D34CE89" w14:textId="77777777" w:rsidR="008F344F" w:rsidRPr="003F2F6F" w:rsidRDefault="008F344F" w:rsidP="003F2F6F">
      <w:pPr>
        <w:spacing w:after="80"/>
        <w:jc w:val="both"/>
        <w:rPr>
          <w:rFonts w:cs="Times New Roman"/>
          <w:sz w:val="28"/>
          <w:szCs w:val="28"/>
        </w:rPr>
      </w:pPr>
    </w:p>
    <w:p w14:paraId="7DE442D8"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computational overhead yields significant accuracy improvements on challenging real-world datasets (+1.11% on PlantRaw, +7.60% on unseen drone transfer).</w:t>
      </w:r>
    </w:p>
    <w:p w14:paraId="38E559F2"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into Sections 3.5, 3.6, Table 1, and Section 6.1.</w:t>
      </w:r>
    </w:p>
    <w:p w14:paraId="51B86DF5" w14:textId="77777777" w:rsidR="008F344F" w:rsidRPr="003F2F6F" w:rsidRDefault="008F344F" w:rsidP="003F2F6F">
      <w:pPr>
        <w:spacing w:after="160"/>
        <w:jc w:val="both"/>
        <w:rPr>
          <w:rFonts w:cs="Times New Roman"/>
          <w:sz w:val="28"/>
          <w:szCs w:val="28"/>
        </w:rPr>
      </w:pPr>
    </w:p>
    <w:p w14:paraId="2B5F3010" w14:textId="509BC04E" w:rsidR="008F344F" w:rsidRPr="003F2F6F" w:rsidRDefault="00000000" w:rsidP="003F2F6F">
      <w:pPr>
        <w:jc w:val="both"/>
        <w:rPr>
          <w:rFonts w:cs="Times New Roman"/>
          <w:sz w:val="28"/>
          <w:szCs w:val="28"/>
        </w:rPr>
      </w:pPr>
      <w:r w:rsidRPr="003F2F6F">
        <w:rPr>
          <w:rFonts w:cs="Times New Roman"/>
          <w:b/>
          <w:color w:val="800000"/>
          <w:sz w:val="28"/>
          <w:szCs w:val="28"/>
        </w:rPr>
        <w:t>RESPONSE TO REVIEWER 2</w:t>
      </w:r>
    </w:p>
    <w:tbl>
      <w:tblPr>
        <w:tblW w:w="0" w:type="auto"/>
        <w:jc w:val="center"/>
        <w:tblLayout w:type="fixed"/>
        <w:tblLook w:val="04A0" w:firstRow="1" w:lastRow="0" w:firstColumn="1" w:lastColumn="0" w:noHBand="0" w:noVBand="1"/>
      </w:tblPr>
      <w:tblGrid>
        <w:gridCol w:w="9360"/>
      </w:tblGrid>
      <w:tr w:rsidR="008F344F" w:rsidRPr="003F2F6F" w14:paraId="566D3464" w14:textId="77777777" w:rsidTr="003F2F6F">
        <w:trPr>
          <w:jc w:val="center"/>
        </w:trPr>
        <w:tc>
          <w:tcPr>
            <w:tcW w:w="9360" w:type="dxa"/>
            <w:shd w:val="clear" w:color="auto" w:fill="auto"/>
            <w:tcMar>
              <w:top w:w="100" w:type="dxa"/>
              <w:left w:w="150" w:type="dxa"/>
              <w:bottom w:w="100" w:type="dxa"/>
              <w:right w:w="150" w:type="dxa"/>
            </w:tcMar>
          </w:tcPr>
          <w:p w14:paraId="7DC3AA67"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2.1: </w:t>
            </w:r>
            <w:r w:rsidRPr="003F2F6F">
              <w:rPr>
                <w:rFonts w:cs="Times New Roman"/>
                <w:i/>
                <w:sz w:val="28"/>
                <w:szCs w:val="28"/>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tc>
      </w:tr>
    </w:tbl>
    <w:p w14:paraId="367FCDA6" w14:textId="77777777" w:rsidR="008F344F" w:rsidRPr="003F2F6F" w:rsidRDefault="008F344F" w:rsidP="003F2F6F">
      <w:pPr>
        <w:spacing w:after="80"/>
        <w:jc w:val="both"/>
        <w:rPr>
          <w:rFonts w:cs="Times New Roman"/>
          <w:sz w:val="28"/>
          <w:szCs w:val="28"/>
        </w:rPr>
      </w:pPr>
    </w:p>
    <w:p w14:paraId="600133AB"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14:paraId="2928033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Revised experimental protocol detailed in Section 4.2, Table 3, and Figure 6.</w:t>
      </w:r>
    </w:p>
    <w:p w14:paraId="7F0FEB28"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A68D691" w14:textId="77777777" w:rsidTr="003F2F6F">
        <w:trPr>
          <w:jc w:val="center"/>
        </w:trPr>
        <w:tc>
          <w:tcPr>
            <w:tcW w:w="9360" w:type="dxa"/>
            <w:shd w:val="clear" w:color="auto" w:fill="auto"/>
            <w:tcMar>
              <w:top w:w="100" w:type="dxa"/>
              <w:left w:w="150" w:type="dxa"/>
              <w:bottom w:w="100" w:type="dxa"/>
              <w:right w:w="150" w:type="dxa"/>
            </w:tcMar>
          </w:tcPr>
          <w:p w14:paraId="20BD54B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2.2: </w:t>
            </w:r>
            <w:r w:rsidRPr="003F2F6F">
              <w:rPr>
                <w:rFonts w:cs="Times New Roman"/>
                <w:i/>
                <w:sz w:val="28"/>
                <w:szCs w:val="28"/>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tc>
      </w:tr>
    </w:tbl>
    <w:p w14:paraId="42FC2E79" w14:textId="77777777" w:rsidR="008F344F" w:rsidRPr="003F2F6F" w:rsidRDefault="008F344F" w:rsidP="003F2F6F">
      <w:pPr>
        <w:spacing w:after="80"/>
        <w:jc w:val="both"/>
        <w:rPr>
          <w:rFonts w:cs="Times New Roman"/>
          <w:sz w:val="28"/>
          <w:szCs w:val="28"/>
        </w:rPr>
      </w:pPr>
    </w:p>
    <w:p w14:paraId="5F8FC1D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 xml:space="preserve">We fully agree. Across 5-fold cross-validation, we observed that while lab-curated PlantVillage is near saturation (&gt;99.7%), the true superiority of ViGATs emerges on challenging in-the-wild and transfer datasets: on PlantRaw, ViGATs achieves 86.12 ± 0.61% vs. ViG 85.01 ± 2.00% (+1.11% gain with much </w:t>
      </w:r>
      <w:r w:rsidRPr="003F2F6F">
        <w:rPr>
          <w:rFonts w:cs="Times New Roman"/>
          <w:sz w:val="28"/>
          <w:szCs w:val="28"/>
        </w:rPr>
        <w:lastRenderedPageBreak/>
        <w:t>higher stability); on Tiny ImageNet from scratch, ViGATs reaches 45.73 ± 0.26% vs. non-GNN SOTA 37.50% (p &lt; 0.001); and on unseen drone transfer, ViGATs achieves 71.30 ± 4.10% vs. ViG 63.70 ± 5.25% (+7.60% gain). All metrics now include standard deviations and Holm-adjusted paired t-tests.</w:t>
      </w:r>
    </w:p>
    <w:p w14:paraId="290BD51B"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Updated Tables 4, 5, 6, 7 with 5-fold mean ± std and statistical significance.</w:t>
      </w:r>
    </w:p>
    <w:p w14:paraId="45FB46A6"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3F219336" w14:textId="77777777" w:rsidTr="003F2F6F">
        <w:trPr>
          <w:jc w:val="center"/>
        </w:trPr>
        <w:tc>
          <w:tcPr>
            <w:tcW w:w="9360" w:type="dxa"/>
            <w:shd w:val="clear" w:color="auto" w:fill="auto"/>
            <w:tcMar>
              <w:top w:w="100" w:type="dxa"/>
              <w:left w:w="150" w:type="dxa"/>
              <w:bottom w:w="100" w:type="dxa"/>
              <w:right w:w="150" w:type="dxa"/>
            </w:tcMar>
          </w:tcPr>
          <w:p w14:paraId="53D21FFA"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2.3: </w:t>
            </w:r>
            <w:r w:rsidRPr="003F2F6F">
              <w:rPr>
                <w:rFonts w:cs="Times New Roman"/>
                <w:i/>
                <w:sz w:val="28"/>
                <w:szCs w:val="28"/>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tc>
      </w:tr>
    </w:tbl>
    <w:p w14:paraId="06194CD9" w14:textId="77777777" w:rsidR="008F344F" w:rsidRPr="003F2F6F" w:rsidRDefault="008F344F" w:rsidP="003F2F6F">
      <w:pPr>
        <w:spacing w:after="80"/>
        <w:jc w:val="both"/>
        <w:rPr>
          <w:rFonts w:cs="Times New Roman"/>
          <w:sz w:val="28"/>
          <w:szCs w:val="28"/>
        </w:rPr>
      </w:pPr>
    </w:p>
    <w:p w14:paraId="13A5C63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14:paraId="59B244AF"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Clarified in Section 2.3 (Related Work), Section 3.5 (Operator Comparison, Table 1), and Section 5.1 (Extended Ablation Table 9).</w:t>
      </w:r>
    </w:p>
    <w:p w14:paraId="2701CE75"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E6442D3" w14:textId="77777777" w:rsidTr="003F2F6F">
        <w:trPr>
          <w:jc w:val="center"/>
        </w:trPr>
        <w:tc>
          <w:tcPr>
            <w:tcW w:w="9360" w:type="dxa"/>
            <w:shd w:val="clear" w:color="auto" w:fill="auto"/>
            <w:tcMar>
              <w:top w:w="100" w:type="dxa"/>
              <w:left w:w="150" w:type="dxa"/>
              <w:bottom w:w="100" w:type="dxa"/>
              <w:right w:w="150" w:type="dxa"/>
            </w:tcMar>
          </w:tcPr>
          <w:p w14:paraId="0B5A3307"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2.4: </w:t>
            </w:r>
            <w:r w:rsidRPr="003F2F6F">
              <w:rPr>
                <w:rFonts w:cs="Times New Roman"/>
                <w:i/>
                <w:sz w:val="28"/>
                <w:szCs w:val="28"/>
              </w:rPr>
              <w:t xml:space="preserve">MRConv does not treat all neighbours equally; its channel-wise maximum selectively retains the strongest responses. The motivation should </w:t>
            </w:r>
            <w:r w:rsidRPr="003F2F6F">
              <w:rPr>
                <w:rFonts w:cs="Times New Roman"/>
                <w:i/>
                <w:sz w:val="28"/>
                <w:szCs w:val="28"/>
              </w:rPr>
              <w:lastRenderedPageBreak/>
              <w:t>therefore be technically corrected.</w:t>
            </w:r>
          </w:p>
        </w:tc>
      </w:tr>
    </w:tbl>
    <w:p w14:paraId="076463BC" w14:textId="77777777" w:rsidR="008F344F" w:rsidRPr="003F2F6F" w:rsidRDefault="008F344F" w:rsidP="003F2F6F">
      <w:pPr>
        <w:spacing w:after="80"/>
        <w:jc w:val="both"/>
        <w:rPr>
          <w:rFonts w:cs="Times New Roman"/>
          <w:sz w:val="28"/>
          <w:szCs w:val="28"/>
        </w:rPr>
      </w:pPr>
    </w:p>
    <w:p w14:paraId="3152D6EC"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14:paraId="520BFB5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Corrected in Section 1 (Introduction) and Section 3.4 (MRConv Baseline).</w:t>
      </w:r>
    </w:p>
    <w:p w14:paraId="30B6301E"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260FF16" w14:textId="77777777" w:rsidTr="003F2F6F">
        <w:trPr>
          <w:jc w:val="center"/>
        </w:trPr>
        <w:tc>
          <w:tcPr>
            <w:tcW w:w="9360" w:type="dxa"/>
            <w:shd w:val="clear" w:color="auto" w:fill="auto"/>
            <w:tcMar>
              <w:top w:w="100" w:type="dxa"/>
              <w:left w:w="150" w:type="dxa"/>
              <w:bottom w:w="100" w:type="dxa"/>
              <w:right w:w="150" w:type="dxa"/>
            </w:tcMar>
          </w:tcPr>
          <w:p w14:paraId="5860BDD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2.5: </w:t>
            </w:r>
            <w:r w:rsidRPr="003F2F6F">
              <w:rPr>
                <w:rFonts w:cs="Times New Roman"/>
                <w:i/>
                <w:sz w:val="28"/>
                <w:szCs w:val="28"/>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tc>
      </w:tr>
    </w:tbl>
    <w:p w14:paraId="2E26B820" w14:textId="77777777" w:rsidR="008F344F" w:rsidRPr="003F2F6F" w:rsidRDefault="008F344F" w:rsidP="003F2F6F">
      <w:pPr>
        <w:spacing w:after="80"/>
        <w:jc w:val="both"/>
        <w:rPr>
          <w:rFonts w:cs="Times New Roman"/>
          <w:sz w:val="28"/>
          <w:szCs w:val="28"/>
        </w:rPr>
      </w:pPr>
    </w:p>
    <w:p w14:paraId="1E7261E5"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14:paraId="25223F7F"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Revised in Section 3.5 (Table 1), Section 3.6 (Table 2), and Section 6.3.</w:t>
      </w:r>
    </w:p>
    <w:p w14:paraId="2DEAB28B"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7720610" w14:textId="77777777" w:rsidTr="003F2F6F">
        <w:trPr>
          <w:jc w:val="center"/>
        </w:trPr>
        <w:tc>
          <w:tcPr>
            <w:tcW w:w="9360" w:type="dxa"/>
            <w:shd w:val="clear" w:color="auto" w:fill="auto"/>
            <w:tcMar>
              <w:top w:w="100" w:type="dxa"/>
              <w:left w:w="150" w:type="dxa"/>
              <w:bottom w:w="100" w:type="dxa"/>
              <w:right w:w="150" w:type="dxa"/>
            </w:tcMar>
          </w:tcPr>
          <w:p w14:paraId="1FD05C4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2.6: </w:t>
            </w:r>
            <w:r w:rsidRPr="003F2F6F">
              <w:rPr>
                <w:rFonts w:cs="Times New Roman"/>
                <w:i/>
                <w:sz w:val="28"/>
                <w:szCs w:val="28"/>
              </w:rPr>
              <w:t xml:space="preserve">The attention visualizations do not establish that the model focuses on disease regions because no localization annotations or quantitative </w:t>
            </w:r>
            <w:r w:rsidRPr="003F2F6F">
              <w:rPr>
                <w:rFonts w:cs="Times New Roman"/>
                <w:i/>
                <w:sz w:val="28"/>
                <w:szCs w:val="28"/>
              </w:rPr>
              <w:lastRenderedPageBreak/>
              <w:t>evidence are provided. Several experimental details, split indices and implementation information are missing.</w:t>
            </w:r>
          </w:p>
        </w:tc>
      </w:tr>
    </w:tbl>
    <w:p w14:paraId="0C5F529B" w14:textId="77777777" w:rsidR="008F344F" w:rsidRPr="003F2F6F" w:rsidRDefault="008F344F" w:rsidP="003F2F6F">
      <w:pPr>
        <w:spacing w:after="80"/>
        <w:jc w:val="both"/>
        <w:rPr>
          <w:rFonts w:cs="Times New Roman"/>
          <w:sz w:val="28"/>
          <w:szCs w:val="28"/>
        </w:rPr>
      </w:pPr>
    </w:p>
    <w:p w14:paraId="3FF0C00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14:paraId="12039D7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9, Section 6.2, and Data Availability Statement.</w:t>
      </w:r>
    </w:p>
    <w:p w14:paraId="2FBCBEAA" w14:textId="77777777" w:rsidR="008F344F" w:rsidRPr="003F2F6F" w:rsidRDefault="008F344F" w:rsidP="003F2F6F">
      <w:pPr>
        <w:spacing w:after="160"/>
        <w:jc w:val="both"/>
        <w:rPr>
          <w:rFonts w:cs="Times New Roman"/>
          <w:sz w:val="28"/>
          <w:szCs w:val="28"/>
        </w:rPr>
      </w:pPr>
    </w:p>
    <w:p w14:paraId="76EB50D4" w14:textId="022D5079" w:rsidR="008F344F" w:rsidRPr="003F2F6F" w:rsidRDefault="00000000" w:rsidP="003F2F6F">
      <w:pPr>
        <w:jc w:val="both"/>
        <w:rPr>
          <w:rFonts w:cs="Times New Roman"/>
          <w:sz w:val="28"/>
          <w:szCs w:val="28"/>
        </w:rPr>
      </w:pPr>
      <w:r w:rsidRPr="003F2F6F">
        <w:rPr>
          <w:rFonts w:cs="Times New Roman"/>
          <w:b/>
          <w:color w:val="800000"/>
          <w:sz w:val="28"/>
          <w:szCs w:val="28"/>
        </w:rPr>
        <w:t>RESPONSE TO REVIEWER 3</w:t>
      </w:r>
    </w:p>
    <w:tbl>
      <w:tblPr>
        <w:tblW w:w="0" w:type="auto"/>
        <w:jc w:val="center"/>
        <w:tblLayout w:type="fixed"/>
        <w:tblLook w:val="04A0" w:firstRow="1" w:lastRow="0" w:firstColumn="1" w:lastColumn="0" w:noHBand="0" w:noVBand="1"/>
      </w:tblPr>
      <w:tblGrid>
        <w:gridCol w:w="9360"/>
      </w:tblGrid>
      <w:tr w:rsidR="008F344F" w:rsidRPr="003F2F6F" w14:paraId="65BC75DE" w14:textId="77777777" w:rsidTr="003F2F6F">
        <w:trPr>
          <w:jc w:val="center"/>
        </w:trPr>
        <w:tc>
          <w:tcPr>
            <w:tcW w:w="9360" w:type="dxa"/>
            <w:shd w:val="clear" w:color="auto" w:fill="auto"/>
            <w:tcMar>
              <w:top w:w="100" w:type="dxa"/>
              <w:left w:w="150" w:type="dxa"/>
              <w:bottom w:w="100" w:type="dxa"/>
              <w:right w:w="150" w:type="dxa"/>
            </w:tcMar>
          </w:tcPr>
          <w:p w14:paraId="3C88C363"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3.1: </w:t>
            </w:r>
            <w:r w:rsidRPr="003F2F6F">
              <w:rPr>
                <w:rFonts w:cs="Times New Roman"/>
                <w:i/>
                <w:sz w:val="28"/>
                <w:szCs w:val="28"/>
              </w:rPr>
              <w:t>The manuscript should clearly articulate the theoretical novelty and distinguish ViGATs from prior GAT-based vision models and Vision GNN variants.</w:t>
            </w:r>
          </w:p>
        </w:tc>
      </w:tr>
    </w:tbl>
    <w:p w14:paraId="0A02BBBD" w14:textId="77777777" w:rsidR="008F344F" w:rsidRPr="003F2F6F" w:rsidRDefault="008F344F" w:rsidP="003F2F6F">
      <w:pPr>
        <w:spacing w:after="80"/>
        <w:jc w:val="both"/>
        <w:rPr>
          <w:rFonts w:cs="Times New Roman"/>
          <w:sz w:val="28"/>
          <w:szCs w:val="28"/>
        </w:rPr>
      </w:pPr>
    </w:p>
    <w:p w14:paraId="25E8FF5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14:paraId="7697FFCC"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in Section 3.5, Algorithm 1, Table 1, and Figure 4.</w:t>
      </w:r>
    </w:p>
    <w:p w14:paraId="403D1D7C"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17ACF53" w14:textId="77777777" w:rsidTr="003F2F6F">
        <w:trPr>
          <w:jc w:val="center"/>
        </w:trPr>
        <w:tc>
          <w:tcPr>
            <w:tcW w:w="9360" w:type="dxa"/>
            <w:shd w:val="clear" w:color="auto" w:fill="auto"/>
            <w:tcMar>
              <w:top w:w="100" w:type="dxa"/>
              <w:left w:w="150" w:type="dxa"/>
              <w:bottom w:w="100" w:type="dxa"/>
              <w:right w:w="150" w:type="dxa"/>
            </w:tcMar>
          </w:tcPr>
          <w:p w14:paraId="03A0F8F0"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3.2: </w:t>
            </w:r>
            <w:r w:rsidRPr="003F2F6F">
              <w:rPr>
                <w:rFonts w:cs="Times New Roman"/>
                <w:i/>
                <w:sz w:val="28"/>
                <w:szCs w:val="28"/>
              </w:rPr>
              <w:t xml:space="preserve">Performance gains are largely demonstrated on curated datasets, while generalization to real-world scenarios remains limited. The </w:t>
            </w:r>
            <w:r w:rsidRPr="003F2F6F">
              <w:rPr>
                <w:rFonts w:cs="Times New Roman"/>
                <w:i/>
                <w:sz w:val="28"/>
                <w:szCs w:val="28"/>
              </w:rPr>
              <w:lastRenderedPageBreak/>
              <w:t>authors should discuss this limitation and propose strategies to improve generalization.</w:t>
            </w:r>
          </w:p>
        </w:tc>
      </w:tr>
    </w:tbl>
    <w:p w14:paraId="6F708F92" w14:textId="77777777" w:rsidR="008F344F" w:rsidRPr="003F2F6F" w:rsidRDefault="008F344F" w:rsidP="003F2F6F">
      <w:pPr>
        <w:spacing w:after="80"/>
        <w:jc w:val="both"/>
        <w:rPr>
          <w:rFonts w:cs="Times New Roman"/>
          <w:sz w:val="28"/>
          <w:szCs w:val="28"/>
        </w:rPr>
      </w:pPr>
    </w:p>
    <w:p w14:paraId="4C40CDDF"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14:paraId="6D26CB5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 Sections 4.1.1, 5.2.1, 5.3, and 6.3.</w:t>
      </w:r>
    </w:p>
    <w:p w14:paraId="04538E98"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409D6519" w14:textId="77777777" w:rsidTr="003F2F6F">
        <w:trPr>
          <w:jc w:val="center"/>
        </w:trPr>
        <w:tc>
          <w:tcPr>
            <w:tcW w:w="9360" w:type="dxa"/>
            <w:shd w:val="clear" w:color="auto" w:fill="auto"/>
            <w:tcMar>
              <w:top w:w="100" w:type="dxa"/>
              <w:left w:w="150" w:type="dxa"/>
              <w:bottom w:w="100" w:type="dxa"/>
              <w:right w:w="150" w:type="dxa"/>
            </w:tcMar>
          </w:tcPr>
          <w:p w14:paraId="14920383"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3.3: </w:t>
            </w:r>
            <w:r w:rsidRPr="003F2F6F">
              <w:rPr>
                <w:rFonts w:cs="Times New Roman"/>
                <w:i/>
                <w:sz w:val="28"/>
                <w:szCs w:val="28"/>
              </w:rPr>
              <w:t>Multi-head graph attention increases computational overhead. However, the manuscript does not provide comparisons of training time, inference speed, FLOPs, memory consumption, parameter count, or latency.</w:t>
            </w:r>
          </w:p>
        </w:tc>
      </w:tr>
    </w:tbl>
    <w:p w14:paraId="713C45DF" w14:textId="77777777" w:rsidR="008F344F" w:rsidRPr="003F2F6F" w:rsidRDefault="008F344F" w:rsidP="003F2F6F">
      <w:pPr>
        <w:spacing w:after="80"/>
        <w:jc w:val="both"/>
        <w:rPr>
          <w:rFonts w:cs="Times New Roman"/>
          <w:sz w:val="28"/>
          <w:szCs w:val="28"/>
        </w:rPr>
      </w:pPr>
    </w:p>
    <w:p w14:paraId="30517B6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14:paraId="40F77D13"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Table 2 (Section 3.6) and Table 9 (Section 5.1).</w:t>
      </w:r>
    </w:p>
    <w:p w14:paraId="71862242"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D4B979D" w14:textId="77777777" w:rsidTr="003F2F6F">
        <w:trPr>
          <w:jc w:val="center"/>
        </w:trPr>
        <w:tc>
          <w:tcPr>
            <w:tcW w:w="9360" w:type="dxa"/>
            <w:shd w:val="clear" w:color="auto" w:fill="auto"/>
            <w:tcMar>
              <w:top w:w="100" w:type="dxa"/>
              <w:left w:w="150" w:type="dxa"/>
              <w:bottom w:w="100" w:type="dxa"/>
              <w:right w:w="150" w:type="dxa"/>
            </w:tcMar>
          </w:tcPr>
          <w:p w14:paraId="41DD2E72"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3.4: </w:t>
            </w:r>
            <w:r w:rsidRPr="003F2F6F">
              <w:rPr>
                <w:rFonts w:cs="Times New Roman"/>
                <w:i/>
                <w:sz w:val="28"/>
                <w:szCs w:val="28"/>
              </w:rPr>
              <w:t>Additional experiments should evaluate the influence of: Number of attention heads, Hidden dimensions, Graph construction strategy, MLP architecture, Attention activation functions, Number of graph layers.</w:t>
            </w:r>
          </w:p>
        </w:tc>
      </w:tr>
    </w:tbl>
    <w:p w14:paraId="380457D3" w14:textId="77777777" w:rsidR="008F344F" w:rsidRPr="003F2F6F" w:rsidRDefault="008F344F" w:rsidP="003F2F6F">
      <w:pPr>
        <w:spacing w:after="80"/>
        <w:jc w:val="both"/>
        <w:rPr>
          <w:rFonts w:cs="Times New Roman"/>
          <w:sz w:val="28"/>
          <w:szCs w:val="28"/>
        </w:rPr>
      </w:pPr>
    </w:p>
    <w:p w14:paraId="19AA0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 xml:space="preserve">We conducted an extensive one-factor-at-a-time ablation study (Table 9) systematically examining: (1) Attention heads H in {1, 2, 4, 8}, (2) Grapher blocks L in {4, 6, 8, 12}, (3) Hidden dimension C in {96, 144, 192, 256}, </w:t>
      </w:r>
      <w:r w:rsidRPr="003F2F6F">
        <w:rPr>
          <w:rFonts w:cs="Times New Roman"/>
          <w:sz w:val="28"/>
          <w:szCs w:val="28"/>
        </w:rPr>
        <w:lastRenderedPageBreak/>
        <w:t>(4) Attention activation functions (LeakyReLU vs. GELU vs. ReLU), and (5) Neighborhood size K in {3, 5, 7, 9} (Table 8).</w:t>
      </w:r>
    </w:p>
    <w:p w14:paraId="2A1438F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Reported in Section 5.1, Table 8, and Table 9.</w:t>
      </w:r>
    </w:p>
    <w:p w14:paraId="64DA429B"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647F5F7B" w14:textId="77777777" w:rsidTr="003F2F6F">
        <w:trPr>
          <w:jc w:val="center"/>
        </w:trPr>
        <w:tc>
          <w:tcPr>
            <w:tcW w:w="9360" w:type="dxa"/>
            <w:shd w:val="clear" w:color="auto" w:fill="auto"/>
            <w:tcMar>
              <w:top w:w="100" w:type="dxa"/>
              <w:left w:w="150" w:type="dxa"/>
              <w:bottom w:w="100" w:type="dxa"/>
              <w:right w:w="150" w:type="dxa"/>
            </w:tcMar>
          </w:tcPr>
          <w:p w14:paraId="243A1D36"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3.5: </w:t>
            </w:r>
            <w:r w:rsidRPr="003F2F6F">
              <w:rPr>
                <w:rFonts w:cs="Times New Roman"/>
                <w:i/>
                <w:sz w:val="28"/>
                <w:szCs w:val="28"/>
              </w:rPr>
              <w:t>Manuscript should compare ViGATs with recent state-of-the-art models, including Vision Transformers, Swin Transformer, ConvNeXt, Mamba-based architectures, EfficientNetV2, and hybrid CNN-transformer networks.</w:t>
            </w:r>
          </w:p>
        </w:tc>
      </w:tr>
    </w:tbl>
    <w:p w14:paraId="057EDABD" w14:textId="77777777" w:rsidR="008F344F" w:rsidRPr="003F2F6F" w:rsidRDefault="008F344F" w:rsidP="003F2F6F">
      <w:pPr>
        <w:spacing w:after="80"/>
        <w:jc w:val="both"/>
        <w:rPr>
          <w:rFonts w:cs="Times New Roman"/>
          <w:sz w:val="28"/>
          <w:szCs w:val="28"/>
        </w:rPr>
      </w:pPr>
    </w:p>
    <w:p w14:paraId="6E9A2B1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substantially expanded our baseline comparisons by adding: ConvNeXt-Tiny (2022), EfficientNetV2-S (2021), Swin-T (2021), MambaOut-Tiny (2024 SSM), FastViT-T8 (2023), RepViT-M1 (2024), and EfficientViT-B1 (2023), alongside ResNet-18, ViT, ViG, ViG+GAT, and ViG+GATv2. ViGATs consistently achieves the highest accuracy across all 5-fold benchmarks.</w:t>
      </w:r>
    </w:p>
    <w:p w14:paraId="2B743EE4"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Presented in Table 3 (Baseline overview), Tables 4, 5, 6, 7 (Benchmark results), and Table 8 (Summary).</w:t>
      </w:r>
    </w:p>
    <w:p w14:paraId="259D7E61"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55FD611" w14:textId="77777777" w:rsidTr="003F2F6F">
        <w:trPr>
          <w:jc w:val="center"/>
        </w:trPr>
        <w:tc>
          <w:tcPr>
            <w:tcW w:w="9360" w:type="dxa"/>
            <w:shd w:val="clear" w:color="auto" w:fill="auto"/>
            <w:tcMar>
              <w:top w:w="100" w:type="dxa"/>
              <w:left w:w="150" w:type="dxa"/>
              <w:bottom w:w="100" w:type="dxa"/>
              <w:right w:w="150" w:type="dxa"/>
            </w:tcMar>
          </w:tcPr>
          <w:p w14:paraId="26062901"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3.6: </w:t>
            </w:r>
            <w:r w:rsidRPr="003F2F6F">
              <w:rPr>
                <w:rFonts w:cs="Times New Roman"/>
                <w:i/>
                <w:sz w:val="28"/>
                <w:szCs w:val="28"/>
              </w:rPr>
              <w:t>The manuscript lacks qualitative analysis of misclassified samples. Including representative failure cases would provide valuable insight into the limitations of the proposed approach.</w:t>
            </w:r>
          </w:p>
        </w:tc>
      </w:tr>
    </w:tbl>
    <w:p w14:paraId="58A427AF" w14:textId="77777777" w:rsidR="008F344F" w:rsidRPr="003F2F6F" w:rsidRDefault="008F344F" w:rsidP="003F2F6F">
      <w:pPr>
        <w:spacing w:after="80"/>
        <w:jc w:val="both"/>
        <w:rPr>
          <w:rFonts w:cs="Times New Roman"/>
          <w:sz w:val="28"/>
          <w:szCs w:val="28"/>
        </w:rPr>
      </w:pPr>
    </w:p>
    <w:p w14:paraId="2C9358CA"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actionable avenues for future research (e.g., multi-scale graph pyramids and approximate KNN search).</w:t>
      </w:r>
    </w:p>
    <w:p w14:paraId="2BC20CA9"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7, Figure 8, and Section 6.3.</w:t>
      </w:r>
    </w:p>
    <w:p w14:paraId="4E6C699D" w14:textId="77777777" w:rsidR="008F344F" w:rsidRPr="003F2F6F" w:rsidRDefault="008F344F" w:rsidP="003F2F6F">
      <w:pPr>
        <w:spacing w:after="160"/>
        <w:jc w:val="both"/>
        <w:rPr>
          <w:rFonts w:cs="Times New Roman"/>
          <w:sz w:val="28"/>
          <w:szCs w:val="28"/>
        </w:rPr>
      </w:pPr>
    </w:p>
    <w:p w14:paraId="301C8B0C" w14:textId="77777777" w:rsidR="008F344F" w:rsidRPr="003F2F6F" w:rsidRDefault="008F344F" w:rsidP="003F2F6F">
      <w:pPr>
        <w:spacing w:after="240"/>
        <w:jc w:val="both"/>
        <w:rPr>
          <w:rFonts w:cs="Times New Roman"/>
          <w:sz w:val="28"/>
          <w:szCs w:val="28"/>
        </w:rPr>
      </w:pPr>
    </w:p>
    <w:p w14:paraId="520F0B1F" w14:textId="77777777" w:rsidR="008F344F" w:rsidRPr="003F2F6F" w:rsidRDefault="00000000" w:rsidP="003F2F6F">
      <w:pPr>
        <w:spacing w:after="240"/>
        <w:jc w:val="both"/>
        <w:rPr>
          <w:rFonts w:cs="Times New Roman"/>
          <w:sz w:val="28"/>
          <w:szCs w:val="28"/>
        </w:rPr>
      </w:pPr>
      <w:r w:rsidRPr="003F2F6F">
        <w:rPr>
          <w:rFonts w:cs="Times New Roman"/>
          <w:sz w:val="28"/>
          <w:szCs w:val="28"/>
        </w:rP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14:paraId="0E9C2398" w14:textId="77777777" w:rsidR="003F2F6F" w:rsidRDefault="00000000" w:rsidP="003F2F6F">
      <w:pPr>
        <w:jc w:val="both"/>
        <w:rPr>
          <w:rFonts w:cs="Times New Roman"/>
          <w:b/>
          <w:sz w:val="28"/>
          <w:szCs w:val="28"/>
        </w:rPr>
      </w:pPr>
      <w:r w:rsidRPr="003F2F6F">
        <w:rPr>
          <w:rFonts w:cs="Times New Roman"/>
          <w:b/>
          <w:sz w:val="28"/>
          <w:szCs w:val="28"/>
        </w:rPr>
        <w:t>Sincerely,</w:t>
      </w:r>
    </w:p>
    <w:p w14:paraId="26A6D77D" w14:textId="170E4242" w:rsidR="003F2F6F" w:rsidRDefault="00000000" w:rsidP="003F2F6F">
      <w:pPr>
        <w:jc w:val="both"/>
        <w:rPr>
          <w:rFonts w:cs="Times New Roman"/>
          <w:sz w:val="28"/>
          <w:szCs w:val="28"/>
        </w:rPr>
      </w:pPr>
      <w:r w:rsidRPr="003F2F6F">
        <w:rPr>
          <w:rFonts w:cs="Times New Roman"/>
          <w:sz w:val="28"/>
          <w:szCs w:val="28"/>
        </w:rPr>
        <w:t>Thanh-Hai Tong-Le, Minh-Hai Le, and Thanh-Nghi Doan*</w:t>
      </w:r>
    </w:p>
    <w:p w14:paraId="18F0D908" w14:textId="77777777" w:rsidR="003F2F6F" w:rsidRDefault="00000000" w:rsidP="003F2F6F">
      <w:pPr>
        <w:jc w:val="both"/>
        <w:rPr>
          <w:rFonts w:cs="Times New Roman"/>
          <w:sz w:val="28"/>
          <w:szCs w:val="28"/>
        </w:rPr>
      </w:pPr>
      <w:r w:rsidRPr="003F2F6F">
        <w:rPr>
          <w:rFonts w:cs="Times New Roman"/>
          <w:sz w:val="28"/>
          <w:szCs w:val="28"/>
        </w:rPr>
        <w:t>On behalf of all authors</w:t>
      </w:r>
    </w:p>
    <w:p w14:paraId="1F1D034F" w14:textId="77777777" w:rsidR="003F2F6F" w:rsidRDefault="00000000" w:rsidP="003F2F6F">
      <w:pPr>
        <w:jc w:val="both"/>
        <w:rPr>
          <w:rFonts w:cs="Times New Roman"/>
          <w:sz w:val="28"/>
          <w:szCs w:val="28"/>
        </w:rPr>
      </w:pPr>
      <w:r w:rsidRPr="003F2F6F">
        <w:rPr>
          <w:rFonts w:cs="Times New Roman"/>
          <w:sz w:val="28"/>
          <w:szCs w:val="28"/>
        </w:rPr>
        <w:t>Faculty of Information Technology, An Giang University, VNU-HCM, Vietnam</w:t>
      </w:r>
    </w:p>
    <w:p w14:paraId="262A9435" w14:textId="4C958506" w:rsidR="008F344F" w:rsidRPr="003F2F6F" w:rsidRDefault="00000000" w:rsidP="003F2F6F">
      <w:pPr>
        <w:jc w:val="both"/>
        <w:rPr>
          <w:rFonts w:cs="Times New Roman"/>
          <w:sz w:val="28"/>
          <w:szCs w:val="28"/>
        </w:rPr>
      </w:pPr>
      <w:r w:rsidRPr="003F2F6F">
        <w:rPr>
          <w:rFonts w:cs="Times New Roman"/>
          <w:sz w:val="28"/>
          <w:szCs w:val="28"/>
        </w:rPr>
        <w:t>Email: dtnghi@agu.edu.vn</w:t>
      </w:r>
    </w:p>
    <w:sectPr w:rsidR="008F344F" w:rsidRPr="003F2F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906BF1"/>
    <w:multiLevelType w:val="hybridMultilevel"/>
    <w:tmpl w:val="A8540B8A"/>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163230676">
    <w:abstractNumId w:val="8"/>
  </w:num>
  <w:num w:numId="2" w16cid:durableId="1354769725">
    <w:abstractNumId w:val="6"/>
  </w:num>
  <w:num w:numId="3" w16cid:durableId="1749494298">
    <w:abstractNumId w:val="5"/>
  </w:num>
  <w:num w:numId="4" w16cid:durableId="1222402639">
    <w:abstractNumId w:val="4"/>
  </w:num>
  <w:num w:numId="5" w16cid:durableId="306937280">
    <w:abstractNumId w:val="7"/>
  </w:num>
  <w:num w:numId="6" w16cid:durableId="1587959579">
    <w:abstractNumId w:val="3"/>
  </w:num>
  <w:num w:numId="7" w16cid:durableId="1080172675">
    <w:abstractNumId w:val="2"/>
  </w:num>
  <w:num w:numId="8" w16cid:durableId="454299045">
    <w:abstractNumId w:val="1"/>
  </w:num>
  <w:num w:numId="9" w16cid:durableId="1864973942">
    <w:abstractNumId w:val="0"/>
  </w:num>
  <w:num w:numId="10" w16cid:durableId="5150023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BD3"/>
    <w:rsid w:val="00034616"/>
    <w:rsid w:val="0006063C"/>
    <w:rsid w:val="001364B0"/>
    <w:rsid w:val="0015074B"/>
    <w:rsid w:val="001D470E"/>
    <w:rsid w:val="0029639D"/>
    <w:rsid w:val="00326F90"/>
    <w:rsid w:val="003A0DA5"/>
    <w:rsid w:val="003F2F6F"/>
    <w:rsid w:val="00515D57"/>
    <w:rsid w:val="00584E32"/>
    <w:rsid w:val="006D3DC8"/>
    <w:rsid w:val="008F344F"/>
    <w:rsid w:val="00916741"/>
    <w:rsid w:val="00AA1D8D"/>
    <w:rsid w:val="00B47730"/>
    <w:rsid w:val="00CB0664"/>
    <w:rsid w:val="00DC44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46DED"/>
  <w14:defaultImageDpi w14:val="300"/>
  <w15:docId w15:val="{7278C27C-B5AE-41A5-B753-2090B0F9D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2742</Words>
  <Characters>15631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11</cp:revision>
  <dcterms:created xsi:type="dcterms:W3CDTF">2013-12-23T23:15:00Z</dcterms:created>
  <dcterms:modified xsi:type="dcterms:W3CDTF">2026-08-28T22:23:00Z</dcterms:modified>
  <cp:category/>
</cp:coreProperties>
</file>