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期望与方差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期望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设离散型随机变量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5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的分布率为：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6" o:spt="75" type="#_x0000_t75" style="height:18pt;width:1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(1-1)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若级数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27" o:spt="75" type="#_x0000_t75" style="height:34pt;width:4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   (1-2)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绝对收敛，则称级数(1-2)的和为随机变量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8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的数学期望，记为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29" o:spt="75" type="#_x0000_t75" style="height:16pt;width:3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position w:val="-28"/>
          <w:lang w:val="en-US" w:eastAsia="zh-CN"/>
        </w:rPr>
        <w:object>
          <v:shape id="_x0000_i1030" o:spt="75" type="#_x0000_t75" style="height:34pt;width:80pt;" o:ole="t" fillcolor="#44546A [3215]" filled="t" o:preferrelative="t" stroked="f" coordsize="21600,21600">
            <v:path/>
            <v:fill on="t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(1-1-3)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对于连续性随机变量其数学期望为：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8"/>
          <w:lang w:val="en-US" w:eastAsia="zh-CN"/>
        </w:rPr>
        <w:object>
          <v:shape id="_x0000_i1031" o:spt="75" type="#_x0000_t75" style="height:26pt;width:9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(1-1-4)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2" o:spt="75" type="#_x0000_t75" style="height:16pt;width:2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为其概率密度函数。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数学期望又称为</w:t>
      </w:r>
      <w:r>
        <w:rPr>
          <w:rFonts w:hint="eastAsia"/>
          <w:b/>
          <w:bCs/>
          <w:lang w:val="en-US" w:eastAsia="zh-CN"/>
        </w:rPr>
        <w:t>均值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数学期望有以下性质(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47" o:spt="75" type="#_x0000_t75" style="height:13.95pt;width:12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7" DrawAspect="Content" ObjectID="_1468075733" r:id="rId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为常数，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8" o:spt="75" type="#_x0000_t75" style="height:16pt;width:26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8" DrawAspect="Content" ObjectID="_1468075734" r:id="rId2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为随机变量)：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9" o:spt="75" type="#_x0000_t75" style="height:16pt;width:49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9" DrawAspect="Content" ObjectID="_1468075735" r:id="rId2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(1-1-5)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0" o:spt="75" type="#_x0000_t75" style="height:16pt;width:84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50" DrawAspect="Content" ObjectID="_1468075736" r:id="rId2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(1-1-6)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1" o:spt="75" type="#_x0000_t75" style="height:16pt;width:123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51" DrawAspect="Content" ObjectID="_1468075737" r:id="rId2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(1-1-7)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2" o:spt="75" type="#_x0000_t75" style="height:16pt;width:101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52" DrawAspect="Content" ObjectID="_1468075738" r:id="rId2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(1-1-8)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设离散型随机变量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33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39" r:id="rId3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，若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4" o:spt="75" type="#_x0000_t75" style="height:19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4" DrawAspect="Content" ObjectID="_1468075740" r:id="rId3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存在则称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5" o:spt="75" type="#_x0000_t75" style="height:19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5" DrawAspect="Content" ObjectID="_1468075741" r:id="rId3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36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6" DrawAspect="Content" ObjectID="_1468075742" r:id="rId3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方差</w:t>
      </w:r>
      <w:r>
        <w:rPr>
          <w:rFonts w:hint="eastAsia"/>
          <w:b w:val="0"/>
          <w:bCs w:val="0"/>
          <w:lang w:val="en-US" w:eastAsia="zh-CN"/>
        </w:rPr>
        <w:t>记为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7" o:spt="75" type="#_x0000_t75" style="height:16pt;width:31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7" DrawAspect="Content" ObjectID="_1468075743" r:id="rId36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40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</w:p>
    <w:p>
      <w:pPr>
        <w:rPr>
          <w:rFonts w:hint="eastAsia"/>
          <w:b w:val="0"/>
          <w:bCs w:val="0"/>
          <w:position w:val="-1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5" o:spt="75" alt="" type="#_x0000_t75" style="height:19pt;width:166pt;" o:ole="t" fillcolor="#808080 [1629]" filled="t" o:preferrelative="t" stroked="f" coordsize="21600,21600">
            <v:path/>
            <v:fill on="t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eastAsia"/>
          <w:b w:val="0"/>
          <w:bCs w:val="0"/>
          <w:position w:val="-10"/>
          <w:lang w:val="en-US" w:eastAsia="zh-CN"/>
        </w:rPr>
        <w:t xml:space="preserve">                                          </w:t>
      </w:r>
      <w:r>
        <w:rPr>
          <w:rFonts w:hint="eastAsia"/>
          <w:b w:val="0"/>
          <w:bCs w:val="0"/>
          <w:lang w:val="en-US" w:eastAsia="zh-CN"/>
        </w:rPr>
        <w:t>(1-2-1)</w:t>
      </w:r>
      <w:r>
        <w:rPr>
          <w:rFonts w:hint="eastAsia"/>
          <w:b w:val="0"/>
          <w:bCs w:val="0"/>
          <w:position w:val="-10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</w:t>
      </w:r>
      <w:r>
        <w:rPr>
          <w:rFonts w:hint="eastAsia"/>
          <w:b/>
          <w:bCs/>
          <w:lang w:val="en-US" w:eastAsia="zh-CN"/>
        </w:rPr>
        <w:t>标准差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均方差</w:t>
      </w:r>
      <w:r>
        <w:rPr>
          <w:rFonts w:hint="eastAsia"/>
          <w:lang w:val="en-US" w:eastAsia="zh-CN"/>
        </w:rPr>
        <w:t>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6" o:spt="75" type="#_x0000_t75" style="height:20pt;width:80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         (1-2-2)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方差与数学期望的关系：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53" o:spt="75" type="#_x0000_t75" style="height:18pt;width:125pt;" o:ole="t" fillcolor="#808080 [1629]" filled="t" o:preferrelative="t" stroked="f" coordsize="21600,21600">
            <v:fill on="t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3" DrawAspect="Content" ObjectID="_1468075747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(1-2-3)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4" o:spt="75" type="#_x0000_t75" style="height:31pt;width:58pt;" o:ole="t" fillcolor="#808080 [1629]" filled="t" o:preferrelative="t" stroked="f" coordsize="21600,21600">
            <v:fill on="t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4" DrawAspect="Content" ObjectID="_1468075748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             (1-2-4)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55" o:spt="75" type="#_x0000_t75" style="height:15pt;width:17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5" DrawAspect="Content" ObjectID="_1468075749" r:id="rId48">
            <o:LockedField>false</o:LockedField>
          </o:OLEObject>
        </w:object>
      </w:r>
      <w:r>
        <w:rPr>
          <w:rFonts w:hint="eastAsia"/>
          <w:lang w:val="en-US" w:eastAsia="zh-CN"/>
        </w:rPr>
        <w:t>的数学期望为0，方差为1.则</w:t>
      </w:r>
      <w:r>
        <w:rPr>
          <w:rFonts w:hint="eastAsia"/>
          <w:position w:val="-4"/>
          <w:lang w:val="en-US" w:eastAsia="zh-CN"/>
        </w:rPr>
        <w:object>
          <v:shape id="_x0000_i1056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6" DrawAspect="Content" ObjectID="_1468075750" r:id="rId50">
            <o:LockedField>false</o:LockedField>
          </o:OLEObject>
        </w:object>
      </w:r>
      <w:r>
        <w:rPr>
          <w:rFonts w:hint="eastAsia"/>
          <w:lang w:val="en-US" w:eastAsia="zh-CN"/>
        </w:rPr>
        <w:t>称为</w:t>
      </w:r>
      <w:r>
        <w:rPr>
          <w:rFonts w:hint="eastAsia"/>
          <w:position w:val="-4"/>
          <w:lang w:val="en-US" w:eastAsia="zh-CN"/>
        </w:rPr>
        <w:object>
          <v:shape id="_x0000_i1057" o:spt="75" type="#_x0000_t75" style="height:13pt;width:13.95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7" DrawAspect="Content" ObjectID="_1468075751" r:id="rId51">
            <o:LockedField>false</o:LockedField>
          </o:OLEObject>
        </w:objec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标准化变量.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二．常用概率分布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伯努利分布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又称为两点分布或0-1分布，其事件特点为</w:t>
      </w:r>
      <w:r>
        <w:rPr>
          <w:rFonts w:hint="eastAsia"/>
          <w:b/>
          <w:bCs/>
          <w:lang w:val="en-US" w:eastAsia="zh-CN"/>
        </w:rPr>
        <w:t>只有两种可能，试验结果相互独立且对立。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含义为：对于伯努利随机变量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38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8" DrawAspect="Content" ObjectID="_1468075752" r:id="rId5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，如果使用1表示成功，其概率为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9" o:spt="75" type="#_x0000_t75" style="height:16pt;width:60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39" DrawAspect="Content" ObjectID="_1468075753" r:id="rId5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;使用0表示失败，其概率为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0" o:spt="75" type="#_x0000_t75" style="height:16pt;width:44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0" DrawAspect="Content" ObjectID="_1468075754" r:id="rId5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。则可以称伯努利随机变量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41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1" DrawAspect="Content" ObjectID="_1468075755" r:id="rId5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服从参数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2" DrawAspect="Content" ObjectID="_1468075756" r:id="rId5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的伯努利分布其分布律为：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2"/>
          <w:lang w:val="en-US" w:eastAsia="zh-CN"/>
        </w:rPr>
        <w:object>
          <v:shape id="_x0000_i1043" o:spt="75" type="#_x0000_t75" style="height:38pt;width:13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43" DrawAspect="Content" ObjectID="_1468075757" r:id="rId6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（1）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二项分布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多项分布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Beta分布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Dirichlet分布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56A59"/>
    <w:multiLevelType w:val="singleLevel"/>
    <w:tmpl w:val="AE056A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425D43"/>
    <w:multiLevelType w:val="singleLevel"/>
    <w:tmpl w:val="E4425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1E09AD"/>
    <w:multiLevelType w:val="singleLevel"/>
    <w:tmpl w:val="2F1E09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4742DB"/>
    <w:multiLevelType w:val="singleLevel"/>
    <w:tmpl w:val="5B4742D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5494"/>
    <w:rsid w:val="011253C4"/>
    <w:rsid w:val="011A28EC"/>
    <w:rsid w:val="04731E53"/>
    <w:rsid w:val="06AC141D"/>
    <w:rsid w:val="07BF58DA"/>
    <w:rsid w:val="07F3287B"/>
    <w:rsid w:val="08D76330"/>
    <w:rsid w:val="08D85795"/>
    <w:rsid w:val="09866188"/>
    <w:rsid w:val="09A679B7"/>
    <w:rsid w:val="09F7761F"/>
    <w:rsid w:val="0C4D3818"/>
    <w:rsid w:val="0CF4063E"/>
    <w:rsid w:val="0EA11DD2"/>
    <w:rsid w:val="0EA818E5"/>
    <w:rsid w:val="0F4668B6"/>
    <w:rsid w:val="0F570540"/>
    <w:rsid w:val="10815F3F"/>
    <w:rsid w:val="10D47DE3"/>
    <w:rsid w:val="11670798"/>
    <w:rsid w:val="11822E12"/>
    <w:rsid w:val="119A041A"/>
    <w:rsid w:val="11BA1353"/>
    <w:rsid w:val="13F15276"/>
    <w:rsid w:val="141C5811"/>
    <w:rsid w:val="15EE6971"/>
    <w:rsid w:val="163C0396"/>
    <w:rsid w:val="16B33A15"/>
    <w:rsid w:val="194D38D7"/>
    <w:rsid w:val="19C54530"/>
    <w:rsid w:val="1C1461CC"/>
    <w:rsid w:val="1CCC4E23"/>
    <w:rsid w:val="1D062704"/>
    <w:rsid w:val="1DF626F5"/>
    <w:rsid w:val="1EA60E93"/>
    <w:rsid w:val="201B109C"/>
    <w:rsid w:val="21FB0285"/>
    <w:rsid w:val="22493F43"/>
    <w:rsid w:val="22B92220"/>
    <w:rsid w:val="2349167C"/>
    <w:rsid w:val="2353548F"/>
    <w:rsid w:val="23E721BD"/>
    <w:rsid w:val="248910D4"/>
    <w:rsid w:val="252E65EB"/>
    <w:rsid w:val="25B16621"/>
    <w:rsid w:val="25B95AA4"/>
    <w:rsid w:val="28046F7C"/>
    <w:rsid w:val="28361A0D"/>
    <w:rsid w:val="28CA5261"/>
    <w:rsid w:val="2AA04DB5"/>
    <w:rsid w:val="2B2E7583"/>
    <w:rsid w:val="2C9A5774"/>
    <w:rsid w:val="2C9E17F6"/>
    <w:rsid w:val="2D5D763D"/>
    <w:rsid w:val="2F9B507C"/>
    <w:rsid w:val="2FCE0A44"/>
    <w:rsid w:val="30460E8C"/>
    <w:rsid w:val="30BB54F6"/>
    <w:rsid w:val="30C70FEC"/>
    <w:rsid w:val="318F104B"/>
    <w:rsid w:val="3353621F"/>
    <w:rsid w:val="33845460"/>
    <w:rsid w:val="345C1FEC"/>
    <w:rsid w:val="349550AC"/>
    <w:rsid w:val="34EA0532"/>
    <w:rsid w:val="358559EE"/>
    <w:rsid w:val="361375E5"/>
    <w:rsid w:val="36626E18"/>
    <w:rsid w:val="368074EC"/>
    <w:rsid w:val="37875B0E"/>
    <w:rsid w:val="3839098B"/>
    <w:rsid w:val="398E5441"/>
    <w:rsid w:val="3B497EBA"/>
    <w:rsid w:val="3BE90211"/>
    <w:rsid w:val="3C940A76"/>
    <w:rsid w:val="3D797762"/>
    <w:rsid w:val="3DD95B9A"/>
    <w:rsid w:val="3F1C461F"/>
    <w:rsid w:val="405415FB"/>
    <w:rsid w:val="41057BD8"/>
    <w:rsid w:val="443F7150"/>
    <w:rsid w:val="44F03567"/>
    <w:rsid w:val="47490986"/>
    <w:rsid w:val="48AE0634"/>
    <w:rsid w:val="48C71756"/>
    <w:rsid w:val="48D56708"/>
    <w:rsid w:val="4BF94763"/>
    <w:rsid w:val="4BFB1934"/>
    <w:rsid w:val="4C271480"/>
    <w:rsid w:val="4CEE1E2C"/>
    <w:rsid w:val="4DD710C7"/>
    <w:rsid w:val="4DE47A14"/>
    <w:rsid w:val="4E1D67EE"/>
    <w:rsid w:val="51097037"/>
    <w:rsid w:val="52417296"/>
    <w:rsid w:val="524D3241"/>
    <w:rsid w:val="52A4052D"/>
    <w:rsid w:val="52D1776C"/>
    <w:rsid w:val="547B2E64"/>
    <w:rsid w:val="56DC5E4C"/>
    <w:rsid w:val="5799492D"/>
    <w:rsid w:val="58DD3447"/>
    <w:rsid w:val="593411C4"/>
    <w:rsid w:val="593620E6"/>
    <w:rsid w:val="5B7C50B0"/>
    <w:rsid w:val="5C081103"/>
    <w:rsid w:val="5C6A5F5E"/>
    <w:rsid w:val="5E7F3F67"/>
    <w:rsid w:val="5E903879"/>
    <w:rsid w:val="5EA721BC"/>
    <w:rsid w:val="5EEA0874"/>
    <w:rsid w:val="5F7C3483"/>
    <w:rsid w:val="61133B99"/>
    <w:rsid w:val="62AD431C"/>
    <w:rsid w:val="63FB46A2"/>
    <w:rsid w:val="64FA1AE9"/>
    <w:rsid w:val="69311129"/>
    <w:rsid w:val="6AE46A06"/>
    <w:rsid w:val="6BC04B55"/>
    <w:rsid w:val="6C680E30"/>
    <w:rsid w:val="6EC776E0"/>
    <w:rsid w:val="6F8F03EC"/>
    <w:rsid w:val="6F954DAC"/>
    <w:rsid w:val="70F641F1"/>
    <w:rsid w:val="717F77DB"/>
    <w:rsid w:val="72451E76"/>
    <w:rsid w:val="76C72142"/>
    <w:rsid w:val="77A44FF6"/>
    <w:rsid w:val="78107AC1"/>
    <w:rsid w:val="79041F43"/>
    <w:rsid w:val="7BEB0CDD"/>
    <w:rsid w:val="7C31318F"/>
    <w:rsid w:val="7C445D6D"/>
    <w:rsid w:val="7C8017B5"/>
    <w:rsid w:val="7CE40087"/>
    <w:rsid w:val="7CE91EF6"/>
    <w:rsid w:val="7CFA6344"/>
    <w:rsid w:val="7D8B76DB"/>
    <w:rsid w:val="7DA1341D"/>
    <w:rsid w:val="7E1F4DCD"/>
    <w:rsid w:val="7EBB6960"/>
    <w:rsid w:val="7FD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25285</dc:creator>
  <cp:lastModifiedBy>25285</cp:lastModifiedBy>
  <dcterms:modified xsi:type="dcterms:W3CDTF">2018-11-28T14:28:18Z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