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eastAsia="Times New Roman"/>
          <w:b/>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rPr>
          <w:rFonts w:ascii="Times New Roman" w:hAnsi="Times New Roman" w:eastAsia="Times New Roman"/>
          <w:b w:val="0"/>
          <w:sz w:val="24"/>
        </w:rP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eastAsia="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eastAsia="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 After removing three rows with missing targets, 31,109 training rows remained; the held-out test set contained 13,333 rows.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eastAsia="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eastAsia="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eastAsia="Times New Roman"/>
          <w:sz w:val="20"/>
        </w:rP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 No rows were removed as outliers because the numeric variables did not show clearly invalid values; the original observations were retained.</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eastAsia="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eastAsia="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 GradientBoosting had the highest CV ROC-AUC (0.8913) and PR-AUC (0.7131), but its recall was lower and its F1 (0.6260) was below RandomForest (0.6641).</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eastAsia="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eastAsia="Times New Roman"/>
          <w:b w:val="0"/>
          <w:sz w:val="18"/>
        </w:rPr>
        <w:t>Figure 1. Test-set confusion matrix.</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rFonts w:ascii="Times New Roman" w:hAnsi="Times New Roman" w:eastAsia="Times New Roman"/>
          <w:b w:val="0"/>
          <w:sz w:val="18"/>
        </w:rPr>
        <w:t>Figure 2. Target class distribution.</w:t>
      </w:r>
    </w:p>
    <w:p>
      <w:pPr>
        <w:jc w:val="center"/>
      </w:pPr>
      <w:r>
        <w:rPr>
          <w:rFonts w:ascii="Times New Roman" w:hAnsi="Times New Roman" w:eastAsia="Times New Roman"/>
          <w:sz w:val="20"/>
        </w:rP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rFonts w:ascii="Times New Roman" w:hAnsi="Times New Roman" w:eastAsia="Times New Roman"/>
          <w:b w:val="0"/>
          <w:sz w:val="18"/>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eastAsia="Times New Roman"/>
          <w:b/>
          <w:color w:val="000000"/>
          <w:sz w:val="20"/>
          <w:lang w:val="en-GB"/>
        </w:rPr>
        <w:t>DIS</w:t>
      </w:r>
      <w:r w:rsidR="00004C4A" w:rsidRPr="00AE492B">
        <w:rPr>
          <w:rFonts w:ascii="Times New Roman" w:hAnsi="Times New Roman" w:eastAsia="Times New Roman"/>
          <w:b/>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eastAsia="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rFonts w:ascii="Times New Roman" w:hAnsi="Times New Roman" w:eastAsia="Times New Roman"/>
          <w:b/>
          <w:color w:val="000000"/>
          <w:sz w:val="2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eastAsia="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rFonts w:ascii="Times New Roman" w:hAnsi="Times New Roman" w:eastAsia="Times New Roman"/>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rFonts w:ascii="Times New Roman" w:hAnsi="Times New Roman" w:eastAsia="Times New Roman"/>
          <w:color w:val="000000"/>
          <w:spacing w:val="-8"/>
          <w:sz w:val="20"/>
        </w:rPr>
        <w:t>[1]</w:t>
        <w:tab/>
        <w:t>Pedregosa, F. et al. (2011). Scikit-learn: Machine Learning in Python. Journal of Machine Learning Research, 12, 2825-2830.</w:t>
      </w:r>
    </w:p>
    <w:p>
      <w:pPr/>
      <w:r>
        <w:rPr>
          <w:rFonts w:ascii="Times New Roman" w:hAnsi="Times New Roman" w:eastAsia="Times New Roman"/>
          <w:sz w:val="20"/>
        </w:rPr>
        <w:t>[2]</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rFonts w:ascii="Times New Roman" w:hAnsi="Times New Roman" w:eastAsia="Times New Roman"/>
          <w:sz w:val="20"/>
        </w:rPr>
        <w:t>[3]</w:t>
        <w:tab/>
        <w:t>Breiman, L. (2001). Random Forests. Machine Learning, 45(1), 5-32.</w:t>
      </w:r>
    </w:p>
    <w:p>
      <w:pPr>
        <w:pStyle w:val="VITA"/>
        <w:spacing w:before="180"/>
        <w:jc w:val="left"/>
      </w:pPr>
      <w:r>
        <w:rPr>
          <w:rFonts w:ascii="Times New Roman" w:hAnsi="Times New Roman" w:eastAsia="Times New Roman"/>
          <w:sz w:val="20"/>
        </w:rPr>
        <w:t>Name: LIN TONG</w:t>
      </w:r>
    </w:p>
    <w:p>
      <w:pPr>
        <w:pStyle w:val="VITA"/>
        <w:jc w:val="left"/>
      </w:pPr>
      <w:r>
        <w:rPr>
          <w:rFonts w:ascii="Times New Roman" w:hAnsi="Times New Roman" w:eastAsia="Times New Roman"/>
          <w:sz w:val="20"/>
        </w:rPr>
        <w:t>Matric number: G2608825L</w:t>
      </w:r>
    </w:p>
    <w:p>
      <w:pPr>
        <w:pStyle w:val="VITA"/>
        <w:jc w:val="left"/>
      </w:pPr>
      <w:r>
        <w:rPr>
          <w:rFonts w:ascii="Times New Roman" w:hAnsi="Times New Roman" w:eastAsia="Times New Roman"/>
          <w:sz w:val="20"/>
        </w:rPr>
        <w:t>Assignment: IN6227-Assignment-1, Variant-2</w:t>
      </w:r>
    </w:p>
    <w:p>
      <w:pPr>
        <w:pStyle w:val="VITA"/>
        <w:jc w:val="left"/>
      </w:pPr>
      <w:r>
        <w:rPr>
          <w:rFonts w:ascii="Times New Roman" w:hAnsi="Times New Roman" w:eastAsia="Times New Roman"/>
          <w:sz w:val="20"/>
        </w:rPr>
        <w:t>Model (LLM): GPT-6</w:t>
      </w:r>
    </w:p>
    <w:p>
      <w:pPr>
        <w:pStyle w:val="VITA"/>
        <w:jc w:val="left"/>
      </w:pPr>
      <w:r>
        <w:rPr>
          <w:rFonts w:ascii="Times New Roman" w:hAnsi="Times New Roman" w:eastAsia="Times New Roman"/>
          <w:sz w:val="20"/>
        </w:rP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eastAsia="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