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sz w:val="20"/>
        </w:rP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rPr>
          <w:rFonts w:ascii="Times New Roman" w:hAnsi="Times New Roman"/>
          <w:sz w:val="20"/>
        </w:rP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pPr>
        <w:jc w:val="center"/>
      </w:pPr>
      <w: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sz w:val="16"/>
        </w:rPr>
        <w:t>Figure 2. Target class distribution.</w:t>
      </w:r>
    </w:p>
    <w:p>
      <w:pPr>
        <w:jc w:val="center"/>
      </w:pPr>
      <w: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sz w:val="16"/>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t>Assignment: IN6227-Assignment-1, Variant-2</w:t>
      </w:r>
    </w:p>
    <w:p>
      <w:pPr>
        <w:pStyle w:val="VITA"/>
        <w:jc w:val="left"/>
      </w:pPr>
      <w:r>
        <w:t>Model (LLM): GPT-6</w:t>
      </w:r>
    </w:p>
    <w:p>
      <w:pPr>
        <w:pStyle w:val="VITA"/>
        <w:jc w:val="left"/>
      </w:pPr>
      <w: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