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爱思办公手机协同端</w:t>
      </w:r>
    </w:p>
    <w:p>
      <w:pPr>
        <w:pStyle w:val="Subtitle"/>
      </w:pPr>
      <w:r>
        <w:t>落地路线与风险应对</w:t>
      </w:r>
    </w:p>
    <w:p/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</w:rPr>
              <w:t>项目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</w:rPr>
              <w:t>爱思办公手机协同端（非官方）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</w:rPr>
              <w:t>文档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</w:rPr>
              <w:t>落地路线与风险应对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</w:rPr>
              <w:t>文档类型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</w:rPr>
              <w:t>落地文档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</w:rPr>
              <w:t>版本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</w:rPr>
              <w:t>V0.1（MVP 实验版）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</w:rPr>
              <w:t>日期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</w:rPr>
              <w:t>2026-10-05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</w:rPr>
              <w:t>定位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宋体"/>
              </w:rPr>
              <w:t>非官方 · 免费 · 开源 · 只读</w:t>
            </w:r>
          </w:p>
        </w:tc>
      </w:tr>
    </w:tbl>
    <w:p>
      <w:r>
        <w:br w:type="page"/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 落地阶段与里程碑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1.1 Phase 0：抓包与接口取证（前置）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1.2 Phase 1：局域网 MVP（本期目标）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1.3 Phase 2：随时随地版（可选）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5" w:history="1">
        <w:r>
          <w:t>2 风险清单与应对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6" w:history="1">
        <w:r>
          <w:t>3 开源与合规策略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7" w:history="1">
        <w:r>
          <w:t>4 验收与迭代方向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4.1 验收清单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4.2 迭代方向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4</w:t>
        </w:r>
        <w:r>
          <w:fldChar w:fldCharType="end"/>
        </w:r>
      </w:hyperlink>
      <w:r>
        <w:fldChar w:fldCharType="end"/>
      </w:r>
    </w:p>
    <w:p>
      <w:r>
        <w:br w:type="page"/>
      </w:r>
    </w:p>
    <w:p>
      <w:pPr>
        <w:pStyle w:val="Heading1"/>
      </w:pPr>
      <w:bookmarkStart w:id="1" w:name="_LarkToc00001"/>
      <w:r>
        <w:t>1 落地阶段与里程碑</w:t>
      </w:r>
      <w:bookmarkEnd w:id="1"/>
    </w:p>
    <w:p>
      <w:pPr>
        <w:pStyle w:val="Heading2"/>
      </w:pPr>
      <w:bookmarkStart w:id="2" w:name="_LarkToc00002"/>
      <w:r>
        <w:t>1.1 Phase 0：抓包与接口取证（前置）</w:t>
      </w:r>
      <w:bookmarkEnd w:id="2"/>
    </w:p>
    <w:p>
      <w:pPr/>
      <w:r>
        <w:t>目标：确认官方接口形态、获取 token、判断桌面端技术栈。产出：接口清单、token 注入方式、config 填写说明。</w:t>
      </w:r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步骤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工具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产出</w:t>
            </w:r>
          </w:p>
        </w:tc>
      </w:tr>
      <w:tr>
        <w:trPr>
          <w:cantSplit/>
          <w:tblHeader/>
        </w:trPr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设代理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系统代理指向 mitmproxy/Charles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代理配置</w:t>
            </w:r>
          </w:p>
        </w:tc>
      </w:tr>
      <w:tr>
        <w:trPr>
          <w:cantSplit/>
          <w:tblHeader/>
        </w:trPr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装证书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安装 mitmproxy CA 证书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可抓 HTTPS</w:t>
            </w:r>
          </w:p>
        </w:tc>
      </w:tr>
      <w:tr>
        <w:trPr>
          <w:cantSplit/>
          <w:tblHeader/>
        </w:trPr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跑任务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触发爱思办公任务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抓取请求样本</w:t>
            </w:r>
          </w:p>
        </w:tc>
      </w:tr>
      <w:tr>
        <w:trPr>
          <w:cantSplit/>
          <w:tblHeader/>
        </w:trPr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定位接口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按域名筛选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官方 API 主机、列表/详情/进度端点</w:t>
            </w:r>
          </w:p>
        </w:tc>
      </w:tr>
      <w:tr>
        <w:trPr>
          <w:cantSplit/>
          <w:tblHeader/>
        </w:trPr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取 token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观察请求头 / 本地配置</w:t>
            </w:r>
          </w:p>
        </w:tc>
        <w:tc>
          <w:tcPr>
            <w:tcW w:type="dxa" w:w="3024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token 及复刻请求头</w:t>
            </w:r>
          </w:p>
        </w:tc>
      </w:tr>
    </w:tbl>
    <w:p>
      <w:pPr>
        <w:spacing w:after="0"/>
      </w:pPr>
    </w:p>
    <w:p>
      <w:pPr/>
      <w:r>
        <w:t>若桌面端为 Electron 等本地应用，优先检查本地配置目录直接读 token，可免抓包。</w:t>
      </w:r>
    </w:p>
    <w:p>
      <w:pPr>
        <w:pStyle w:val="Heading2"/>
      </w:pPr>
      <w:bookmarkStart w:id="3" w:name="_LarkToc00003"/>
      <w:r>
        <w:t>1.2 Phase 1：局域网 MVP（本期目标）</w:t>
      </w:r>
      <w:bookmarkEnd w:id="3"/>
    </w:p>
    <w:p>
      <w:pPr>
        <w:pStyle w:val="ListBullet"/>
      </w:pPr>
      <w:r>
        <w:t>交付：桥接服务 + 手机端 PWA，局域网只读查看任务。</w:t>
      </w:r>
    </w:p>
    <w:p>
      <w:pPr>
        <w:pStyle w:val="ListBullet"/>
      </w:pPr>
      <w:r>
        <w:t>验收：FR1~FR5 通过；Android/iOS/鸿蒙浏览器可跑通；只读确认。</w:t>
      </w:r>
    </w:p>
    <w:p>
      <w:pPr>
        <w:pStyle w:val="Heading2"/>
      </w:pPr>
      <w:bookmarkStart w:id="4" w:name="_LarkToc00004"/>
      <w:r>
        <w:t>1.3 Phase 2：随时随地版（可选）</w:t>
      </w:r>
      <w:bookmarkEnd w:id="4"/>
    </w:p>
    <w:p>
      <w:pPr/>
      <w:r>
        <w:t>增加 Cloudflare Tunnel / frp 隧道，实现外网可达。是否实施取决于 MVP 反馈与官方动态。</w:t>
      </w:r>
    </w:p>
    <w:p>
      <w:pPr>
        <w:pStyle w:val="Heading1"/>
      </w:pPr>
      <w:bookmarkStart w:id="5" w:name="_LarkToc00005"/>
      <w:r>
        <w:t>2 风险清单与应对</w:t>
      </w:r>
      <w:bookmarkEnd w:id="5"/>
    </w:p>
    <w:tbl>
      <w:tblPr>
        <w:tblW w:type="auto" w:w="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风险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概率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影响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应对</w:t>
            </w:r>
          </w:p>
        </w:tc>
      </w:tr>
      <w:tr>
        <w:trPr>
          <w:cantSplit/>
          <w:tblHeader/>
        </w:trPr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违反用户协议 / 账号风险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低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全程只读、免费、仅个人账号使用，不做写操作</w:t>
            </w:r>
          </w:p>
        </w:tc>
      </w:tr>
      <w:tr>
        <w:trPr>
          <w:cantSplit/>
          <w:tblHeader/>
        </w:trPr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token 过期或强制重登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桥接提供重新注入 token 机制；接受时限性</w:t>
            </w:r>
          </w:p>
        </w:tc>
      </w:tr>
      <w:tr>
        <w:trPr>
          <w:cantSplit/>
          <w:tblHeader/>
        </w:trPr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官方接口变更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桥接集中封装接口、快速适配；3~6 个月寿命为诚实预期</w:t>
            </w:r>
          </w:p>
        </w:tc>
      </w:tr>
      <w:tr>
        <w:trPr>
          <w:cantSplit/>
          <w:tblHeader/>
        </w:trPr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证书固定 / 加密流量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尽量走本地读取 token 路径；必要时放弃个别端点</w:t>
            </w:r>
          </w:p>
        </w:tc>
      </w:tr>
      <w:tr>
        <w:trPr>
          <w:cantSplit/>
          <w:tblHeader/>
        </w:trPr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GitHub 下架 / 品牌投诉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中性命名、不打包官方素材、README 明示个人互操作与免责</w:t>
            </w:r>
          </w:p>
        </w:tc>
      </w:tr>
      <w:tr>
        <w:trPr>
          <w:cantSplit/>
          <w:tblHeader/>
        </w:trPr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隧道被滥用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低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低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>默认局域网，远程默认关闭，需手动开启</w:t>
            </w:r>
          </w:p>
        </w:tc>
      </w:tr>
    </w:tbl>
    <w:p>
      <w:pPr>
        <w:spacing w:after="0"/>
      </w:pPr>
    </w:p>
    <w:p>
      <w:pPr>
        <w:pStyle w:val="Heading1"/>
      </w:pPr>
      <w:bookmarkStart w:id="6" w:name="_LarkToc00006"/>
      <w:r>
        <w:t>3 开源与合规策略</w:t>
      </w:r>
      <w:bookmarkEnd w:id="6"/>
    </w:p>
    <w:p>
      <w:pPr>
        <w:pStyle w:val="ListBullet"/>
      </w:pPr>
      <w:r>
        <w:t>中性项目命名（如办公任务手机看板），不直接使用官方商标作项目名。</w:t>
      </w:r>
    </w:p>
    <w:p>
      <w:pPr>
        <w:pStyle w:val="ListBullet"/>
      </w:pPr>
      <w:r>
        <w:t>不打包官方任何素材、图标与资源。</w:t>
      </w:r>
    </w:p>
    <w:p>
      <w:pPr>
        <w:pStyle w:val="ListBullet"/>
      </w:pPr>
      <w:r>
        <w:t>README 明示：非官方、个人互操作、仅只读、免费、仅供学习研究。</w:t>
      </w:r>
    </w:p>
    <w:p>
      <w:pPr>
        <w:pStyle w:val="ListBullet"/>
      </w:pPr>
      <w:r>
        <w:t>选择宽松开源许可（如 MIT），并附免责声明。</w:t>
      </w:r>
    </w:p>
    <w:p>
      <w:pPr>
        <w:pStyle w:val="ListBullet"/>
      </w:pPr>
      <w:r>
        <w:t>官方若推出手机版，本项目即完成使命，停止或归档。</w:t>
      </w:r>
    </w:p>
    <w:p>
      <w:pPr>
        <w:pStyle w:val="Heading1"/>
      </w:pPr>
      <w:bookmarkStart w:id="7" w:name="_LarkToc00007"/>
      <w:r>
        <w:t>4 验收与迭代方向</w:t>
      </w:r>
      <w:bookmarkEnd w:id="7"/>
    </w:p>
    <w:p>
      <w:pPr>
        <w:pStyle w:val="Heading2"/>
      </w:pPr>
      <w:bookmarkStart w:id="8" w:name="_LarkToc00008"/>
      <w:r>
        <w:t>4.1 验收清单</w:t>
      </w:r>
      <w:bookmarkEnd w:id="8"/>
    </w:p>
    <w:p>
      <w:pPr>
        <w:pStyle w:val="ListBullet"/>
      </w:pPr>
      <w:r>
        <w:t>功能：FR1~FR5 通过；跨平台：三平台浏览器跑通；只读：日志无写请求；稳定：局域网 30 分钟无断连。</w:t>
      </w:r>
    </w:p>
    <w:p>
      <w:pPr>
        <w:pStyle w:val="Heading2"/>
      </w:pPr>
      <w:bookmarkStart w:id="9" w:name="_LarkToc00009"/>
      <w:r>
        <w:t>4.2 迭代方向</w:t>
      </w:r>
      <w:bookmarkEnd w:id="9"/>
    </w:p>
    <w:p>
      <w:pPr/>
      <w:r>
        <w:t>依据 MVP 反馈决定是否实施 Phase 2（远程隧道）；始终关注官方手机版发布动态，及时归档。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db25a309fcd056a5ce07ab24435bb4e9d1f127c00610af41312e9bf036b9dabc:c5849cc5cca204747c9611010e1199c0d65e87b38ccae3d2a2d30c7cb53d8050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360" w:lineRule="auto"/>
      <w:ind w:firstLineChars="200" w:firstLine="480"/>
    </w:pPr>
    <w:rPr>
      <w:b w:val="0"/>
      <w:color w:val="000000"/>
      <w:sz w:val="24"/>
      <w:rFonts w:eastAsia="宋体"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eastAsia="黑体" w:ascii="Times New Roman" w:hAnsi="Times New Roman"/>
      <w:b/>
      <w:bCs/>
      <w:color w:val="1F3D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eastAsia="黑体" w:ascii="Times New Roman" w:hAnsi="Times New Roman"/>
      <w:b/>
      <w:bCs/>
      <w:color w:val="1F3D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eastAsia="黑体" w:ascii="Times New Roman" w:hAnsi="Times New Roman"/>
      <w:b/>
      <w:bCs/>
      <w:color w:val="1F3D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240" w:line="240" w:lineRule="auto" w:before="0"/>
      <w:contextualSpacing/>
      <w:jc w:val="center"/>
    </w:pPr>
    <w:rPr>
      <w:rFonts w:eastAsia="黑体"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240"/>
      <w:jc w:val="center"/>
    </w:pPr>
    <w:rPr>
      <w:rFonts w:eastAsia="楷体" w:ascii="Times New Roman" w:hAnsi="Times New Roman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60" w:lineRule="auto"/>
      <w:contextualSpacing/>
    </w:pPr>
    <w:rPr>
      <w:rFonts w:ascii="Times New Roman" w:hAnsi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80"/>
      <w:jc w:val="center"/>
    </w:pPr>
    <w:rPr>
      <w:b w:val="0"/>
      <w:bCs/>
      <w:color w:val="000000"/>
      <w:sz w:val="21"/>
      <w:szCs w:val="18"/>
      <w:rFonts w:eastAsia="宋体" w:ascii="Times New Roman" w:hAnsi="Times New Roma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