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0B8D7" w14:textId="77777777" w:rsidR="00AC6938" w:rsidRDefault="00AC6938" w:rsidP="00AC6938">
      <w:pPr>
        <w:pStyle w:val="af"/>
        <w:numPr>
          <w:ilvl w:val="0"/>
          <w:numId w:val="9"/>
        </w:numPr>
        <w:ind w:firstLineChars="0"/>
        <w:rPr>
          <w:b/>
          <w:bCs/>
          <w:sz w:val="44"/>
          <w:szCs w:val="44"/>
        </w:rPr>
      </w:pPr>
      <w:bookmarkStart w:id="0" w:name="scperb"/>
      <w:r w:rsidRPr="00C0672C">
        <w:rPr>
          <w:rFonts w:hint="eastAsia"/>
          <w:b/>
          <w:bCs/>
          <w:sz w:val="44"/>
          <w:szCs w:val="44"/>
          <w:lang w:eastAsia="zh-CN"/>
        </w:rPr>
        <w:t>Introduction</w:t>
      </w:r>
    </w:p>
    <w:p w14:paraId="512FFA21" w14:textId="77777777" w:rsidR="00AC6938" w:rsidRDefault="00AC6938" w:rsidP="00AC6938">
      <w:pPr>
        <w:rPr>
          <w:lang w:eastAsia="zh-CN"/>
        </w:rPr>
      </w:pPr>
      <w:r>
        <w:rPr>
          <w:lang w:eastAsia="zh-CN"/>
        </w:rPr>
        <w:t>Single-cell RNA-sequence (</w:t>
      </w:r>
      <w:proofErr w:type="spellStart"/>
      <w:r>
        <w:rPr>
          <w:lang w:eastAsia="zh-CN"/>
        </w:rPr>
        <w:t>scRNA</w:t>
      </w:r>
      <w:proofErr w:type="spellEnd"/>
      <w:r>
        <w:rPr>
          <w:lang w:eastAsia="zh-CN"/>
        </w:rPr>
        <w:t>-seq) techniques have established a pipeline to discover the heterogeneous gene expression for single-cell profiling. Among the diversity of downstream applications, we focused our research on the potential perturbation of a specific gene expression in response to dose</w:t>
      </w:r>
      <w:r>
        <w:rPr>
          <w:lang w:eastAsia="zh-CN"/>
        </w:rPr>
        <w:fldChar w:fldCharType="begin"/>
      </w:r>
      <w:r>
        <w:rPr>
          <w:lang w:eastAsia="zh-CN"/>
        </w:rPr>
        <w:instrText xml:space="preserve"> ADDIN EN.CITE &lt;EndNote&gt;&lt;Cite&gt;&lt;Author&gt;Kang&lt;/Author&gt;&lt;Year&gt;2018&lt;/Year&gt;&lt;RecNum&gt;9&lt;/RecNum&gt;&lt;DisplayText&gt;[1]&lt;/DisplayText&gt;&lt;record&gt;&lt;rec-number&gt;9&lt;/rec-number&gt;&lt;foreign-keys&gt;&lt;key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rPr>
          <w:lang w:eastAsia="zh-CN"/>
        </w:rPr>
        <w:fldChar w:fldCharType="separate"/>
      </w:r>
      <w:r>
        <w:rPr>
          <w:noProof/>
          <w:lang w:eastAsia="zh-CN"/>
        </w:rPr>
        <w:t>[1]</w:t>
      </w:r>
      <w:r>
        <w:rPr>
          <w:lang w:eastAsia="zh-CN"/>
        </w:rPr>
        <w:fldChar w:fldCharType="end"/>
      </w:r>
      <w:r>
        <w:rPr>
          <w:lang w:eastAsia="zh-CN"/>
        </w:rPr>
        <w:t xml:space="preserve"> and treatments</w:t>
      </w:r>
      <w:r>
        <w:rPr>
          <w:lang w:eastAsia="zh-CN"/>
        </w:rPr>
        <w:fldChar w:fldCharType="begin"/>
      </w:r>
      <w:r>
        <w:rPr>
          <w:lang w:eastAsia="zh-CN"/>
        </w:rPr>
        <w:instrText xml:space="preserve"> ADDIN EN.CITE &lt;EndNote&gt;&lt;Cite&gt;&lt;Author&gt;Haber&lt;/Author&gt;&lt;Year&gt;2017&lt;/Year&gt;&lt;RecNum&gt;8&lt;/RecNum&gt;&lt;DisplayText&gt;[2, 3]&lt;/DisplayText&gt;&lt;record&gt;&lt;rec-number&gt;8&lt;/rec-number&gt;&lt;foreign-keys&gt;&lt;key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Cite&gt;&lt;Author&gt;Hagai&lt;/Author&gt;&lt;Year&gt;2018&lt;/Year&gt;&lt;RecNum&gt;29&lt;/RecNum&gt;&lt;record&gt;&lt;rec-number&gt;29&lt;/rec-number&gt;&lt;foreign-keys&gt;&lt;key app="EN" db-id="2sf0rtfskvt02yezrxjx90d4f52xet9pdf2w" timestamp="1691878681"&gt;29&lt;/key&gt;&lt;/foreign-keys&gt;&lt;ref-type name="Journal Article"&gt;17&lt;/ref-type&gt;&lt;contributors&gt;&lt;authors&gt;&lt;author&gt;Hagai, Tzachi&lt;/author&gt;&lt;author&gt;Chen, Xi&lt;/author&gt;&lt;author&gt;Miragaia, Ricardo J&lt;/author&gt;&lt;author&gt;Rostom, Raghd&lt;/author&gt;&lt;author&gt;Gomes, Tomás&lt;/author&gt;&lt;author&gt;Kunowska, Natalia&lt;/author&gt;&lt;author&gt;Henriksson, Johan&lt;/author&gt;&lt;author&gt;Park, Jong-Eun&lt;/author&gt;&lt;author&gt;Proserpio, Valentina&lt;/author&gt;&lt;author&gt;Donati, Giacomo&lt;/author&gt;&lt;/authors&gt;&lt;/contributors&gt;&lt;titles&gt;&lt;title&gt;Gene expression variability across cells and species shapes innate immunity&lt;/title&gt;&lt;secondary-title&gt;Nature&lt;/secondary-title&gt;&lt;/titles&gt;&lt;periodical&gt;&lt;full-title&gt;Nature&lt;/full-title&gt;&lt;/periodical&gt;&lt;pages&gt;197-202&lt;/pages&gt;&lt;volume&gt;563&lt;/volume&gt;&lt;number&gt;7730&lt;/number&gt;&lt;dates&gt;&lt;year&gt;2018&lt;/year&gt;&lt;/dates&gt;&lt;isbn&gt;0028-0836&lt;/isbn&gt;&lt;urls&gt;&lt;/urls&gt;&lt;/record&gt;&lt;/Cite&gt;&lt;/EndNote&gt;</w:instrText>
      </w:r>
      <w:r>
        <w:rPr>
          <w:lang w:eastAsia="zh-CN"/>
        </w:rPr>
        <w:fldChar w:fldCharType="separate"/>
      </w:r>
      <w:r>
        <w:rPr>
          <w:noProof/>
          <w:lang w:eastAsia="zh-CN"/>
        </w:rPr>
        <w:t>[2, 3]</w:t>
      </w:r>
      <w:r>
        <w:rPr>
          <w:lang w:eastAsia="zh-CN"/>
        </w:rPr>
        <w:fldChar w:fldCharType="end"/>
      </w:r>
      <w:r>
        <w:rPr>
          <w:lang w:eastAsia="zh-CN"/>
        </w:rPr>
        <w:t xml:space="preserve">. In the single-cell perturbation task, one of the major challenges was the limitation of matched control-stimulation pairs datasets. The missing observation hindered the exploration of the efficacies of a particular stimulus for certain types of genes in the same cell type. Hence, in the manuscript, we proposed </w:t>
      </w:r>
      <w:proofErr w:type="spellStart"/>
      <w:r>
        <w:rPr>
          <w:lang w:eastAsia="zh-CN"/>
        </w:rPr>
        <w:t>scPerb</w:t>
      </w:r>
      <w:proofErr w:type="spellEnd"/>
      <w:r>
        <w:rPr>
          <w:lang w:eastAsia="zh-CN"/>
        </w:rPr>
        <w:t xml:space="preserve"> (single-cell perturbation), a neural-network-based generative model to imitate to unobservable stimulation process in the latent space. </w:t>
      </w:r>
    </w:p>
    <w:p w14:paraId="389B9EBA" w14:textId="1C1D5E45" w:rsidR="00AC6938" w:rsidRDefault="00AC6938" w:rsidP="00AC6938">
      <w:pPr>
        <w:rPr>
          <w:lang w:eastAsia="zh-CN"/>
        </w:rPr>
      </w:pPr>
      <w:r>
        <w:rPr>
          <w:lang w:eastAsia="zh-CN"/>
        </w:rPr>
        <w:t xml:space="preserve">Traditionally, </w:t>
      </w:r>
      <w:r w:rsidR="006F54FC">
        <w:rPr>
          <w:lang w:eastAsia="zh-CN"/>
        </w:rPr>
        <w:t>researchers</w:t>
      </w:r>
      <w:r>
        <w:fldChar w:fldCharType="begin"/>
      </w:r>
      <w:r>
        <w:instrText xml:space="preserve"> ADDIN EN.CITE &lt;EndNote&gt;&lt;Cite&gt;&lt;Author&gt;Bendall&lt;/Author&gt;&lt;Year&gt;2014&lt;/Year&gt;&lt;RecNum&gt;17&lt;/RecNum&gt;&lt;DisplayText&gt;[4, 5]&lt;/DisplayText&gt;&lt;record&gt;&lt;rec-number&gt;17&lt;/rec-number&gt;&lt;foreign-keys&gt;&lt;key app="EN" db-id="2sf0rtfskvt02yezrxjx90d4f52xet9pdf2w" timestamp="1691713637"&gt;17&lt;/key&gt;&lt;/foreign-keys&gt;&lt;ref-type name="Journal Article"&gt;17&lt;/ref-type&gt;&lt;contributors&gt;&lt;authors&gt;&lt;author&gt;Bendall, Sean C&lt;/author&gt;&lt;author&gt;Davis, Kara L&lt;/author&gt;&lt;author&gt;Amir, El-ad David&lt;/author&gt;&lt;author&gt;Tadmor, Michelle D&lt;/author&gt;&lt;author&gt;Simonds, Erin F&lt;/author&gt;&lt;author&gt;Chen, Tiffany J&lt;/author&gt;&lt;author&gt;Shenfeld, Daniel K&lt;/author&gt;&lt;author&gt;Nolan, Garry P&lt;/author&gt;&lt;author&gt;Pe’er, Dana&lt;/author&gt;&lt;/authors&gt;&lt;/contributors&gt;&lt;titles&gt;&lt;title&gt;Single-cell trajectory detection uncovers progression and regulatory coordination in human B cell development&lt;/title&gt;&lt;secondary-title&gt;Cell&lt;/secondary-title&gt;&lt;/titles&gt;&lt;periodical&gt;&lt;full-title&gt;Cell&lt;/full-title&gt;&lt;/periodical&gt;&lt;pages&gt;714-725&lt;/pages&gt;&lt;volume&gt;157&lt;/volume&gt;&lt;number&gt;3&lt;/number&gt;&lt;dates&gt;&lt;year&gt;2014&lt;/year&gt;&lt;/dates&gt;&lt;isbn&gt;0092-8674&lt;/isbn&gt;&lt;urls&gt;&lt;/urls&gt;&lt;/record&gt;&lt;/Cite&gt;&lt;Cite&gt;&lt;Author&gt;Wolf&lt;/Author&gt;&lt;Year&gt;2019&lt;/Year&gt;&lt;RecNum&gt;18&lt;/RecNum&gt;&lt;record&gt;&lt;rec-number&gt;18&lt;/rec-number&gt;&lt;foreign-keys&gt;&lt;key app="EN" db-id="2sf0rtfskvt02yezrxjx90d4f52xet9pdf2w" timestamp="1691713637"&gt;18&lt;/key&gt;&lt;/foreign-keys&gt;&lt;ref-type name="Journal Article"&gt;17&lt;/ref-type&gt;&lt;contributors&gt;&lt;authors&gt;&lt;author&gt;Wolf, F Alexander&lt;/author&gt;&lt;author&gt;Hamey, Fiona K&lt;/author&gt;&lt;author&gt;Plass, Mireya&lt;/author&gt;&lt;author&gt;Solana, Jordi&lt;/author&gt;&lt;author&gt;Dahlin, Joakim S&lt;/author&gt;&lt;author&gt;Göttgens, Berthold&lt;/author&gt;&lt;author&gt;Rajewsky, Nikolaus&lt;/author&gt;&lt;author&gt;Simon, Lukas&lt;/author&gt;&lt;author&gt;Theis, Fabian J&lt;/author&gt;&lt;/authors&gt;&lt;/contributors&gt;&lt;titles&gt;&lt;title&gt;PAGA: graph abstraction reconciles clustering with trajectory inference through a topology preserving map of single cells&lt;/title&gt;&lt;secondary-title&gt;Genome biology&lt;/secondary-title&gt;&lt;/titles&gt;&lt;periodical&gt;&lt;full-title&gt;Genome biology&lt;/full-title&gt;&lt;/periodical&gt;&lt;pages&gt;1-9&lt;/pages&gt;&lt;volume&gt;20&lt;/volume&gt;&lt;dates&gt;&lt;year&gt;2019&lt;/year&gt;&lt;/dates&gt;&lt;urls&gt;&lt;/urls&gt;&lt;/record&gt;&lt;/Cite&gt;&lt;/EndNote&gt;</w:instrText>
      </w:r>
      <w:r>
        <w:fldChar w:fldCharType="separate"/>
      </w:r>
      <w:r>
        <w:rPr>
          <w:noProof/>
        </w:rPr>
        <w:t>[4, 5]</w:t>
      </w:r>
      <w:r>
        <w:fldChar w:fldCharType="end"/>
      </w:r>
      <w:r>
        <w:rPr>
          <w:lang w:eastAsia="zh-CN"/>
        </w:rPr>
        <w:t xml:space="preserve"> extract the principle components from the limited observations and build up a graph-based model in the low-dimensional manifold. Such graph-based models encountered fundamental problems such as a lack of generalization abilities and</w:t>
      </w:r>
      <w:r w:rsidR="00A903B7">
        <w:rPr>
          <w:lang w:eastAsia="zh-CN"/>
        </w:rPr>
        <w:t xml:space="preserve"> </w:t>
      </w:r>
      <w:r>
        <w:rPr>
          <w:lang w:eastAsia="zh-CN"/>
        </w:rPr>
        <w:t>relied</w:t>
      </w:r>
      <w:r w:rsidR="00A903B7">
        <w:rPr>
          <w:lang w:eastAsia="zh-CN"/>
        </w:rPr>
        <w:t xml:space="preserve"> </w:t>
      </w:r>
      <w:r w:rsidR="00A903B7">
        <w:rPr>
          <w:lang w:eastAsia="zh-CN"/>
        </w:rPr>
        <w:t>heavily</w:t>
      </w:r>
      <w:r>
        <w:rPr>
          <w:lang w:eastAsia="zh-CN"/>
        </w:rPr>
        <w:t xml:space="preserve"> on experienced domain knowledge. Such domain knowledge builds a</w:t>
      </w:r>
      <w:r>
        <w:rPr>
          <w:rFonts w:hint="eastAsia"/>
          <w:lang w:eastAsia="zh-CN"/>
        </w:rPr>
        <w:t>n</w:t>
      </w:r>
      <w:r>
        <w:rPr>
          <w:lang w:eastAsia="zh-CN"/>
        </w:rPr>
        <w:t xml:space="preserve"> iron curtain between different cell types, diseases, and single-cell profiling techniques. In contrast, in the past few years, data-driven methods like neural networks are breaking the knowledge barriers and introducing more general analysis methods to explore the latent relationship among the data observations. In particular, the neural network </w:t>
      </w:r>
      <w:r w:rsidR="0045392B">
        <w:rPr>
          <w:lang w:eastAsia="zh-CN"/>
        </w:rPr>
        <w:t>projects</w:t>
      </w:r>
      <w:r>
        <w:rPr>
          <w:lang w:eastAsia="zh-CN"/>
        </w:rPr>
        <w:t xml:space="preserve"> the raw data samples into the high-dimensional latent space and </w:t>
      </w:r>
      <w:r w:rsidR="006F54FC">
        <w:rPr>
          <w:lang w:eastAsia="zh-CN"/>
        </w:rPr>
        <w:t>extracts</w:t>
      </w:r>
      <w:r>
        <w:rPr>
          <w:lang w:eastAsia="zh-CN"/>
        </w:rPr>
        <w:t xml:space="preserve"> the inner connections without solid domain priors. </w:t>
      </w:r>
    </w:p>
    <w:p w14:paraId="45251E23" w14:textId="470C1362" w:rsidR="00AC6938" w:rsidRDefault="00AC6938" w:rsidP="00AC6938">
      <w:pPr>
        <w:pStyle w:val="FirstParagraph"/>
      </w:pPr>
      <w:r>
        <w:rPr>
          <w:lang w:eastAsia="zh-CN"/>
        </w:rPr>
        <w:t>Generative Adversarial networks (GAN) and Variational Auto-Encoders (VAE) are the two mainstreams in generating the most similar data samples to fill up the blank in the missing data. GAN introduced a generator to construct the “fake” but realistic data and trained a discriminator to adversarial determine whether the “fake” data was good enough. The adversarial battle aimed to train a robust generator to infer high-quality data samples. The major drawback of GAN</w:t>
      </w:r>
      <w:r w:rsidR="0045392B">
        <w:rPr>
          <w:lang w:eastAsia="zh-CN"/>
        </w:rPr>
        <w:t xml:space="preserve"> is that GAN</w:t>
      </w:r>
      <w:r>
        <w:rPr>
          <w:lang w:eastAsia="zh-CN"/>
        </w:rPr>
        <w:t xml:space="preserve"> </w:t>
      </w:r>
      <w:r w:rsidR="0045392B">
        <w:rPr>
          <w:lang w:eastAsia="zh-CN"/>
        </w:rPr>
        <w:t>i</w:t>
      </w:r>
      <w:r>
        <w:rPr>
          <w:lang w:eastAsia="zh-CN"/>
        </w:rPr>
        <w:t xml:space="preserve">s hard to balance the adversarial training </w:t>
      </w:r>
      <w:r w:rsidR="0045392B">
        <w:rPr>
          <w:lang w:eastAsia="zh-CN"/>
        </w:rPr>
        <w:t>which</w:t>
      </w:r>
      <w:r>
        <w:rPr>
          <w:lang w:eastAsia="zh-CN"/>
        </w:rPr>
        <w:t xml:space="preserve"> </w:t>
      </w:r>
      <w:r w:rsidR="006F54FC">
        <w:rPr>
          <w:lang w:eastAsia="zh-CN"/>
        </w:rPr>
        <w:t>led</w:t>
      </w:r>
      <w:r>
        <w:rPr>
          <w:lang w:eastAsia="zh-CN"/>
        </w:rPr>
        <w:t xml:space="preserve"> </w:t>
      </w:r>
      <w:r w:rsidR="0045392B">
        <w:rPr>
          <w:lang w:eastAsia="zh-CN"/>
        </w:rPr>
        <w:t xml:space="preserve">to </w:t>
      </w:r>
      <w:r>
        <w:rPr>
          <w:lang w:eastAsia="zh-CN"/>
        </w:rPr>
        <w:t xml:space="preserve">a useless collapsed generator </w:t>
      </w:r>
      <w:r w:rsidR="0045392B">
        <w:rPr>
          <w:lang w:eastAsia="zh-CN"/>
        </w:rPr>
        <w:t>that</w:t>
      </w:r>
      <w:r>
        <w:rPr>
          <w:lang w:eastAsia="zh-CN"/>
        </w:rPr>
        <w:t xml:space="preserve"> </w:t>
      </w:r>
      <w:r w:rsidR="0045392B">
        <w:rPr>
          <w:lang w:eastAsia="zh-CN"/>
        </w:rPr>
        <w:t>is</w:t>
      </w:r>
      <w:r>
        <w:rPr>
          <w:lang w:eastAsia="zh-CN"/>
        </w:rPr>
        <w:t xml:space="preserve"> very sensitive </w:t>
      </w:r>
      <w:r w:rsidR="0045392B">
        <w:rPr>
          <w:lang w:eastAsia="zh-CN"/>
        </w:rPr>
        <w:t>to the</w:t>
      </w:r>
      <w:r>
        <w:rPr>
          <w:lang w:eastAsia="zh-CN"/>
        </w:rPr>
        <w:t xml:space="preserve"> input noise. </w:t>
      </w:r>
      <w:proofErr w:type="spellStart"/>
      <w:r>
        <w:rPr>
          <w:lang w:eastAsia="zh-CN"/>
        </w:rPr>
        <w:t>sc</w:t>
      </w:r>
      <w:proofErr w:type="spellEnd"/>
      <w:r>
        <w:rPr>
          <w:lang w:eastAsia="zh-CN"/>
        </w:rPr>
        <w:t>-WGAN</w:t>
      </w:r>
      <w:r>
        <w:rPr>
          <w:lang w:eastAsia="zh-CN"/>
        </w:rPr>
        <w:fldChar w:fldCharType="begin"/>
      </w:r>
      <w:r>
        <w:rPr>
          <w:lang w:eastAsia="zh-CN"/>
        </w:rPr>
        <w:instrText xml:space="preserve"> ADDIN EN.CITE &lt;EndNote&gt;&lt;Cite&gt;&lt;Author&gt;Ghahramani&lt;/Author&gt;&lt;Year&gt;2018&lt;/Year&gt;&lt;RecNum&gt;13&lt;/RecNum&gt;&lt;DisplayText&gt;[6]&lt;/DisplayText&gt;&lt;record&gt;&lt;rec-number&gt;13&lt;/rec-number&gt;&lt;foreign-keys&gt;&lt;key app="EN" db-id="2sf0rtfskvt02yezrxjx90d4f52xet9pdf2w" timestamp="1691704695"&gt;13&lt;/key&gt;&lt;/foreign-keys&gt;&lt;ref-type name="Journal Article"&gt;17&lt;/ref-type&gt;&lt;contributors&gt;&lt;authors&gt;&lt;author&gt;Arsham Ghahramani&lt;/author&gt;&lt;author&gt;Fiona M. Watt&lt;/author&gt;&lt;author&gt;Nicholas M. Luscombe&lt;/author&gt;&lt;/authors&gt;&lt;/contributors&gt;&lt;titles&gt;&lt;title&gt;Generative adversarial networks uncover epidermal regulators and predict single cell perturbations&lt;/title&gt;&lt;secondary-title&gt;bioRxiv&lt;/secondary-title&gt;&lt;/titles&gt;&lt;periodical&gt;&lt;full-title&gt;bioRxiv&lt;/full-title&gt;&lt;/periodical&gt;&lt;pages&gt;262501&lt;/pages&gt;&lt;dates&gt;&lt;year&gt;2018&lt;/year&gt;&lt;/dates&gt;&lt;urls&gt;&lt;related-urls&gt;&lt;url&gt;https://www.biorxiv.org/content/biorxiv/early/2018/02/08/262501.full.pdf&lt;/url&gt;&lt;/related-urls&gt;&lt;/urls&gt;&lt;electronic-resource-num&gt;10.1101/262501&lt;/electronic-resource-num&gt;&lt;/record&gt;&lt;/Cite&gt;&lt;/EndNote&gt;</w:instrText>
      </w:r>
      <w:r>
        <w:rPr>
          <w:lang w:eastAsia="zh-CN"/>
        </w:rPr>
        <w:fldChar w:fldCharType="separate"/>
      </w:r>
      <w:r>
        <w:rPr>
          <w:noProof/>
          <w:lang w:eastAsia="zh-CN"/>
        </w:rPr>
        <w:t>[6]</w:t>
      </w:r>
      <w:r>
        <w:rPr>
          <w:lang w:eastAsia="zh-CN"/>
        </w:rPr>
        <w:fldChar w:fldCharType="end"/>
      </w:r>
      <w:r>
        <w:rPr>
          <w:lang w:eastAsia="zh-CN"/>
        </w:rPr>
        <w:t xml:space="preserve"> transferred the more stable WGAN to the single-cell perturbation and </w:t>
      </w:r>
      <w:proofErr w:type="spellStart"/>
      <w:r>
        <w:rPr>
          <w:lang w:eastAsia="zh-CN"/>
        </w:rPr>
        <w:t>st</w:t>
      </w:r>
      <w:proofErr w:type="spellEnd"/>
      <w:r>
        <w:rPr>
          <w:lang w:eastAsia="zh-CN"/>
        </w:rPr>
        <w:t>-GAN</w:t>
      </w:r>
      <w:r>
        <w:rPr>
          <w:lang w:eastAsia="zh-CN"/>
        </w:rPr>
        <w:fldChar w:fldCharType="begin"/>
      </w:r>
      <w:r>
        <w:rPr>
          <w:lang w:eastAsia="zh-CN"/>
        </w:rPr>
        <w:instrText xml:space="preserve"> ADDIN EN.CITE &lt;EndNote&gt;&lt;Cite&gt;&lt;Author&gt;Karras&lt;/Author&gt;&lt;Year&gt;2019&lt;/Year&gt;&lt;RecNum&gt;21&lt;/RecNum&gt;&lt;DisplayText&gt;[7]&lt;/DisplayText&gt;&lt;record&gt;&lt;rec-number&gt;21&lt;/rec-number&gt;&lt;foreign-keys&gt;&lt;key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rPr>
          <w:lang w:eastAsia="zh-CN"/>
        </w:rPr>
        <w:fldChar w:fldCharType="separate"/>
      </w:r>
      <w:r>
        <w:rPr>
          <w:noProof/>
          <w:lang w:eastAsia="zh-CN"/>
        </w:rPr>
        <w:t>[7]</w:t>
      </w:r>
      <w:r>
        <w:rPr>
          <w:lang w:eastAsia="zh-CN"/>
        </w:rPr>
        <w:fldChar w:fldCharType="end"/>
      </w:r>
      <w:r>
        <w:rPr>
          <w:lang w:eastAsia="zh-CN"/>
        </w:rPr>
        <w:t xml:space="preserve"> introduced </w:t>
      </w:r>
      <w:r w:rsidR="0045392B">
        <w:rPr>
          <w:lang w:eastAsia="zh-CN"/>
        </w:rPr>
        <w:t>the idea of style transferring that</w:t>
      </w:r>
      <w:r>
        <w:rPr>
          <w:lang w:eastAsia="zh-CN"/>
        </w:rPr>
        <w:t xml:space="preserve"> </w:t>
      </w:r>
      <w:r w:rsidR="0045392B">
        <w:rPr>
          <w:lang w:eastAsia="zh-CN"/>
        </w:rPr>
        <w:t>transfer</w:t>
      </w:r>
      <w:r>
        <w:rPr>
          <w:lang w:eastAsia="zh-CN"/>
        </w:rPr>
        <w:t xml:space="preserve"> multiple styles</w:t>
      </w:r>
      <w:r w:rsidR="0045392B">
        <w:rPr>
          <w:lang w:eastAsia="zh-CN"/>
        </w:rPr>
        <w:t xml:space="preserve"> </w:t>
      </w:r>
      <w:r>
        <w:rPr>
          <w:lang w:eastAsia="zh-CN"/>
        </w:rPr>
        <w:t>determined by the users</w:t>
      </w:r>
      <w:r w:rsidR="0045392B">
        <w:rPr>
          <w:lang w:eastAsia="zh-CN"/>
        </w:rPr>
        <w:t xml:space="preserve"> to the generator</w:t>
      </w:r>
      <w:r>
        <w:rPr>
          <w:lang w:eastAsia="zh-CN"/>
        </w:rPr>
        <w:t xml:space="preserve">. On the opposite, VAE is more elegant </w:t>
      </w:r>
      <w:r w:rsidR="0045392B">
        <w:rPr>
          <w:lang w:eastAsia="zh-CN"/>
        </w:rPr>
        <w:t>from</w:t>
      </w:r>
      <w:r>
        <w:rPr>
          <w:lang w:eastAsia="zh-CN"/>
        </w:rPr>
        <w:t xml:space="preserve"> the mathematic perspective, which </w:t>
      </w:r>
      <w:r>
        <w:t xml:space="preserve">assumed result can be sampled from a multivariate Gaussian distribution and used an encoder to estimate the mean and variance of the Gaussian distribution components of the original distributions, then generate new data observations from the estimated distribution using variational inference. The generated samples from VAE were more stable but usually blurred and similar to the mean of the observation datasets. In particular, </w:t>
      </w:r>
      <w:proofErr w:type="spellStart"/>
      <w:r>
        <w:t>scGEN</w:t>
      </w:r>
      <w:proofErr w:type="spellEnd"/>
      <w:r>
        <w:fldChar w:fldCharType="begin"/>
      </w:r>
      <w:r>
        <w:instrText xml:space="preserve"> ADDIN EN.CITE &lt;EndNote&gt;&lt;Cite&gt;&lt;Author&gt;Lotfollahi&lt;/Author&gt;&lt;Year&gt;2019&lt;/Year&gt;&lt;RecNum&gt;12&lt;/RecNum&gt;&lt;DisplayText&gt;[8]&lt;/DisplayText&gt;&lt;record&gt;&lt;rec-number&gt;12&lt;/rec-number&gt;&lt;foreign-keys&gt;&lt;key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fldChar w:fldCharType="separate"/>
      </w:r>
      <w:r>
        <w:rPr>
          <w:noProof/>
        </w:rPr>
        <w:t>[8]</w:t>
      </w:r>
      <w:r>
        <w:fldChar w:fldCharType="end"/>
      </w:r>
      <w:r>
        <w:t xml:space="preserve"> assumed a fixed linear gap between the control cells and the stimulation cells, calculated the latent difference from both datasets and predicted the stimulation cell response using latent representation from control cells and the stimulated cells. Conditional Variational Auto-Encoder (CVAE)</w:t>
      </w:r>
      <w:r>
        <w:fldChar w:fldCharType="begin"/>
      </w:r>
      <w:r>
        <w:instrText xml:space="preserve"> ADDIN EN.CITE &lt;EndNote&gt;&lt;Cite&gt;&lt;Author&gt;Cortes&lt;/Author&gt;&lt;Year&gt;2015&lt;/Year&gt;&lt;RecNum&gt;7&lt;/RecNum&gt;&lt;DisplayText&gt;[9]&lt;/DisplayText&gt;&lt;record&gt;&lt;rec-number&gt;7&lt;/rec-number&gt;&lt;foreign-keys&gt;&lt;key app="EN" db-id="2sf0rtfskvt02yezrxjx90d4f52xet9pdf2w" timestamp="1691704693"&gt;7&lt;/key&gt;&lt;/foreign-keys&gt;&lt;ref-type name="Conference Proceedings"&gt;10&lt;/ref-type&gt;&lt;contributors&gt;&lt;authors&gt;&lt;author&gt;Cortes, Corinna&lt;/author&gt;&lt;author&gt;Lawarence, N&lt;/author&gt;&lt;author&gt;Lee, D&lt;/author&gt;&lt;author&gt;Sugiyama, M&lt;/author&gt;&lt;author&gt;Garnett, R&lt;/author&gt;&lt;/authors&gt;&lt;/contributors&gt;&lt;titles&gt;&lt;title&gt;Advances in neural information processing systems 28&lt;/title&gt;&lt;secondary-title&gt;Proceedings of the 29th Annual Conference on Neural Information Processing Systems&lt;/secondary-title&gt;&lt;/titles&gt;&lt;dates&gt;&lt;year&gt;2015&lt;/year&gt;&lt;/dates&gt;&lt;urls&gt;&lt;/urls&gt;&lt;/record&gt;&lt;/Cite&gt;&lt;/EndNote&gt;</w:instrText>
      </w:r>
      <w:r>
        <w:fldChar w:fldCharType="separate"/>
      </w:r>
      <w:r>
        <w:rPr>
          <w:noProof/>
        </w:rPr>
        <w:t>[9]</w:t>
      </w:r>
      <w:r>
        <w:fldChar w:fldCharType="end"/>
      </w:r>
      <w:r>
        <w:t xml:space="preserve"> </w:t>
      </w:r>
      <w:r>
        <w:lastRenderedPageBreak/>
        <w:t xml:space="preserve">introduced more constraints to the neural network, allowing the end-users to generate more desired reconstructed samples for customized demands. </w:t>
      </w:r>
    </w:p>
    <w:p w14:paraId="3C01F304" w14:textId="77777777" w:rsidR="00AC6938" w:rsidRDefault="00AC6938" w:rsidP="00AC6938">
      <w:pPr>
        <w:pStyle w:val="a0"/>
      </w:pPr>
      <w:r>
        <w:t>In our manuscript, we presented a novel tool named “</w:t>
      </w:r>
      <w:proofErr w:type="spellStart"/>
      <w:r>
        <w:t>scPerb</w:t>
      </w:r>
      <w:proofErr w:type="spellEnd"/>
      <w:r>
        <w:t>” (shown Fig.1), which was inspired by the VAE</w:t>
      </w:r>
      <w:r>
        <w:fldChar w:fldCharType="begin"/>
      </w:r>
      <w:r>
        <w:instrText xml:space="preserve"> ADDIN EN.CITE &lt;EndNote&gt;&lt;Cite&gt;&lt;Author&gt;Kingma&lt;/Author&gt;&lt;Year&gt;2013&lt;/Year&gt;&lt;RecNum&gt;6&lt;/RecNum&gt;&lt;DisplayText&gt;[10]&lt;/DisplayText&gt;&lt;record&gt;&lt;rec-number&gt;6&lt;/rec-number&gt;&lt;foreign-keys&gt;&lt;key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Pr>
          <w:noProof/>
        </w:rPr>
        <w:t>[10]</w:t>
      </w:r>
      <w:r>
        <w:fldChar w:fldCharType="end"/>
      </w:r>
      <w:r>
        <w:t xml:space="preserve"> and style-transfer GAN</w:t>
      </w:r>
      <w:r>
        <w:fldChar w:fldCharType="begin"/>
      </w:r>
      <w:r>
        <w:instrText xml:space="preserve"> ADDIN EN.CITE &lt;EndNote&gt;&lt;Cite&gt;&lt;Author&gt;Karras&lt;/Author&gt;&lt;Year&gt;2019&lt;/Year&gt;&lt;RecNum&gt;21&lt;/RecNum&gt;&lt;DisplayText&gt;[7]&lt;/DisplayText&gt;&lt;record&gt;&lt;rec-number&gt;21&lt;/rec-number&gt;&lt;foreign-keys&gt;&lt;key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Pr>
          <w:noProof/>
        </w:rPr>
        <w:t>[7]</w:t>
      </w:r>
      <w:r>
        <w:fldChar w:fldCharType="end"/>
      </w:r>
      <w:r>
        <w:t xml:space="preserve">. Suppose we have two datasets with different “styles” but the same cell types. We denoted </w:t>
      </w:r>
      <m:oMath>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ctrl</m:t>
            </m:r>
          </m:sup>
        </m:sSubSup>
      </m:oMath>
      <w:r>
        <w:t xml:space="preserve"> to represent the ith cell from the control dataset, and </w:t>
      </w:r>
      <m:oMath>
        <m:sSubSup>
          <m:sSubSupPr>
            <m:ctrlPr>
              <w:rPr>
                <w:rFonts w:ascii="Cambria Math" w:hAnsi="Cambria Math"/>
              </w:rPr>
            </m:ctrlPr>
          </m:sSubSupPr>
          <m:e>
            <m:r>
              <w:rPr>
                <w:rFonts w:ascii="Cambria Math" w:hAnsi="Cambria Math"/>
              </w:rPr>
              <m:t>x</m:t>
            </m:r>
          </m:e>
          <m:sub>
            <m:r>
              <w:rPr>
                <w:rFonts w:ascii="Cambria Math" w:hAnsi="Cambria Math"/>
              </w:rPr>
              <m:t>j</m:t>
            </m:r>
          </m:sub>
          <m:sup>
            <m:r>
              <w:rPr>
                <w:rFonts w:ascii="Cambria Math" w:hAnsi="Cambria Math"/>
              </w:rPr>
              <m:t>stim</m:t>
            </m:r>
          </m:sup>
        </m:sSubSup>
      </m:oMath>
      <w:r>
        <w:t xml:space="preserve"> for the jth cell from the stimulation dataset. </w:t>
      </w:r>
      <w:proofErr w:type="spellStart"/>
      <w:r>
        <w:t>scPerb</w:t>
      </w:r>
      <w:proofErr w:type="spellEnd"/>
      <w:r>
        <w:t xml:space="preserve"> decouples the perturbation task mentioned above into two steps: estimate the latent features of the cell types and a learnable dataset-related style transformation matrix. Inspired by the VAE architectures, </w:t>
      </w:r>
      <w:proofErr w:type="spellStart"/>
      <w:r>
        <w:t>scPerb</w:t>
      </w:r>
      <w:proofErr w:type="spellEnd"/>
      <w:r>
        <w:t xml:space="preserve"> first estimates the multi-variance normal distribution of the latent cell type feature c. Inspired by the style-transfer GAN</w:t>
      </w:r>
      <w:r>
        <w:fldChar w:fldCharType="begin"/>
      </w:r>
      <w:r>
        <w:instrText xml:space="preserve"> ADDIN EN.CITE &lt;EndNote&gt;&lt;Cite&gt;&lt;Author&gt;Karras&lt;/Author&gt;&lt;Year&gt;2019&lt;/Year&gt;&lt;RecNum&gt;21&lt;/RecNum&gt;&lt;DisplayText&gt;[7]&lt;/DisplayText&gt;&lt;record&gt;&lt;rec-number&gt;21&lt;/rec-number&gt;&lt;foreign-keys&gt;&lt;key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Pr>
          <w:noProof/>
        </w:rPr>
        <w:t>[7]</w:t>
      </w:r>
      <w:r>
        <w:fldChar w:fldCharType="end"/>
      </w:r>
      <w:r>
        <w:t xml:space="preserve">, </w:t>
      </w:r>
      <w:proofErr w:type="spellStart"/>
      <w:r>
        <w:t>scPerb</w:t>
      </w:r>
      <w:proofErr w:type="spellEnd"/>
      <w:r>
        <w:t xml:space="preserve"> uses a neural network to learn the style transformation matrix from the dataset. Compared with </w:t>
      </w:r>
      <w:proofErr w:type="spellStart"/>
      <w:r>
        <w:t>scGEN</w:t>
      </w:r>
      <w:proofErr w:type="spellEnd"/>
      <w:r>
        <w:t xml:space="preserve">, which used a fixed vector </w:t>
      </w:r>
      <m:oMath>
        <m:r>
          <w:rPr>
            <w:rFonts w:ascii="Cambria Math" w:hAnsi="Cambria Math"/>
          </w:rPr>
          <m:t>δ</m:t>
        </m:r>
      </m:oMath>
      <w:r>
        <w:t xml:space="preserve"> to transfer the latent features from the control cells to the stimulation cells, </w:t>
      </w:r>
      <w:proofErr w:type="spellStart"/>
      <w:r>
        <w:t>scPerb</w:t>
      </w:r>
      <w:proofErr w:type="spellEnd"/>
      <w:r>
        <w:t xml:space="preserve"> introduced more learnable parameters and allowed the neural network dynamically assign the weights of the “style-transfer” vector based on the data. Therefore, </w:t>
      </w:r>
      <w:proofErr w:type="spellStart"/>
      <w:r>
        <w:t>scPerb</w:t>
      </w:r>
      <w:proofErr w:type="spellEnd"/>
      <w:r>
        <w:t xml:space="preserve"> can better learn both the style and content difference between the control and stimulation datasets, and output a better prediction compared to </w:t>
      </w:r>
      <w:proofErr w:type="spellStart"/>
      <w:r>
        <w:t>scGEN</w:t>
      </w:r>
      <w:proofErr w:type="spellEnd"/>
      <w:r>
        <w:t>.</w:t>
      </w:r>
    </w:p>
    <w:p w14:paraId="31D4B32D" w14:textId="77777777" w:rsidR="00AC6938" w:rsidRPr="000B7551" w:rsidRDefault="00AC6938" w:rsidP="00AC6938">
      <w:pPr>
        <w:pStyle w:val="a0"/>
      </w:pPr>
    </w:p>
    <w:p w14:paraId="47EA8D34" w14:textId="77777777" w:rsidR="00AC6938" w:rsidRPr="00FE2E36" w:rsidRDefault="00AC6938" w:rsidP="00AC6938">
      <w:pPr>
        <w:pStyle w:val="af"/>
        <w:numPr>
          <w:ilvl w:val="0"/>
          <w:numId w:val="9"/>
        </w:numPr>
        <w:ind w:firstLineChars="0"/>
        <w:rPr>
          <w:b/>
          <w:bCs/>
          <w:sz w:val="44"/>
          <w:szCs w:val="44"/>
        </w:rPr>
      </w:pPr>
      <w:r w:rsidRPr="00FE2E36">
        <w:rPr>
          <w:b/>
          <w:bCs/>
          <w:sz w:val="44"/>
          <w:szCs w:val="44"/>
        </w:rPr>
        <w:t>Methods</w:t>
      </w:r>
    </w:p>
    <w:p w14:paraId="0C37E527" w14:textId="77777777" w:rsidR="00AC6938" w:rsidRDefault="00AC6938" w:rsidP="00AC6938">
      <w:pPr>
        <w:pStyle w:val="FirstParagraph"/>
      </w:pPr>
      <w:r>
        <w:t xml:space="preserve">Inspired by the transfer learning paradigm, we presented </w:t>
      </w:r>
      <w:proofErr w:type="spellStart"/>
      <w:r>
        <w:t>scPerb</w:t>
      </w:r>
      <w:proofErr w:type="spellEnd"/>
      <w:r>
        <w:t xml:space="preserve">, a generative model that can learn the “content”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of the cell types from both the control and stimulus datasets, where </w:t>
      </w:r>
      <m:oMath>
        <m:r>
          <w:rPr>
            <w:rFonts w:ascii="Cambria Math" w:hAnsi="Cambria Math"/>
          </w:rPr>
          <m:t>c</m:t>
        </m:r>
      </m:oMath>
      <w:r>
        <w:t xml:space="preserve"> represented the “content features” of the cell types, and transfer the style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from the control dataset to the stimulation dataset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 where </w:t>
      </w:r>
      <m:oMath>
        <m:r>
          <w:rPr>
            <w:rFonts w:ascii="Cambria Math" w:hAnsi="Cambria Math"/>
          </w:rPr>
          <m:t>s</m:t>
        </m:r>
      </m:oMath>
      <w:r>
        <w:t xml:space="preserve"> represented the “dataset styles”.</w:t>
      </w:r>
    </w:p>
    <w:p w14:paraId="575EB3CD" w14:textId="77777777" w:rsidR="00AC6938" w:rsidRDefault="00AC6938" w:rsidP="00AC6938">
      <w:pPr>
        <w:pStyle w:val="a0"/>
      </w:pPr>
      <w:proofErr w:type="spellStart"/>
      <w:r>
        <w:t>scPerb</w:t>
      </w:r>
      <w:proofErr w:type="spellEnd"/>
      <w:r>
        <w:t xml:space="preserve"> is inspired by Variational Auto-Encoder (VAE)</w:t>
      </w:r>
      <w:r>
        <w:fldChar w:fldCharType="begin"/>
      </w:r>
      <w:r>
        <w:instrText xml:space="preserve"> ADDIN EN.CITE &lt;EndNote&gt;&lt;Cite&gt;&lt;Author&gt;Kingma&lt;/Author&gt;&lt;Year&gt;2013&lt;/Year&gt;&lt;RecNum&gt;6&lt;/RecNum&gt;&lt;DisplayText&gt;[10]&lt;/DisplayText&gt;&lt;record&gt;&lt;rec-number&gt;6&lt;/rec-number&gt;&lt;foreign-keys&gt;&lt;key app="EN" db-id="2sf0rtfskvt02yezrxjx90d4f52xet9pdf2w" timestamp="1691704693"&gt;6&lt;/key&gt;&lt;/foreign-keys&gt;&lt;ref-type name="Journal Article"&gt;17&lt;/ref-type&gt;&lt;contributors&gt;&lt;authors&gt;&lt;author&gt;Kingma, Diederik P&lt;/author&gt;&lt;author&gt;Welling, Max&lt;/author&gt;&lt;/authors&gt;&lt;/contributors&gt;&lt;titles&gt;&lt;title&gt;Auto-encoding variational bayes&lt;/title&gt;&lt;secondary-title&gt;arXiv preprint arXiv:1312.6114&lt;/secondary-title&gt;&lt;/titles&gt;&lt;periodical&gt;&lt;full-title&gt;arXiv preprint arXiv:1312.6114&lt;/full-title&gt;&lt;/periodical&gt;&lt;dates&gt;&lt;year&gt;2013&lt;/year&gt;&lt;/dates&gt;&lt;urls&gt;&lt;/urls&gt;&lt;/record&gt;&lt;/Cite&gt;&lt;/EndNote&gt;</w:instrText>
      </w:r>
      <w:r>
        <w:fldChar w:fldCharType="separate"/>
      </w:r>
      <w:r>
        <w:rPr>
          <w:noProof/>
        </w:rPr>
        <w:t>[10]</w:t>
      </w:r>
      <w:r>
        <w:fldChar w:fldCharType="end"/>
      </w:r>
      <w:r>
        <w:t xml:space="preserve"> and the style-transfer GAN (</w:t>
      </w:r>
      <w:proofErr w:type="spellStart"/>
      <w:r>
        <w:t>stGAN</w:t>
      </w:r>
      <w:proofErr w:type="spellEnd"/>
      <w:r>
        <w:t>)</w:t>
      </w:r>
      <w:r>
        <w:fldChar w:fldCharType="begin"/>
      </w:r>
      <w:r>
        <w:instrText xml:space="preserve"> ADDIN EN.CITE &lt;EndNote&gt;&lt;Cite&gt;&lt;Author&gt;Karras&lt;/Author&gt;&lt;Year&gt;2019&lt;/Year&gt;&lt;RecNum&gt;21&lt;/RecNum&gt;&lt;DisplayText&gt;[7]&lt;/DisplayText&gt;&lt;record&gt;&lt;rec-number&gt;21&lt;/rec-number&gt;&lt;foreign-keys&gt;&lt;key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Pr>
          <w:noProof/>
        </w:rPr>
        <w:t>[7]</w:t>
      </w:r>
      <w:r>
        <w:fldChar w:fldCharType="end"/>
      </w:r>
      <w:r>
        <w:t xml:space="preserve">. We used the variational inference to estimate the distribution </w:t>
      </w:r>
      <m:oMath>
        <m:r>
          <w:rPr>
            <w:rFonts w:ascii="Cambria Math" w:hAnsi="Cambria Math"/>
          </w:rPr>
          <m:t>μ</m:t>
        </m:r>
      </m:oMath>
      <w:r>
        <w:t xml:space="preserve"> and </w:t>
      </w:r>
      <m:oMath>
        <m:r>
          <w:rPr>
            <w:rFonts w:ascii="Cambria Math" w:hAnsi="Cambria Math"/>
          </w:rPr>
          <m:t>σ</m:t>
        </m:r>
      </m:oMath>
      <w:r>
        <w:t xml:space="preserve"> of the “content features” </w:t>
      </w:r>
      <m:oMath>
        <m:r>
          <w:rPr>
            <w:rFonts w:ascii="Cambria Math" w:hAnsi="Cambria Math"/>
          </w:rPr>
          <m:t>c</m:t>
        </m:r>
      </m:oMath>
      <w:r>
        <w:t xml:space="preserve"> in the latent space, and project style input vector </w:t>
      </w:r>
      <m:oMath>
        <m:r>
          <w:rPr>
            <w:rFonts w:ascii="Cambria Math" w:hAnsi="Cambria Math"/>
          </w:rPr>
          <m:t>r</m:t>
        </m:r>
      </m:oMath>
      <w:r>
        <w:t xml:space="preserve"> into the latent space and learn the transformation </w:t>
      </w:r>
      <m:oMath>
        <m:r>
          <w:rPr>
            <w:rFonts w:ascii="Cambria Math" w:hAnsi="Cambria Math"/>
          </w:rPr>
          <m:t>s</m:t>
        </m:r>
      </m:oMath>
      <w:r>
        <w:t xml:space="preserv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to the stimulation dataset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For the rest of the descriptions, we denote </w:t>
      </w:r>
      <m:oMath>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as a content encoder to learn the cell-type awareness features,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to project the random-style input vectors to the latent space, </w:t>
      </w:r>
      <m:oMath>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and </w:t>
      </w:r>
      <m:oMath>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r>
              <m:rPr>
                <m:sty m:val="p"/>
              </m:rPr>
              <w:rPr>
                <w:rFonts w:ascii="Cambria Math" w:hAnsi="Cambria Math"/>
              </w:rPr>
              <m:t>.</m:t>
            </m:r>
          </m:e>
        </m:d>
      </m:oMath>
      <w:r>
        <w:t xml:space="preserve"> represented to the </w:t>
      </w:r>
      <m:oMath>
        <m:r>
          <w:rPr>
            <w:rFonts w:ascii="Cambria Math" w:hAnsi="Cambria Math"/>
          </w:rPr>
          <m:t>μ</m:t>
        </m:r>
      </m:oMath>
      <w:r>
        <w:t xml:space="preserve"> and </w:t>
      </w:r>
      <m:oMath>
        <m:r>
          <w:rPr>
            <w:rFonts w:ascii="Cambria Math" w:hAnsi="Cambria Math"/>
          </w:rPr>
          <m:t>σ</m:t>
        </m:r>
      </m:oMath>
      <w:r>
        <w:t xml:space="preserve"> estimation for the distribution of </w:t>
      </w:r>
      <m:oMath>
        <m:r>
          <w:rPr>
            <w:rFonts w:ascii="Cambria Math" w:hAnsi="Cambria Math"/>
          </w:rPr>
          <m:t>c</m:t>
        </m:r>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r>
              <m:rPr>
                <m:sty m:val="p"/>
              </m:rPr>
              <w:rPr>
                <w:rFonts w:ascii="Cambria Math" w:hAnsi="Cambria Math"/>
              </w:rPr>
              <m:t>.</m:t>
            </m:r>
          </m:e>
        </m:d>
      </m:oMath>
      <w:r>
        <w:t xml:space="preserve"> for the decoder to generate the stimulation data from the latent variables </w:t>
      </w:r>
      <m:oMath>
        <m:r>
          <w:rPr>
            <w:rFonts w:ascii="Cambria Math" w:hAnsi="Cambria Math"/>
          </w:rPr>
          <m:t>c</m:t>
        </m:r>
      </m:oMath>
      <w:r>
        <w:t xml:space="preserve"> and </w:t>
      </w:r>
      <m:oMath>
        <m:r>
          <w:rPr>
            <w:rFonts w:ascii="Cambria Math" w:hAnsi="Cambria Math"/>
          </w:rPr>
          <m:t>s</m:t>
        </m:r>
      </m:oMath>
      <w:r>
        <w:t>.</w:t>
      </w:r>
    </w:p>
    <w:p w14:paraId="6724A6DF" w14:textId="6924FCAB" w:rsidR="00AC6938" w:rsidRDefault="00AC6938" w:rsidP="00AC6938">
      <w:pPr>
        <w:pStyle w:val="a0"/>
      </w:pPr>
      <w:r>
        <w:t xml:space="preserve">In the inference stage, given a specific cell type from the control dataset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scPerb will extract the cell type-related features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get the generated pseudo-stimulus cell type </w:t>
      </w:r>
      <m:oMath>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oMath>
      <w:r>
        <w:t xml:space="preserve"> based on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and </w:t>
      </w:r>
      <m:oMath>
        <m:sSub>
          <m:sSubPr>
            <m:ctrlPr>
              <w:rPr>
                <w:rFonts w:ascii="Cambria Math" w:hAnsi="Cambria Math"/>
              </w:rPr>
            </m:ctrlPr>
          </m:sSubPr>
          <m:e>
            <m:r>
              <w:rPr>
                <w:rFonts w:ascii="Cambria Math" w:hAnsi="Cambria Math"/>
              </w:rPr>
              <m:t>δ</m:t>
            </m:r>
          </m:e>
          <m:sub>
            <m:r>
              <w:rPr>
                <w:rFonts w:ascii="Cambria Math" w:hAnsi="Cambria Math"/>
              </w:rPr>
              <m:t>s</m:t>
            </m:r>
          </m:sub>
        </m:sSub>
      </m:oMath>
      <w:r>
        <w:t xml:space="preserve">, a result of a neuro-network, learning the difference between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ctrl</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s</m:t>
            </m:r>
          </m:sub>
          <m:sup>
            <m:r>
              <w:rPr>
                <w:rFonts w:ascii="Cambria Math" w:hAnsi="Cambria Math"/>
              </w:rPr>
              <m:t>stim</m:t>
            </m:r>
          </m:sup>
        </m:sSubSup>
      </m:oMath>
      <w:r>
        <w:t xml:space="preserve"> .</w:t>
      </w:r>
      <w:bookmarkStart w:id="1" w:name="encoders"/>
    </w:p>
    <w:p w14:paraId="0422AC55" w14:textId="77777777" w:rsidR="00AC6938" w:rsidRPr="00FE2E36" w:rsidRDefault="00AC6938" w:rsidP="00AC6938">
      <w:pPr>
        <w:pStyle w:val="a0"/>
        <w:numPr>
          <w:ilvl w:val="1"/>
          <w:numId w:val="9"/>
        </w:numPr>
        <w:rPr>
          <w:sz w:val="32"/>
          <w:szCs w:val="32"/>
        </w:rPr>
      </w:pPr>
      <w:r w:rsidRPr="00FE2E36">
        <w:rPr>
          <w:sz w:val="32"/>
          <w:szCs w:val="32"/>
        </w:rPr>
        <w:t>Encoders</w:t>
      </w:r>
      <w:bookmarkEnd w:id="1"/>
    </w:p>
    <w:p w14:paraId="4139DAE6" w14:textId="77777777" w:rsidR="00AC6938" w:rsidRDefault="00AC6938" w:rsidP="00AC6938">
      <w:pPr>
        <w:pStyle w:val="FirstParagraph"/>
      </w:pPr>
      <w:r>
        <w:lastRenderedPageBreak/>
        <w:t xml:space="preserve">We assumed the observations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from the control and stimulation datasets had two independent latent features: a cell type-related latent feature, denoted as “content” </w:t>
      </w:r>
      <m:oMath>
        <m:r>
          <w:rPr>
            <w:rFonts w:ascii="Cambria Math" w:hAnsi="Cambria Math"/>
          </w:rPr>
          <m:t>c</m:t>
        </m:r>
      </m:oMath>
      <w:r>
        <w:t xml:space="preserve"> , and a dataset-specific feature, denoted as “style” </w:t>
      </w:r>
      <m:oMath>
        <m:r>
          <w:rPr>
            <w:rFonts w:ascii="Cambria Math" w:hAnsi="Cambria Math"/>
          </w:rPr>
          <m:t>s</m:t>
        </m:r>
      </m:oMath>
      <w:r>
        <w:t xml:space="preserve">. To extract the common cell type content feature, we first project the inputs into the latent space, then estimate the </w:t>
      </w:r>
      <m:oMath>
        <m:r>
          <w:rPr>
            <w:rFonts w:ascii="Cambria Math" w:hAnsi="Cambria Math"/>
          </w:rPr>
          <m:t>μ</m:t>
        </m:r>
        <m:r>
          <m:rPr>
            <m:sty m:val="p"/>
          </m:rPr>
          <w:rPr>
            <w:rFonts w:ascii="Cambria Math" w:hAnsi="Cambria Math"/>
          </w:rPr>
          <m:t>,</m:t>
        </m:r>
        <m:r>
          <w:rPr>
            <w:rFonts w:ascii="Cambria Math" w:hAnsi="Cambria Math"/>
          </w:rPr>
          <m:t>σ</m:t>
        </m:r>
      </m:oMath>
      <w:r>
        <w:t xml:space="preserve"> to represent the normal distribution of </w:t>
      </w:r>
      <m:oMath>
        <m:r>
          <w:rPr>
            <w:rFonts w:ascii="Cambria Math" w:hAnsi="Cambria Math"/>
          </w:rPr>
          <m:t>c</m:t>
        </m:r>
      </m:oMath>
      <w:r>
        <w:t xml:space="preserve">, and resample the latent variable </w:t>
      </w:r>
      <m:oMath>
        <m:r>
          <w:rPr>
            <w:rFonts w:ascii="Cambria Math" w:hAnsi="Cambria Math"/>
          </w:rPr>
          <m:t>Z</m:t>
        </m:r>
      </m:oMath>
      <w:r>
        <w:t xml:space="preserve"> based on the generated distribution:</w:t>
      </w:r>
    </w:p>
    <w:p w14:paraId="638F6EDD"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109CEECD"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ctrl</m:t>
                      </m:r>
                    </m:sup>
                  </m:sSup>
                </m:e>
              </m:d>
            </m:e>
          </m:d>
        </m:oMath>
      </m:oMathPara>
    </w:p>
    <w:p w14:paraId="6F81F22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6732DD03" w14:textId="77777777" w:rsidR="00AC6938" w:rsidRDefault="00AC6938" w:rsidP="00AC6938">
      <w:pPr>
        <w:pStyle w:val="FirstParagraph"/>
      </w:pPr>
      <w:r>
        <w:t xml:space="preserve">We shared the projection weights between the two </w:t>
      </w:r>
      <w:proofErr w:type="gramStart"/>
      <w:r>
        <w:t>dataset</w:t>
      </w:r>
      <w:proofErr w:type="gramEnd"/>
      <w:r>
        <w:t xml:space="preserve">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 and therefore we can have the latent representation of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as:</w:t>
      </w:r>
    </w:p>
    <w:p w14:paraId="2555B434" w14:textId="77777777" w:rsidR="00AC6938" w:rsidRDefault="00AC6938" w:rsidP="00AC6938">
      <w:pPr>
        <w:pStyle w:val="a0"/>
      </w:pPr>
      <m:oMathPara>
        <m:oMathParaPr>
          <m:jc m:val="center"/>
        </m:oMathParaPr>
        <m:oMath>
          <m:r>
            <w:rPr>
              <w:rFonts w:ascii="Cambria Math" w:hAnsi="Cambria Math"/>
            </w:rPr>
            <m:t>μ</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μ</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63EEE8E2" w14:textId="77777777" w:rsidR="00AC6938" w:rsidRDefault="00AC6938" w:rsidP="00AC6938">
      <w:pPr>
        <w:pStyle w:val="FirstParagraph"/>
      </w:pPr>
      <m:oMathPara>
        <m:oMathParaPr>
          <m:jc m:val="center"/>
        </m:oMathParaPr>
        <m:oMath>
          <m:r>
            <w:rPr>
              <w:rFonts w:ascii="Cambria Math" w:hAnsi="Cambria Math"/>
            </w:rPr>
            <m:t>σ</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σ</m:t>
              </m:r>
            </m:sub>
            <m:sup>
              <m:r>
                <w:rPr>
                  <w:rFonts w:ascii="Cambria Math" w:hAnsi="Cambria Math"/>
                </w:rPr>
                <m:t>c</m:t>
              </m:r>
            </m:sup>
          </m:sSubSup>
          <m:d>
            <m:dPr>
              <m:ctrlPr>
                <w:rPr>
                  <w:rFonts w:ascii="Cambria Math" w:hAnsi="Cambria Math"/>
                </w:rPr>
              </m:ctrlPr>
            </m:dPr>
            <m:e>
              <m:sSubSup>
                <m:sSubSupPr>
                  <m:ctrlPr>
                    <w:rPr>
                      <w:rFonts w:ascii="Cambria Math" w:hAnsi="Cambria Math"/>
                    </w:rPr>
                  </m:ctrlPr>
                </m:sSubSupPr>
                <m:e>
                  <m:r>
                    <w:rPr>
                      <w:rFonts w:ascii="Cambria Math" w:hAnsi="Cambria Math"/>
                    </w:rPr>
                    <m:t>E</m:t>
                  </m:r>
                </m:e>
                <m:sub>
                  <m:r>
                    <w:rPr>
                      <w:rFonts w:ascii="Cambria Math" w:hAnsi="Cambria Math"/>
                    </w:rPr>
                    <m:t>θ</m:t>
                  </m:r>
                </m:sub>
                <m:sup>
                  <m:r>
                    <w:rPr>
                      <w:rFonts w:ascii="Cambria Math" w:hAnsi="Cambria Math"/>
                    </w:rPr>
                    <m:t>c</m:t>
                  </m:r>
                </m:sup>
              </m:sSubSup>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stim</m:t>
                      </m:r>
                    </m:sup>
                  </m:sSup>
                </m:e>
              </m:d>
            </m:e>
          </m:d>
        </m:oMath>
      </m:oMathPara>
    </w:p>
    <w:p w14:paraId="5F691691" w14:textId="77777777" w:rsidR="00AC6938" w:rsidRDefault="00000000" w:rsidP="00AC6938">
      <w:pPr>
        <w:pStyle w:val="FirstParagraph"/>
      </w:pPr>
      <m:oMathPara>
        <m:oMathParaPr>
          <m:jc m:val="center"/>
        </m:oMathParaP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oMath>
      </m:oMathPara>
    </w:p>
    <w:p w14:paraId="5D93AB2A" w14:textId="77777777" w:rsidR="00AC6938" w:rsidRDefault="00AC6938" w:rsidP="00AC6938">
      <w:pPr>
        <w:pStyle w:val="FirstParagraph"/>
      </w:pPr>
      <w:r>
        <w:t xml:space="preserve">In this manuscript, our task is to generate the pseudo-stimulus cell types from the same cell types in the control dataset. Therefore, instead of learning the dataset styles explicitly, we applied a light-wise network to learn the transformation </w:t>
      </w:r>
      <m:oMath>
        <m:r>
          <w:rPr>
            <w:rFonts w:ascii="Cambria Math" w:hAnsi="Cambria Math"/>
          </w:rPr>
          <m:t>s</m:t>
        </m:r>
      </m:oMath>
      <w:r>
        <w:t xml:space="preserve"> in the latent space. Our idea was inspired by the style transfer learnings</w:t>
      </w:r>
      <w:r>
        <w:fldChar w:fldCharType="begin"/>
      </w:r>
      <w:r>
        <w:instrText xml:space="preserve"> ADDIN EN.CITE &lt;EndNote&gt;&lt;Cite&gt;&lt;Author&gt;Karras&lt;/Author&gt;&lt;Year&gt;2019&lt;/Year&gt;&lt;RecNum&gt;21&lt;/RecNum&gt;&lt;DisplayText&gt;[7]&lt;/DisplayText&gt;&lt;record&gt;&lt;rec-number&gt;21&lt;/rec-number&gt;&lt;foreign-keys&gt;&lt;key app="EN" db-id="2sf0rtfskvt02yezrxjx90d4f52xet9pdf2w" timestamp="1691714416"&gt;21&lt;/key&gt;&lt;/foreign-keys&gt;&lt;ref-type name="Conference Proceedings"&gt;10&lt;/ref-type&gt;&lt;contributors&gt;&lt;authors&gt;&lt;author&gt;Karras, Tero&lt;/author&gt;&lt;author&gt;Laine, Samuli&lt;/author&gt;&lt;author&gt;Aila, Timo&lt;/author&gt;&lt;/authors&gt;&lt;/contributors&gt;&lt;titles&gt;&lt;title&gt;A style-based generator architecture for generative adversarial networks&lt;/title&gt;&lt;secondary-title&gt;Proceedings of the IEEE/CVF conference on computer vision and pattern recognition&lt;/secondary-title&gt;&lt;/titles&gt;&lt;pages&gt;4401-4410&lt;/pages&gt;&lt;dates&gt;&lt;year&gt;2019&lt;/year&gt;&lt;/dates&gt;&lt;urls&gt;&lt;/urls&gt;&lt;/record&gt;&lt;/Cite&gt;&lt;/EndNote&gt;</w:instrText>
      </w:r>
      <w:r>
        <w:fldChar w:fldCharType="separate"/>
      </w:r>
      <w:r>
        <w:rPr>
          <w:noProof/>
        </w:rPr>
        <w:t>[7]</w:t>
      </w:r>
      <w:r>
        <w:fldChar w:fldCharType="end"/>
      </w:r>
      <w:r>
        <w:t xml:space="preserve">, where randomly sampled a noise </w:t>
      </w:r>
      <m:oMath>
        <m:r>
          <w:rPr>
            <w:rFonts w:ascii="Cambria Math" w:hAnsi="Cambria Math"/>
          </w:rPr>
          <m:t>r</m:t>
        </m:r>
      </m:oMath>
      <w:r>
        <w:t xml:space="preserve"> and project the latent space as the styles. In ScPerb, we applied a style encoder </w:t>
      </w:r>
      <m:oMath>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m:rPr>
                <m:sty m:val="p"/>
              </m:rPr>
              <w:rPr>
                <w:rFonts w:ascii="Cambria Math" w:hAnsi="Cambria Math"/>
              </w:rPr>
              <m:t>.</m:t>
            </m:r>
          </m:e>
        </m:d>
      </m:oMath>
      <w:r>
        <w:t xml:space="preserve">, which can project the </w:t>
      </w:r>
      <m:oMath>
        <m:r>
          <w:rPr>
            <w:rFonts w:ascii="Cambria Math" w:hAnsi="Cambria Math"/>
          </w:rPr>
          <m:t>r</m:t>
        </m:r>
      </m:oMath>
      <w:r>
        <w:t xml:space="preserve"> into the latent space as the transformation variable to convert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to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w:t>
      </w:r>
    </w:p>
    <w:p w14:paraId="051A5915" w14:textId="77777777" w:rsidR="00AC6938" w:rsidRDefault="00AC6938" w:rsidP="00AC6938">
      <w:pPr>
        <w:pStyle w:val="a0"/>
      </w:pPr>
      <m:oMathPara>
        <m:oMathParaPr>
          <m:jc m:val="center"/>
        </m:oMathParaPr>
        <m:oMath>
          <m:r>
            <w:rPr>
              <w:rFonts w:ascii="Cambria Math" w:hAnsi="Cambria Math"/>
            </w:rPr>
            <m:t>s</m:t>
          </m:r>
          <m:r>
            <m:rPr>
              <m:sty m:val="p"/>
            </m:rPr>
            <w:rPr>
              <w:rFonts w:ascii="Cambria Math" w:hAnsi="Cambria Math"/>
            </w:rPr>
            <m:t>=</m:t>
          </m:r>
          <m:sSubSup>
            <m:sSubSupPr>
              <m:ctrlPr>
                <w:rPr>
                  <w:rFonts w:ascii="Cambria Math" w:hAnsi="Cambria Math"/>
                </w:rPr>
              </m:ctrlPr>
            </m:sSubSupPr>
            <m:e>
              <m:r>
                <w:rPr>
                  <w:rFonts w:ascii="Cambria Math" w:hAnsi="Cambria Math"/>
                </w:rPr>
                <m:t>E</m:t>
              </m:r>
            </m:e>
            <m:sub>
              <m:r>
                <w:rPr>
                  <w:rFonts w:ascii="Cambria Math" w:hAnsi="Cambria Math"/>
                </w:rPr>
                <m:t>ϕ</m:t>
              </m:r>
            </m:sub>
            <m:sup>
              <m:r>
                <w:rPr>
                  <w:rFonts w:ascii="Cambria Math" w:hAnsi="Cambria Math"/>
                </w:rPr>
                <m:t>s</m:t>
              </m:r>
            </m:sup>
          </m:sSubSup>
          <m:d>
            <m:dPr>
              <m:ctrlPr>
                <w:rPr>
                  <w:rFonts w:ascii="Cambria Math" w:hAnsi="Cambria Math"/>
                </w:rPr>
              </m:ctrlPr>
            </m:dPr>
            <m:e>
              <m:r>
                <w:rPr>
                  <w:rFonts w:ascii="Cambria Math" w:hAnsi="Cambria Math"/>
                </w:rPr>
                <m:t>r</m:t>
              </m:r>
            </m:e>
          </m:d>
        </m:oMath>
      </m:oMathPara>
    </w:p>
    <w:p w14:paraId="5ED8208B" w14:textId="77777777" w:rsidR="00AC6938" w:rsidRDefault="00000000" w:rsidP="00AC6938">
      <w:pPr>
        <w:pStyle w:val="FirstParagraph"/>
      </w:pPr>
      <m:oMathPara>
        <m:oMathParaPr>
          <m:jc m:val="center"/>
        </m:oMathParaP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oMath>
      </m:oMathPara>
    </w:p>
    <w:p w14:paraId="24654AE4" w14:textId="77777777" w:rsidR="00AC6938" w:rsidRDefault="00AC6938" w:rsidP="00AC6938">
      <w:pPr>
        <w:pStyle w:val="FirstParagraph"/>
      </w:pPr>
      <w:r>
        <w:t xml:space="preserve">And </w:t>
      </w:r>
      <w:proofErr w:type="gramStart"/>
      <w:r>
        <w:t>therefore</w:t>
      </w:r>
      <w:proofErr w:type="gramEnd"/>
      <w:r>
        <w:t xml:space="preserve"> we have the following style loss and the KL regulations:</w:t>
      </w:r>
    </w:p>
    <w:p w14:paraId="5CF6D0DD" w14:textId="77777777" w:rsidR="00AC6938" w:rsidRDefault="00AC6938" w:rsidP="00AC6938">
      <w:pPr>
        <w:pStyle w:val="a0"/>
      </w:pPr>
      <m:oMathPara>
        <m:oMathParaPr>
          <m:jc m:val="center"/>
        </m:oMathParaPr>
        <m:oMath>
          <m:r>
            <w:rPr>
              <w:rFonts w:ascii="Cambria Math" w:hAnsi="Cambria Math"/>
            </w:rPr>
            <m:t>StyleLoss</m:t>
          </m:r>
          <m:r>
            <m:rPr>
              <m:sty m:val="p"/>
            </m:rPr>
            <w:rPr>
              <w:rFonts w:ascii="Cambria Math" w:hAnsi="Cambria Math"/>
            </w:rPr>
            <m:t>=</m:t>
          </m:r>
          <m:r>
            <w:rPr>
              <w:rFonts w:ascii="Cambria Math" w:hAnsi="Cambria Math"/>
            </w:rPr>
            <m:t>SmoothL1Loss</m:t>
          </m:r>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r>
                <m:rPr>
                  <m:sty m:val="p"/>
                </m:rPr>
                <w:rPr>
                  <w:rFonts w:ascii="Cambria Math" w:hAnsi="Cambria Math"/>
                </w:rPr>
                <m:t>,</m:t>
              </m:r>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r>
                <w:rPr>
                  <w:rFonts w:ascii="Cambria Math" w:hAnsi="Cambria Math"/>
                </w:rPr>
                <m:t>s</m:t>
              </m:r>
            </m:e>
          </m:d>
        </m:oMath>
      </m:oMathPara>
    </w:p>
    <w:p w14:paraId="03B7856E" w14:textId="77777777" w:rsidR="00AC6938" w:rsidRDefault="00AC6938" w:rsidP="00AC6938">
      <w:pPr>
        <w:pStyle w:val="FirstParagraph"/>
      </w:pPr>
      <m:oMathPara>
        <m:oMathParaPr>
          <m:jc m:val="center"/>
        </m:oMathParaPr>
        <m:oMath>
          <m:r>
            <w:rPr>
              <w:rFonts w:ascii="Cambria Math" w:hAnsi="Cambria Math"/>
            </w:rPr>
            <m:t>KLLoss</m:t>
          </m:r>
          <m:r>
            <m:rPr>
              <m:sty m:val="p"/>
            </m:rPr>
            <w:rPr>
              <w:rFonts w:ascii="Cambria Math" w:hAnsi="Cambria Math"/>
            </w:rPr>
            <m:t>=</m:t>
          </m:r>
          <m:r>
            <w:rPr>
              <w:rFonts w:ascii="Cambria Math" w:hAnsi="Cambria Math"/>
            </w:rPr>
            <m:t>KL</m:t>
          </m:r>
          <m:d>
            <m:dPr>
              <m:ctrlPr>
                <w:rPr>
                  <w:rFonts w:ascii="Cambria Math" w:hAnsi="Cambria Math"/>
                </w:rPr>
              </m:ctrlPr>
            </m:dPr>
            <m:e>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r>
                    <w:rPr>
                      <w:rFonts w:ascii="Cambria Math" w:hAnsi="Cambria Math"/>
                    </w:rPr>
                    <m:t>σ</m:t>
                  </m:r>
                </m:e>
              </m:d>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0</m:t>
                  </m:r>
                  <m:r>
                    <m:rPr>
                      <m:sty m:val="p"/>
                    </m:rPr>
                    <w:rPr>
                      <w:rFonts w:ascii="Cambria Math" w:hAnsi="Cambria Math"/>
                    </w:rPr>
                    <m:t>,</m:t>
                  </m:r>
                  <m:r>
                    <w:rPr>
                      <w:rFonts w:ascii="Cambria Math" w:hAnsi="Cambria Math"/>
                    </w:rPr>
                    <m:t>I</m:t>
                  </m:r>
                </m:e>
              </m:d>
            </m:e>
          </m:d>
        </m:oMath>
      </m:oMathPara>
    </w:p>
    <w:p w14:paraId="328689F4" w14:textId="77777777" w:rsidR="00AC6938" w:rsidRDefault="00AC6938" w:rsidP="00AC6938">
      <w:pPr>
        <w:pStyle w:val="FirstParagraph"/>
      </w:pPr>
      <w:r>
        <w:t>Where SmoothL1Loss and KL divergence are:</w:t>
      </w:r>
    </w:p>
    <w:p w14:paraId="6E6729EF" w14:textId="77777777" w:rsidR="00AC6938" w:rsidRDefault="00AC6938" w:rsidP="00AC6938">
      <w:pPr>
        <w:pStyle w:val="a0"/>
      </w:pPr>
      <m:oMathPara>
        <m:oMathParaPr>
          <m:jc m:val="center"/>
        </m:oMathParaPr>
        <m:oMath>
          <m:r>
            <w:rPr>
              <w:rFonts w:ascii="Cambria Math" w:hAnsi="Cambria Math"/>
            </w:rPr>
            <m:t>SmoothL1loss</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d>
            <m:dPr>
              <m:begChr m:val="{"/>
              <m:endChr m:val=""/>
              <m:ctrlPr>
                <w:rPr>
                  <w:rFonts w:ascii="Cambria Math" w:hAnsi="Cambria Math"/>
                </w:rPr>
              </m:ctrlPr>
            </m:dPr>
            <m:e>
              <m:m>
                <m:mPr>
                  <m:plcHide m:val="1"/>
                  <m:mcs>
                    <m:mc>
                      <m:mcPr>
                        <m:count m:val="1"/>
                        <m:mcJc m:val="right"/>
                      </m:mcPr>
                    </m:mc>
                    <m:mc>
                      <m:mcPr>
                        <m:count m:val="1"/>
                        <m:mcJc m:val="left"/>
                      </m:mcPr>
                    </m:mc>
                  </m:mcs>
                  <m:ctrlPr>
                    <w:rPr>
                      <w:rFonts w:ascii="Cambria Math" w:hAnsi="Cambria Math"/>
                    </w:rPr>
                  </m:ctrlPr>
                </m:mPr>
                <m:mr>
                  <m:e>
                    <m:r>
                      <w:rPr>
                        <w:rFonts w:ascii="Cambria Math" w:hAnsi="Cambria Math"/>
                      </w:rPr>
                      <m:t>0.5</m:t>
                    </m:r>
                    <m:sSup>
                      <m:sSupPr>
                        <m:ctrlPr>
                          <w:rPr>
                            <w:rFonts w:ascii="Cambria Math" w:hAnsi="Cambria Math"/>
                          </w:rPr>
                        </m:ctrlPr>
                      </m:sSupPr>
                      <m:e>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e>
                      <m:sup>
                        <m:r>
                          <w:rPr>
                            <w:rFonts w:ascii="Cambria Math" w:hAnsi="Cambria Math"/>
                          </w:rPr>
                          <m:t>2</m:t>
                        </m:r>
                      </m:sup>
                    </m:sSup>
                    <m:r>
                      <m:rPr>
                        <m:sty m:val="p"/>
                      </m:rPr>
                      <w:rPr>
                        <w:rFonts w:ascii="Cambria Math" w:hAnsi="Cambria Math"/>
                      </w:rPr>
                      <m:t>/</m:t>
                    </m:r>
                    <m:r>
                      <w:rPr>
                        <w:rFonts w:ascii="Cambria Math" w:hAnsi="Cambria Math"/>
                      </w:rPr>
                      <m:t>β</m:t>
                    </m:r>
                  </m:e>
                  <m:e>
                    <m:r>
                      <m:rPr>
                        <m:nor/>
                      </m:rPr>
                      <m:t xml:space="preserve"> if </m:t>
                    </m:r>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&lt;</m:t>
                    </m:r>
                    <m:r>
                      <w:rPr>
                        <w:rFonts w:ascii="Cambria Math" w:hAnsi="Cambria Math"/>
                      </w:rPr>
                      <m:t>β</m:t>
                    </m:r>
                  </m:e>
                </m:mr>
                <m:mr>
                  <m:e>
                    <m:d>
                      <m:dPr>
                        <m:begChr m:val="|"/>
                        <m:endChr m:val="|"/>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r>
                      <w:rPr>
                        <w:rFonts w:ascii="Cambria Math" w:hAnsi="Cambria Math"/>
                      </w:rPr>
                      <m:t>0.5β</m:t>
                    </m:r>
                  </m:e>
                  <m:e>
                    <m:r>
                      <m:rPr>
                        <m:nor/>
                      </m:rPr>
                      <m:t xml:space="preserve"> otherwise</m:t>
                    </m:r>
                  </m:e>
                </m:mr>
              </m:m>
            </m:e>
          </m:d>
        </m:oMath>
      </m:oMathPara>
    </w:p>
    <w:p w14:paraId="06C09CEE" w14:textId="77777777" w:rsidR="00AC6938" w:rsidRPr="00FE2E36" w:rsidRDefault="00AC6938" w:rsidP="00AC6938">
      <w:pPr>
        <w:pStyle w:val="FirstParagraph"/>
      </w:pPr>
      <m:oMathPara>
        <m:oMath>
          <m:r>
            <w:rPr>
              <w:rFonts w:ascii="Cambria Math" w:hAnsi="Cambria Math"/>
            </w:rPr>
            <m:t>KL</m:t>
          </m:r>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m:t>
              </m:r>
              <m:r>
                <m:rPr>
                  <m:sty m:val="p"/>
                </m:rPr>
                <w:rPr>
                  <w:rFonts w:ascii="Cambria Math" w:hAnsi="Cambria Math"/>
                </w:rPr>
                <m:t>∈</m:t>
              </m:r>
              <m:r>
                <w:rPr>
                  <w:rFonts w:ascii="Cambria Math" w:hAnsi="Cambria Math"/>
                </w:rPr>
                <m:t>X</m:t>
              </m:r>
            </m:sub>
            <m:sup>
              <m:r>
                <w:rPr>
                  <w:rFonts w:ascii="Cambria Math" w:hAnsi="Cambria Math"/>
                </w:rPr>
                <m:t>​</m:t>
              </m:r>
            </m:sup>
            <m:e>
              <m:r>
                <w:rPr>
                  <w:rFonts w:ascii="Cambria Math" w:hAnsi="Cambria Math"/>
                </w:rPr>
                <m:t>P</m:t>
              </m:r>
            </m:e>
          </m:nary>
          <m:d>
            <m:dPr>
              <m:ctrlPr>
                <w:rPr>
                  <w:rFonts w:ascii="Cambria Math" w:hAnsi="Cambria Math"/>
                </w:rPr>
              </m:ctrlPr>
            </m:dPr>
            <m:e>
              <m:r>
                <w:rPr>
                  <w:rFonts w:ascii="Cambria Math" w:hAnsi="Cambria Math"/>
                </w:rPr>
                <m:t>x</m:t>
              </m:r>
            </m:e>
          </m:d>
          <m:r>
            <w:rPr>
              <w:rFonts w:ascii="Cambria Math" w:hAnsi="Cambria Math"/>
            </w:rPr>
            <m:t>log</m:t>
          </m:r>
          <m:d>
            <m:dPr>
              <m:ctrlPr>
                <w:rPr>
                  <w:rFonts w:ascii="Cambria Math" w:hAnsi="Cambria Math"/>
                </w:rPr>
              </m:ctrlPr>
            </m:dPr>
            <m:e>
              <m:f>
                <m:fPr>
                  <m:ctrlPr>
                    <w:rPr>
                      <w:rFonts w:ascii="Cambria Math" w:hAnsi="Cambria Math"/>
                    </w:rPr>
                  </m:ctrlPr>
                </m:fPr>
                <m:num>
                  <m:r>
                    <w:rPr>
                      <w:rFonts w:ascii="Cambria Math" w:hAnsi="Cambria Math"/>
                    </w:rPr>
                    <m:t>P</m:t>
                  </m:r>
                  <m:d>
                    <m:dPr>
                      <m:ctrlPr>
                        <w:rPr>
                          <w:rFonts w:ascii="Cambria Math" w:hAnsi="Cambria Math"/>
                        </w:rPr>
                      </m:ctrlPr>
                    </m:dPr>
                    <m:e>
                      <m:r>
                        <w:rPr>
                          <w:rFonts w:ascii="Cambria Math" w:hAnsi="Cambria Math"/>
                        </w:rPr>
                        <m:t>x</m:t>
                      </m:r>
                    </m:e>
                  </m:d>
                </m:num>
                <m:den>
                  <m:r>
                    <w:rPr>
                      <w:rFonts w:ascii="Cambria Math" w:hAnsi="Cambria Math"/>
                    </w:rPr>
                    <m:t>Q</m:t>
                  </m:r>
                  <m:d>
                    <m:dPr>
                      <m:ctrlPr>
                        <w:rPr>
                          <w:rFonts w:ascii="Cambria Math" w:hAnsi="Cambria Math"/>
                        </w:rPr>
                      </m:ctrlPr>
                    </m:dPr>
                    <m:e>
                      <m:r>
                        <w:rPr>
                          <w:rFonts w:ascii="Cambria Math" w:hAnsi="Cambria Math"/>
                        </w:rPr>
                        <m:t>x</m:t>
                      </m:r>
                    </m:e>
                  </m:d>
                </m:den>
              </m:f>
            </m:e>
          </m:d>
        </m:oMath>
      </m:oMathPara>
      <w:bookmarkStart w:id="2" w:name="decoder"/>
    </w:p>
    <w:p w14:paraId="2651078A" w14:textId="77777777" w:rsidR="00AC6938" w:rsidRPr="00FE2E36" w:rsidRDefault="00AC6938" w:rsidP="00AC6938">
      <w:pPr>
        <w:pStyle w:val="FirstParagraph"/>
        <w:numPr>
          <w:ilvl w:val="1"/>
          <w:numId w:val="9"/>
        </w:numPr>
        <w:rPr>
          <w:sz w:val="32"/>
          <w:szCs w:val="32"/>
        </w:rPr>
      </w:pPr>
      <w:r w:rsidRPr="00FE2E36">
        <w:rPr>
          <w:sz w:val="32"/>
          <w:szCs w:val="32"/>
        </w:rPr>
        <w:lastRenderedPageBreak/>
        <w:t>Decoder</w:t>
      </w:r>
      <w:bookmarkEnd w:id="2"/>
    </w:p>
    <w:p w14:paraId="0D9B1200" w14:textId="77777777" w:rsidR="00AC6938" w:rsidRDefault="00AC6938" w:rsidP="00AC6938">
      <w:pPr>
        <w:pStyle w:val="FirstParagraph"/>
      </w:pPr>
      <w:r>
        <w:t xml:space="preserve">We applied a decoder to generate the observations from the latent variables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Accordingly, the generated samples were denoted as:</w:t>
      </w:r>
    </w:p>
    <w:p w14:paraId="110E4DD0" w14:textId="77777777" w:rsidR="00AC6938" w:rsidRDefault="00000000" w:rsidP="00AC6938">
      <w:pPr>
        <w:pStyle w:val="a0"/>
      </w:pPr>
      <m:oMathPara>
        <m:oMathParaPr>
          <m:jc m:val="center"/>
        </m:oMathParaPr>
        <m:oMath>
          <m:m>
            <m:mPr>
              <m:plcHide m:val="1"/>
              <m:mcs>
                <m:mc>
                  <m:mcPr>
                    <m:count m:val="1"/>
                    <m:mcJc m:val="center"/>
                  </m:mcPr>
                </m:mc>
              </m:mcs>
              <m:ctrlPr>
                <w:rPr>
                  <w:rFonts w:ascii="Cambria Math" w:hAnsi="Cambria Math"/>
                </w:rPr>
              </m:ctrlPr>
            </m:mPr>
            <m:mr>
              <m:e>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e>
                </m:d>
              </m:e>
            </m:mr>
            <m:mr>
              <m:e/>
            </m:mr>
          </m:m>
        </m:oMath>
      </m:oMathPara>
    </w:p>
    <w:p w14:paraId="6CCBE6CC" w14:textId="77777777" w:rsidR="00AC6938" w:rsidRDefault="00AC6938" w:rsidP="00AC6938">
      <w:pPr>
        <w:pStyle w:val="FirstParagraph"/>
      </w:pPr>
      <w:r>
        <w:t xml:space="preserve">Note that our task was to perturb the cell types from the control dataset to the stimulus dataset, instead of generating the samples from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stim</m:t>
            </m:r>
          </m:sup>
        </m:sSubSup>
      </m:oMath>
      <w:r>
        <w:t xml:space="preserve"> and </w:t>
      </w:r>
      <m:oMath>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oMath>
      <w:r>
        <w:t xml:space="preserve">, we use </w:t>
      </w:r>
      <m:oMath>
        <m:sSubSup>
          <m:sSubSupPr>
            <m:ctrlPr>
              <w:rPr>
                <w:rFonts w:ascii="Cambria Math" w:hAnsi="Cambria Math"/>
              </w:rPr>
            </m:ctrlPr>
          </m:sSubSupPr>
          <m:e>
            <m:acc>
              <m:accPr>
                <m:ctrlPr>
                  <w:rPr>
                    <w:rFonts w:ascii="Cambria Math" w:hAnsi="Cambria Math"/>
                  </w:rPr>
                </m:ctrlPr>
              </m:accPr>
              <m:e>
                <m:r>
                  <w:rPr>
                    <w:rFonts w:ascii="Cambria Math" w:hAnsi="Cambria Math"/>
                  </w:rPr>
                  <m:t>Z</m:t>
                </m:r>
              </m:e>
            </m:acc>
          </m:e>
          <m:sub>
            <m:r>
              <w:rPr>
                <w:rFonts w:ascii="Cambria Math" w:hAnsi="Cambria Math"/>
              </w:rPr>
              <m:t>c</m:t>
            </m:r>
          </m:sub>
          <m:sup>
            <m:r>
              <w:rPr>
                <w:rFonts w:ascii="Cambria Math" w:hAnsi="Cambria Math"/>
              </w:rPr>
              <m:t>stim</m:t>
            </m:r>
          </m:sup>
        </m:sSubSup>
      </m:oMath>
      <w:r>
        <w:t>. Therefore, our Generated Loss is:</w:t>
      </w:r>
    </w:p>
    <w:p w14:paraId="65620FD3" w14:textId="77777777" w:rsidR="00AC6938" w:rsidRDefault="00AC6938" w:rsidP="00AC6938">
      <w:pPr>
        <w:pStyle w:val="a0"/>
      </w:pPr>
      <m:oMathPara>
        <m:oMathParaPr>
          <m:jc m:val="center"/>
        </m:oMathParaPr>
        <m:oMath>
          <m:r>
            <w:rPr>
              <w:rFonts w:ascii="Cambria Math" w:hAnsi="Cambria Math"/>
            </w:rPr>
            <m:t>GenLoss</m:t>
          </m:r>
          <m:r>
            <m:rPr>
              <m:sty m:val="p"/>
            </m:rPr>
            <w:rPr>
              <w:rFonts w:ascii="Cambria Math" w:hAnsi="Cambria Math"/>
            </w:rPr>
            <m:t>=</m:t>
          </m:r>
          <m:r>
            <w:rPr>
              <w:rFonts w:ascii="Cambria Math" w:hAnsi="Cambria Math"/>
            </w:rPr>
            <m:t>SmoothL1loss</m:t>
          </m:r>
          <m:r>
            <m:rPr>
              <m:sty m:val="p"/>
            </m:rPr>
            <w:rPr>
              <w:rFonts w:ascii="Cambria Math" w:hAnsi="Cambria Math"/>
            </w:rPr>
            <m:t>(</m:t>
          </m:r>
          <m:sSup>
            <m:sSupPr>
              <m:ctrlPr>
                <w:rPr>
                  <w:rFonts w:ascii="Cambria Math" w:hAnsi="Cambria Math"/>
                </w:rPr>
              </m:ctrlPr>
            </m:sSupPr>
            <m:e>
              <m:acc>
                <m:accPr>
                  <m:ctrlPr>
                    <w:rPr>
                      <w:rFonts w:ascii="Cambria Math" w:hAnsi="Cambria Math"/>
                    </w:rPr>
                  </m:ctrlPr>
                </m:accPr>
                <m:e>
                  <m:r>
                    <w:rPr>
                      <w:rFonts w:ascii="Cambria Math" w:hAnsi="Cambria Math"/>
                    </w:rPr>
                    <m:t>X</m:t>
                  </m:r>
                </m:e>
              </m:acc>
            </m:e>
            <m:sup>
              <m:r>
                <w:rPr>
                  <w:rFonts w:ascii="Cambria Math" w:hAnsi="Cambria Math"/>
                </w:rPr>
                <m:t>stim</m:t>
              </m:r>
            </m:sup>
          </m:sSup>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Φ</m:t>
              </m:r>
            </m:sub>
          </m:sSub>
          <m:d>
            <m:dPr>
              <m:ctrlPr>
                <w:rPr>
                  <w:rFonts w:ascii="Cambria Math" w:hAnsi="Cambria Math"/>
                </w:rPr>
              </m:ctrlPr>
            </m:dPr>
            <m:e>
              <m:sSubSup>
                <m:sSubSupPr>
                  <m:ctrlPr>
                    <w:rPr>
                      <w:rFonts w:ascii="Cambria Math" w:hAnsi="Cambria Math"/>
                    </w:rPr>
                  </m:ctrlPr>
                </m:sSubSupPr>
                <m:e>
                  <m:r>
                    <w:rPr>
                      <w:rFonts w:ascii="Cambria Math" w:hAnsi="Cambria Math"/>
                    </w:rPr>
                    <m:t>Z</m:t>
                  </m:r>
                </m:e>
                <m:sub>
                  <m:r>
                    <w:rPr>
                      <w:rFonts w:ascii="Cambria Math" w:hAnsi="Cambria Math"/>
                    </w:rPr>
                    <m:t>c</m:t>
                  </m:r>
                </m:sub>
                <m:sup>
                  <m:r>
                    <w:rPr>
                      <w:rFonts w:ascii="Cambria Math" w:hAnsi="Cambria Math"/>
                    </w:rPr>
                    <m:t>ctrl</m:t>
                  </m:r>
                </m:sup>
              </m:sSubSup>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s</m:t>
                  </m:r>
                </m:sub>
              </m:sSub>
            </m:e>
          </m:d>
        </m:oMath>
      </m:oMathPara>
    </w:p>
    <w:p w14:paraId="7E060B42" w14:textId="77777777" w:rsidR="00AC6938" w:rsidRPr="00FE2E36" w:rsidRDefault="00AC6938" w:rsidP="00AC6938">
      <w:pPr>
        <w:pStyle w:val="af"/>
        <w:numPr>
          <w:ilvl w:val="1"/>
          <w:numId w:val="9"/>
        </w:numPr>
        <w:ind w:firstLineChars="0"/>
        <w:rPr>
          <w:sz w:val="32"/>
          <w:szCs w:val="32"/>
        </w:rPr>
      </w:pPr>
      <w:bookmarkStart w:id="3" w:name="loss-function"/>
      <w:r w:rsidRPr="00FE2E36">
        <w:rPr>
          <w:sz w:val="32"/>
          <w:szCs w:val="32"/>
        </w:rPr>
        <w:t>Loss function</w:t>
      </w:r>
      <w:bookmarkEnd w:id="3"/>
    </w:p>
    <w:p w14:paraId="48EADB9C" w14:textId="77777777" w:rsidR="00AC6938" w:rsidRDefault="00AC6938" w:rsidP="00AC6938">
      <w:pPr>
        <w:pStyle w:val="FirstParagraph"/>
      </w:pPr>
      <w:r>
        <w:t>The objective functions will be combined with the Generated loss, Style Loss, and the KL regulation terms.</w:t>
      </w:r>
    </w:p>
    <w:p w14:paraId="74F7DA97" w14:textId="77777777" w:rsidR="00AC6938" w:rsidRPr="00FE2E36" w:rsidRDefault="00AC6938" w:rsidP="00AC6938">
      <w:pPr>
        <w:pStyle w:val="a0"/>
      </w:pPr>
      <m:oMathPara>
        <m:oMath>
          <m:r>
            <w:rPr>
              <w:rFonts w:ascii="Cambria Math" w:hAnsi="Cambria Math"/>
            </w:rPr>
            <m:t>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StyleLoss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KLLoss</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3</m:t>
              </m:r>
            </m:sub>
          </m:sSub>
          <m:r>
            <w:rPr>
              <w:rFonts w:ascii="Cambria Math" w:hAnsi="Cambria Math"/>
            </w:rPr>
            <m:t>GenLoss</m:t>
          </m:r>
        </m:oMath>
      </m:oMathPara>
      <w:bookmarkStart w:id="4" w:name="datasets-and-preprocess"/>
      <w:bookmarkEnd w:id="0"/>
    </w:p>
    <w:p w14:paraId="6389DAC6" w14:textId="77777777" w:rsidR="00AC6938" w:rsidRDefault="00AC6938" w:rsidP="00AC6938">
      <w:pPr>
        <w:pStyle w:val="a0"/>
        <w:rPr>
          <w:b/>
          <w:bCs/>
          <w:sz w:val="44"/>
          <w:szCs w:val="44"/>
        </w:rPr>
      </w:pPr>
    </w:p>
    <w:p w14:paraId="3A9ACAF3" w14:textId="77777777" w:rsidR="00AC6938" w:rsidRPr="00FE2E36" w:rsidRDefault="00AC6938" w:rsidP="00AC6938">
      <w:pPr>
        <w:pStyle w:val="a0"/>
        <w:numPr>
          <w:ilvl w:val="0"/>
          <w:numId w:val="9"/>
        </w:numPr>
        <w:rPr>
          <w:b/>
          <w:bCs/>
          <w:sz w:val="44"/>
          <w:szCs w:val="44"/>
        </w:rPr>
      </w:pPr>
      <w:r w:rsidRPr="00FE2E36">
        <w:rPr>
          <w:b/>
          <w:bCs/>
          <w:sz w:val="44"/>
          <w:szCs w:val="44"/>
        </w:rPr>
        <w:t>Datasets and preprocess</w:t>
      </w:r>
    </w:p>
    <w:p w14:paraId="5F68B121" w14:textId="77777777" w:rsidR="00AC6938" w:rsidRDefault="00AC6938" w:rsidP="00AC6938">
      <w:pPr>
        <w:pStyle w:val="FirstParagraph"/>
      </w:pPr>
      <w:r>
        <w:t>Mohammad et al. </w:t>
      </w:r>
      <w:r>
        <w:fldChar w:fldCharType="begin"/>
      </w:r>
      <w:r>
        <w:instrText xml:space="preserve"> ADDIN EN.CITE &lt;EndNote&gt;&lt;Cite&gt;&lt;Author&gt;Lotfollahi&lt;/Author&gt;&lt;Year&gt;2019&lt;/Year&gt;&lt;RecNum&gt;12&lt;/RecNum&gt;&lt;DisplayText&gt;[8]&lt;/DisplayText&gt;&lt;record&gt;&lt;rec-number&gt;12&lt;/rec-number&gt;&lt;foreign-keys&gt;&lt;key app="EN" db-id="2sf0rtfskvt02yezrxjx90d4f52xet9pdf2w" timestamp="1691704694"&gt;12&lt;/key&gt;&lt;/foreign-keys&gt;&lt;ref-type name="Journal Article"&gt;17&lt;/ref-type&gt;&lt;contributors&gt;&lt;authors&gt;&lt;author&gt;Lotfollahi, Mohammad&lt;/author&gt;&lt;author&gt;Wolf, F. Alexander&lt;/author&gt;&lt;author&gt;Theis, Fabian J.&lt;/author&gt;&lt;/authors&gt;&lt;/contributors&gt;&lt;titles&gt;&lt;title&gt;scGen predicts single-cell perturbation responses&lt;/title&gt;&lt;secondary-title&gt;Nature Methods&lt;/secondary-title&gt;&lt;/titles&gt;&lt;periodical&gt;&lt;full-title&gt;Nature Methods&lt;/full-title&gt;&lt;/periodical&gt;&lt;pages&gt;715-721&lt;/pages&gt;&lt;volume&gt;16&lt;/volume&gt;&lt;number&gt;8&lt;/number&gt;&lt;dates&gt;&lt;year&gt;2019&lt;/year&gt;&lt;pub-dates&gt;&lt;date&gt;2019/08/01&lt;/date&gt;&lt;/pub-dates&gt;&lt;/dates&gt;&lt;isbn&gt;1548-7105&lt;/isbn&gt;&lt;urls&gt;&lt;related-urls&gt;&lt;url&gt;https://doi.org/10.1038/s41592-019-0494-8&lt;/url&gt;&lt;/related-urls&gt;&lt;/urls&gt;&lt;electronic-resource-num&gt;10.1038/s41592-019-0494-8&lt;/electronic-resource-num&gt;&lt;/record&gt;&lt;/Cite&gt;&lt;/EndNote&gt;</w:instrText>
      </w:r>
      <w:r>
        <w:fldChar w:fldCharType="separate"/>
      </w:r>
      <w:r>
        <w:rPr>
          <w:noProof/>
        </w:rPr>
        <w:t>[8]</w:t>
      </w:r>
      <w:r>
        <w:fldChar w:fldCharType="end"/>
      </w:r>
      <w:r>
        <w:t xml:space="preserve"> included three groups of control and stimulated cells: two groups of PBMC cells, and a group of HPOLY cells. Mohammad et al. preprocessed the data by removing megakaryocytic cells, filtering the cells with a minimum of 500 expressing cells, extracting the top 6998 cells, and log-transforming the original data. All the data are available on </w:t>
      </w:r>
      <w:hyperlink r:id="rId7" w:history="1">
        <w:r w:rsidRPr="00197E9D">
          <w:rPr>
            <w:rStyle w:val="ae"/>
          </w:rPr>
          <w:t>https://github.com/tongtongtot/scperb/tree/master/data</w:t>
        </w:r>
      </w:hyperlink>
      <w:r>
        <w:t>.</w:t>
      </w:r>
    </w:p>
    <w:p w14:paraId="4E602B8F" w14:textId="77777777" w:rsidR="00AC6938" w:rsidRDefault="00AC6938" w:rsidP="00AC6938">
      <w:pPr>
        <w:pStyle w:val="a0"/>
      </w:pPr>
      <w:r>
        <w:t xml:space="preserve">In our model, we performed further data preprocessing to ensure consistency between control and stimulus cells within each cell type. Specifically, for each cell type, we randomly selected an equal number of cells from both the control and stimulated groups and used them to balance the dataset. This data preprocessing step helped us create a more robust and unbiased dataset, enabling accurate and fair comparisons between each cell type’s control and stimulus conditions during subsequent analyses. By doing such data processing, we guarantee that each pair of </w:t>
      </w:r>
      <m:oMath>
        <m:sSup>
          <m:sSupPr>
            <m:ctrlPr>
              <w:rPr>
                <w:rFonts w:ascii="Cambria Math" w:hAnsi="Cambria Math"/>
              </w:rPr>
            </m:ctrlPr>
          </m:sSupPr>
          <m:e>
            <m:r>
              <w:rPr>
                <w:rFonts w:ascii="Cambria Math" w:hAnsi="Cambria Math"/>
              </w:rPr>
              <m:t>X</m:t>
            </m:r>
          </m:e>
          <m:sup>
            <m:r>
              <w:rPr>
                <w:rFonts w:ascii="Cambria Math" w:hAnsi="Cambria Math"/>
              </w:rPr>
              <m:t>ctrl</m:t>
            </m:r>
          </m:sup>
        </m:sSup>
      </m:oMath>
      <w:r>
        <w:t xml:space="preserve"> and </w:t>
      </w:r>
      <m:oMath>
        <m:sSup>
          <m:sSupPr>
            <m:ctrlPr>
              <w:rPr>
                <w:rFonts w:ascii="Cambria Math" w:hAnsi="Cambria Math"/>
              </w:rPr>
            </m:ctrlPr>
          </m:sSupPr>
          <m:e>
            <m:r>
              <w:rPr>
                <w:rFonts w:ascii="Cambria Math" w:hAnsi="Cambria Math"/>
              </w:rPr>
              <m:t>X</m:t>
            </m:r>
          </m:e>
          <m:sup>
            <m:r>
              <w:rPr>
                <w:rFonts w:ascii="Cambria Math" w:hAnsi="Cambria Math"/>
              </w:rPr>
              <m:t>stim</m:t>
            </m:r>
          </m:sup>
        </m:sSup>
      </m:oMath>
      <w:r>
        <w:t xml:space="preserve"> have the same cell type, so the following style transfer process would be valid.</w:t>
      </w:r>
    </w:p>
    <w:p w14:paraId="5A73EE5B" w14:textId="77777777" w:rsidR="00AC6938" w:rsidRPr="00FE2E36" w:rsidRDefault="00AC6938" w:rsidP="00AC6938">
      <w:pPr>
        <w:pStyle w:val="af"/>
        <w:numPr>
          <w:ilvl w:val="0"/>
          <w:numId w:val="9"/>
        </w:numPr>
        <w:ind w:firstLineChars="0"/>
        <w:rPr>
          <w:b/>
          <w:bCs/>
          <w:sz w:val="44"/>
          <w:szCs w:val="44"/>
        </w:rPr>
      </w:pPr>
      <w:bookmarkStart w:id="5" w:name="statistics-and-reproduction"/>
      <w:bookmarkEnd w:id="4"/>
      <w:r w:rsidRPr="00FE2E36">
        <w:rPr>
          <w:b/>
          <w:bCs/>
          <w:sz w:val="44"/>
          <w:szCs w:val="44"/>
        </w:rPr>
        <w:t>Statistics and Reproduction</w:t>
      </w:r>
    </w:p>
    <w:p w14:paraId="2C8BF7FF" w14:textId="77777777" w:rsidR="00AC6938" w:rsidRDefault="00AC6938" w:rsidP="00AC6938">
      <w:pPr>
        <w:pStyle w:val="FirstParagraph"/>
      </w:pPr>
      <w:r>
        <w:t xml:space="preserve">In </w:t>
      </w:r>
      <w:proofErr w:type="spellStart"/>
      <w:r>
        <w:t>scPerb</w:t>
      </w:r>
      <w:proofErr w:type="spellEnd"/>
      <w:r>
        <w:t xml:space="preserve">, we evaluated the performance of our model under a fixed seed of 42 by using the square of the </w:t>
      </w:r>
      <m:oMath>
        <m:sSub>
          <m:sSubPr>
            <m:ctrlPr>
              <w:rPr>
                <w:rFonts w:ascii="Cambria Math" w:hAnsi="Cambria Math"/>
              </w:rPr>
            </m:ctrlPr>
          </m:sSubPr>
          <m:e>
            <m:r>
              <w:rPr>
                <w:rFonts w:ascii="Cambria Math" w:hAnsi="Cambria Math"/>
              </w:rPr>
              <m:t>r</m:t>
            </m:r>
          </m:e>
          <m:sub>
            <m:r>
              <m:rPr>
                <m:sty m:val="p"/>
              </m:rPr>
              <w:rPr>
                <w:rFonts w:ascii="Cambria Math" w:hAnsi="Cambria Math"/>
              </w:rPr>
              <m:t>-</m:t>
            </m:r>
          </m:sub>
        </m:sSub>
        <m:r>
          <w:rPr>
            <w:rFonts w:ascii="Cambria Math" w:hAnsi="Cambria Math"/>
          </w:rPr>
          <m:t>value</m:t>
        </m:r>
      </m:oMath>
      <w:r>
        <w:t xml:space="preserve">, which is calculated by the </w:t>
      </w:r>
      <m:oMath>
        <m:r>
          <w:rPr>
            <w:rFonts w:ascii="Cambria Math" w:hAnsi="Cambria Math"/>
          </w:rPr>
          <m:t>scipy</m:t>
        </m:r>
        <m:r>
          <m:rPr>
            <m:sty m:val="p"/>
          </m:rPr>
          <w:rPr>
            <w:rFonts w:ascii="Cambria Math" w:hAnsi="Cambria Math"/>
          </w:rPr>
          <m:t>.</m:t>
        </m:r>
        <m:r>
          <w:rPr>
            <w:rFonts w:ascii="Cambria Math" w:hAnsi="Cambria Math"/>
          </w:rPr>
          <m:t>stats</m:t>
        </m:r>
        <m:r>
          <m:rPr>
            <m:sty m:val="p"/>
          </m:rPr>
          <w:rPr>
            <w:rFonts w:ascii="Cambria Math" w:hAnsi="Cambria Math"/>
          </w:rPr>
          <m:t>.</m:t>
        </m:r>
        <m:r>
          <w:rPr>
            <w:rFonts w:ascii="Cambria Math" w:hAnsi="Cambria Math"/>
          </w:rPr>
          <m:t>linregress</m:t>
        </m:r>
      </m:oMath>
      <w:r>
        <w:t xml:space="preserve"> function</w:t>
      </w:r>
      <w:r>
        <w:fldChar w:fldCharType="begin"/>
      </w:r>
      <w:r>
        <w:instrText xml:space="preserve"> ADDIN EN.CITE &lt;EndNote&gt;&lt;Cite&gt;&lt;Author&gt;Virtanen&lt;/Author&gt;&lt;Year&gt;2020&lt;/Year&gt;&lt;RecNum&gt;27&lt;/RecNum&gt;&lt;DisplayText&gt;[11]&lt;/DisplayText&gt;&lt;record&gt;&lt;rec-number&gt;27&lt;/rec-number&gt;&lt;foreign-keys&gt;&lt;key app="EN" db-id="2sf0rtfskvt02yezrxjx90d4f52xet9pdf2w" timestamp="1691715261"&gt;27&lt;/key&gt;&lt;/foreign-keys&gt;&lt;ref-type name="Journal Article"&gt;17&lt;/ref-type&gt;&lt;contributors&gt;&lt;authors&gt;&lt;author&gt;Virtanen, Pauli&lt;/author&gt;&lt;author&gt;Gommers, Ralf&lt;/author&gt;&lt;author&gt;Oliphant, Travis E&lt;/author&gt;&lt;author&gt;Haberland, Matt&lt;/author&gt;&lt;author&gt;Reddy, Tyler&lt;/author&gt;&lt;author&gt;Cournapeau, David&lt;/author&gt;&lt;author&gt;Burovski, Evgeni&lt;/author&gt;&lt;author&gt;Peterson, Pearu&lt;/author&gt;&lt;author&gt;Weckesser, Warren&lt;/author&gt;&lt;author&gt;Bright, Jonathan&lt;/author&gt;&lt;/authors&gt;&lt;/contributors&gt;&lt;titles&gt;&lt;title&gt;SciPy 1.0: fundamental algorithms for scientific computing in Python&lt;/title&gt;&lt;secondary-title&gt;Nature methods&lt;/secondary-title&gt;&lt;/titles&gt;&lt;periodical&gt;&lt;full-title&gt;Nature Methods&lt;/full-title&gt;&lt;/periodical&gt;&lt;pages&gt;261-272&lt;/pages&gt;&lt;volume&gt;17&lt;/volume&gt;&lt;number&gt;3&lt;/number&gt;&lt;dates&gt;&lt;year&gt;2020&lt;/year&gt;&lt;/dates&gt;&lt;isbn&gt;1548-7105&lt;/isbn&gt;&lt;urls&gt;&lt;/urls&gt;&lt;/record&gt;&lt;/Cite&gt;&lt;/EndNote&gt;</w:instrText>
      </w:r>
      <w:r>
        <w:fldChar w:fldCharType="separate"/>
      </w:r>
      <w:r>
        <w:rPr>
          <w:noProof/>
        </w:rPr>
        <w:t>[11]</w:t>
      </w:r>
      <w:r>
        <w:fldChar w:fldCharType="end"/>
      </w:r>
      <w:r>
        <w:t xml:space="preserve">. This metric measures the correlation between the generated images </w:t>
      </w:r>
      <w:r>
        <w:lastRenderedPageBreak/>
        <w:t xml:space="preserve">and the ground truth data. We computed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for all genes’ mean and variance and the top 100 Differentially Expressed Genes (DEGs).</w:t>
      </w:r>
    </w:p>
    <w:p w14:paraId="10B5AA70" w14:textId="77777777" w:rsidR="00AC6938" w:rsidRDefault="00AC6938" w:rsidP="00AC6938">
      <w:pPr>
        <w:pStyle w:val="a0"/>
      </w:pPr>
      <w:r>
        <w:t>To understand the model’s results visually, we created scatter plots comparing the generated images to the corresponding ground truth data. This graph allowed us to observe how well the model’s predictions aligned with the actual values.</w:t>
      </w:r>
    </w:p>
    <w:p w14:paraId="24583207" w14:textId="77777777" w:rsidR="00AC6938" w:rsidRDefault="00AC6938" w:rsidP="00AC6938">
      <w:pPr>
        <w:pStyle w:val="a0"/>
      </w:pPr>
      <w:r>
        <w:t xml:space="preserve">Additionally, we investigated the differences between the generated images and the ground truth data for the top DEG using a violin plot. The DEGs were identified using the </w:t>
      </w:r>
      <m:oMath>
        <m:r>
          <w:rPr>
            <w:rFonts w:ascii="Cambria Math" w:hAnsi="Cambria Math"/>
          </w:rPr>
          <m:t>scanpy</m:t>
        </m:r>
        <m:r>
          <m:rPr>
            <m:sty m:val="p"/>
          </m:rPr>
          <w:rPr>
            <w:rFonts w:ascii="Cambria Math" w:hAnsi="Cambria Math"/>
          </w:rPr>
          <m:t>.</m:t>
        </m:r>
        <m:r>
          <w:rPr>
            <w:rFonts w:ascii="Cambria Math" w:hAnsi="Cambria Math"/>
          </w:rPr>
          <m:t>tl</m:t>
        </m:r>
        <m:r>
          <m:rPr>
            <m:sty m:val="p"/>
          </m:rPr>
          <w:rPr>
            <w:rFonts w:ascii="Cambria Math" w:hAnsi="Cambria Math"/>
          </w:rPr>
          <m:t>.</m:t>
        </m:r>
        <m:r>
          <w:rPr>
            <w:rFonts w:ascii="Cambria Math" w:hAnsi="Cambria Math"/>
          </w:rPr>
          <m:t>ran</m:t>
        </m:r>
        <m:sSub>
          <m:sSubPr>
            <m:ctrlPr>
              <w:rPr>
                <w:rFonts w:ascii="Cambria Math" w:hAnsi="Cambria Math"/>
              </w:rPr>
            </m:ctrlPr>
          </m:sSubPr>
          <m:e>
            <m:r>
              <w:rPr>
                <w:rFonts w:ascii="Cambria Math" w:hAnsi="Cambria Math"/>
              </w:rPr>
              <m:t>k</m:t>
            </m:r>
          </m:e>
          <m:sub>
            <m:r>
              <m:rPr>
                <m:sty m:val="p"/>
              </m:rPr>
              <w:rPr>
                <w:rFonts w:ascii="Cambria Math" w:hAnsi="Cambria Math"/>
              </w:rPr>
              <m:t>-</m:t>
            </m:r>
          </m:sub>
        </m:sSub>
        <m:r>
          <w:rPr>
            <w:rFonts w:ascii="Cambria Math" w:hAnsi="Cambria Math"/>
          </w:rPr>
          <m:t>gene</m:t>
        </m:r>
        <m:sSub>
          <m:sSubPr>
            <m:ctrlPr>
              <w:rPr>
                <w:rFonts w:ascii="Cambria Math" w:hAnsi="Cambria Math"/>
              </w:rPr>
            </m:ctrlPr>
          </m:sSubPr>
          <m:e>
            <m:r>
              <w:rPr>
                <w:rFonts w:ascii="Cambria Math" w:hAnsi="Cambria Math"/>
              </w:rPr>
              <m:t>s</m:t>
            </m:r>
          </m:e>
          <m:sub>
            <m:r>
              <m:rPr>
                <m:sty m:val="p"/>
              </m:rPr>
              <w:rPr>
                <w:rFonts w:ascii="Cambria Math" w:hAnsi="Cambria Math"/>
              </w:rPr>
              <m:t>-</m:t>
            </m:r>
          </m:sub>
        </m:sSub>
        <m:r>
          <w:rPr>
            <w:rFonts w:ascii="Cambria Math" w:hAnsi="Cambria Math"/>
          </w:rPr>
          <m:t>groups</m:t>
        </m:r>
      </m:oMath>
      <w:r>
        <w:fldChar w:fldCharType="begin"/>
      </w:r>
      <w:r>
        <w:instrText xml:space="preserve"> ADDIN EN.CITE &lt;EndNote&gt;&lt;Cite&gt;&lt;Author&gt;Wolf&lt;/Author&gt;&lt;Year&gt;2018&lt;/Year&gt;&lt;RecNum&gt;11&lt;/RecNum&gt;&lt;DisplayText&gt;[12]&lt;/DisplayText&gt;&lt;record&gt;&lt;rec-number&gt;11&lt;/rec-number&gt;&lt;foreign-keys&gt;&lt;key app="EN" db-id="2sf0rtfskvt02yezrxjx90d4f52xet9pdf2w" timestamp="1691704694"&gt;11&lt;/key&gt;&lt;/foreign-keys&gt;&lt;ref-type name="Journal Article"&gt;17&lt;/ref-type&gt;&lt;contributors&gt;&lt;authors&gt;&lt;author&gt;Wolf, F Alexander&lt;/author&gt;&lt;author&gt;Angerer, Philipp&lt;/author&gt;&lt;author&gt;Theis, Fabian J&lt;/author&gt;&lt;/authors&gt;&lt;/contributors&gt;&lt;titles&gt;&lt;title&gt;SCANPY: large-scale single-cell gene expression data analysis&lt;/title&gt;&lt;secondary-title&gt;Genome biology&lt;/secondary-title&gt;&lt;/titles&gt;&lt;periodical&gt;&lt;full-title&gt;Genome biology&lt;/full-title&gt;&lt;/periodical&gt;&lt;pages&gt;1-5&lt;/pages&gt;&lt;volume&gt;19&lt;/volume&gt;&lt;dates&gt;&lt;year&gt;2018&lt;/year&gt;&lt;/dates&gt;&lt;urls&gt;&lt;/urls&gt;&lt;/record&gt;&lt;/Cite&gt;&lt;/EndNote&gt;</w:instrText>
      </w:r>
      <w:r>
        <w:fldChar w:fldCharType="separate"/>
      </w:r>
      <w:r>
        <w:rPr>
          <w:noProof/>
        </w:rPr>
        <w:t>[12]</w:t>
      </w:r>
      <w:r>
        <w:fldChar w:fldCharType="end"/>
      </w:r>
      <w:r>
        <w:t xml:space="preserve"> function, employing the Wilcoxon method</w:t>
      </w:r>
      <w:r>
        <w:fldChar w:fldCharType="begin"/>
      </w:r>
      <w:r>
        <w:instrText xml:space="preserve"> ADDIN EN.CITE &lt;EndNote&gt;&lt;Cite&gt;&lt;Author&gt;Cuzick&lt;/Author&gt;&lt;Year&gt;1985&lt;/Year&gt;&lt;RecNum&gt;16&lt;/RecNum&gt;&lt;DisplayText&gt;[13]&lt;/DisplayText&gt;&lt;record&gt;&lt;rec-number&gt;16&lt;/rec-number&gt;&lt;foreign-keys&gt;&lt;key app="EN" db-id="2sf0rtfskvt02yezrxjx90d4f52xet9pdf2w" timestamp="1691713250"&gt;16&lt;/</w:instrText>
      </w:r>
      <w:r>
        <w:rPr>
          <w:rFonts w:hint="eastAsia"/>
        </w:rPr>
        <w:instrText>key&gt;&lt;/foreign-keys&gt;&lt;ref-type name="Journal Article"&gt;17&lt;/ref-type&gt;&lt;contributors&gt;&lt;authors&gt;&lt;author&gt;Cuzick, Jack&lt;/author&gt;&lt;/authors&gt;&lt;/contributors&gt;&lt;titles&gt;&lt;title&gt;A Wilcoxon</w:instrText>
      </w:r>
      <w:r>
        <w:rPr>
          <w:rFonts w:hint="eastAsia"/>
        </w:rPr>
        <w:instrText>‐</w:instrText>
      </w:r>
      <w:r>
        <w:rPr>
          <w:rFonts w:hint="eastAsia"/>
        </w:rPr>
        <w:instrText>type test for trend&lt;/title&gt;&lt;secondary-title&gt;Statistics in medicine&lt;/secondary-title&gt;&lt;/t</w:instrText>
      </w:r>
      <w: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Pr>
          <w:noProof/>
        </w:rPr>
        <w:t>[13]</w:t>
      </w:r>
      <w:r>
        <w:fldChar w:fldCharType="end"/>
      </w:r>
      <w:r>
        <w:t>.</w:t>
      </w:r>
    </w:p>
    <w:p w14:paraId="6683F7E1" w14:textId="77777777" w:rsidR="00AC6938" w:rsidRDefault="00AC6938" w:rsidP="00AC6938">
      <w:pPr>
        <w:pStyle w:val="a0"/>
      </w:pPr>
      <w:r>
        <w:t xml:space="preserve">Through these analyses, we aimed to assess the accuracy and performance of our </w:t>
      </w:r>
      <w:proofErr w:type="spellStart"/>
      <w:r>
        <w:t>ScPerb</w:t>
      </w:r>
      <w:proofErr w:type="spellEnd"/>
      <w:r>
        <w:t xml:space="preserve"> model in generating realistic images based on the input gene expression data. The evaluation of</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R</m:t>
            </m:r>
          </m:e>
          <m:sup>
            <m:r>
              <m:rPr>
                <m:sty m:val="p"/>
              </m:rPr>
              <w:rPr>
                <w:rFonts w:ascii="Cambria Math" w:hAnsi="Cambria Math"/>
              </w:rPr>
              <m:t>2</m:t>
            </m:r>
          </m:sup>
        </m:sSup>
      </m:oMath>
      <w:r>
        <w:t xml:space="preserve"> values and the visualization of the scatter and violin plots provided valuable insights into the model’s capabilities and highlighted any discrepancies between the generated and true data for further investigation.</w:t>
      </w:r>
      <w:bookmarkStart w:id="6" w:name="results"/>
      <w:bookmarkEnd w:id="5"/>
      <w:r>
        <w:t xml:space="preserve"> </w:t>
      </w:r>
    </w:p>
    <w:p w14:paraId="6FC95B8F" w14:textId="77777777" w:rsidR="00AC6938" w:rsidRDefault="00AC6938" w:rsidP="00AC6938">
      <w:pPr>
        <w:pStyle w:val="a0"/>
      </w:pPr>
    </w:p>
    <w:p w14:paraId="1ACA8193" w14:textId="77777777" w:rsidR="00AC6938" w:rsidRPr="00061C09" w:rsidRDefault="00AC6938" w:rsidP="00AC6938">
      <w:pPr>
        <w:pStyle w:val="a0"/>
        <w:numPr>
          <w:ilvl w:val="0"/>
          <w:numId w:val="9"/>
        </w:numPr>
        <w:rPr>
          <w:b/>
          <w:bCs/>
          <w:sz w:val="44"/>
          <w:szCs w:val="44"/>
        </w:rPr>
      </w:pPr>
      <w:r w:rsidRPr="00061C09">
        <w:rPr>
          <w:rFonts w:hint="eastAsia"/>
          <w:b/>
          <w:bCs/>
          <w:sz w:val="44"/>
          <w:szCs w:val="44"/>
        </w:rPr>
        <w:t>R</w:t>
      </w:r>
      <w:r w:rsidRPr="00061C09">
        <w:rPr>
          <w:b/>
          <w:bCs/>
          <w:sz w:val="44"/>
          <w:szCs w:val="44"/>
        </w:rPr>
        <w:t>esults</w:t>
      </w:r>
    </w:p>
    <w:p w14:paraId="65D9AB5C" w14:textId="77777777" w:rsidR="00AC6938" w:rsidRDefault="00AC6938" w:rsidP="00AC6938">
      <w:pPr>
        <w:pStyle w:val="a0"/>
        <w:rPr>
          <w:sz w:val="32"/>
          <w:szCs w:val="32"/>
        </w:rPr>
      </w:pPr>
      <w:r>
        <w:rPr>
          <w:noProof/>
        </w:rPr>
        <w:drawing>
          <wp:inline distT="0" distB="0" distL="0" distR="0" wp14:anchorId="66629959" wp14:editId="6FA1E10B">
            <wp:extent cx="5334000" cy="2818677"/>
            <wp:effectExtent l="0" t="0" r="0" b="0"/>
            <wp:docPr id="27" name="Picture" descr="image-20230807215714466"/>
            <wp:cNvGraphicFramePr/>
            <a:graphic xmlns:a="http://schemas.openxmlformats.org/drawingml/2006/main">
              <a:graphicData uri="http://schemas.openxmlformats.org/drawingml/2006/picture">
                <pic:pic xmlns:pic="http://schemas.openxmlformats.org/drawingml/2006/picture">
                  <pic:nvPicPr>
                    <pic:cNvPr id="28" name="Picture" descr="/Users/tongtongtot/Library/Application%20Support/typora-user-images/image-20230807215714466.png"/>
                    <pic:cNvPicPr>
                      <a:picLocks noChangeAspect="1" noChangeArrowheads="1"/>
                    </pic:cNvPicPr>
                  </pic:nvPicPr>
                  <pic:blipFill>
                    <a:blip r:embed="rId8"/>
                    <a:stretch>
                      <a:fillRect/>
                    </a:stretch>
                  </pic:blipFill>
                  <pic:spPr bwMode="auto">
                    <a:xfrm>
                      <a:off x="0" y="0"/>
                      <a:ext cx="5334000" cy="2818677"/>
                    </a:xfrm>
                    <a:prstGeom prst="rect">
                      <a:avLst/>
                    </a:prstGeom>
                    <a:noFill/>
                    <a:ln w="9525">
                      <a:noFill/>
                      <a:headEnd/>
                      <a:tailEnd/>
                    </a:ln>
                  </pic:spPr>
                </pic:pic>
              </a:graphicData>
            </a:graphic>
          </wp:inline>
        </w:drawing>
      </w:r>
      <w:bookmarkStart w:id="7" w:name="X8413851427e63b698c6e4060b7879dd4e97734a"/>
    </w:p>
    <w:p w14:paraId="6A8FC2C8" w14:textId="4EB42D41" w:rsidR="00AC6938" w:rsidRDefault="00A10E90" w:rsidP="00AC6938">
      <w:pPr>
        <w:pStyle w:val="a0"/>
      </w:pPr>
      <w:r>
        <w:rPr>
          <w:sz w:val="32"/>
          <w:szCs w:val="32"/>
        </w:rPr>
        <w:t>5</w:t>
      </w:r>
      <w:r w:rsidR="00AC6938" w:rsidRPr="00061C09">
        <w:rPr>
          <w:sz w:val="32"/>
          <w:szCs w:val="32"/>
        </w:rPr>
        <w:t xml:space="preserve">.1 </w:t>
      </w:r>
      <w:proofErr w:type="spellStart"/>
      <w:r w:rsidR="00AC6938" w:rsidRPr="00061C09">
        <w:rPr>
          <w:sz w:val="32"/>
          <w:szCs w:val="32"/>
        </w:rPr>
        <w:t>scPerb</w:t>
      </w:r>
      <w:proofErr w:type="spellEnd"/>
      <w:r w:rsidR="00AC6938" w:rsidRPr="00061C09">
        <w:rPr>
          <w:sz w:val="32"/>
          <w:szCs w:val="32"/>
        </w:rPr>
        <w:t xml:space="preserve"> is an innovative generative model that can accurately predict single-cell perturbation responses.</w:t>
      </w:r>
    </w:p>
    <w:p w14:paraId="66096FB6" w14:textId="675C270C" w:rsidR="00AC6938" w:rsidRPr="00BF1B62" w:rsidRDefault="00AC6938" w:rsidP="00AC6938">
      <w:pPr>
        <w:pStyle w:val="a0"/>
      </w:pPr>
      <w:r>
        <w:t xml:space="preserve">To demonstrate the performance of </w:t>
      </w:r>
      <w:proofErr w:type="spellStart"/>
      <w:r>
        <w:t>scPerb</w:t>
      </w:r>
      <w:proofErr w:type="spellEnd"/>
      <w:r>
        <w:t>, we applied it to three datasets. Among these three datasets, two of them are two groups of published human peripheral blood mononuclear cells (PBMC) datasets</w:t>
      </w:r>
      <w:r>
        <w:fldChar w:fldCharType="begin">
          <w:fldData xml:space="preserve">PEVuZE5vdGU+PENpdGU+PEF1dGhvcj5LYW5nPC9BdXRob3I+PFllYXI+MjAxODwvWWVhcj48UmVj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</w:fldData>
        </w:fldChar>
      </w:r>
      <w:r w:rsidR="00264AD4">
        <w:instrText xml:space="preserve"> ADDIN EN.CITE </w:instrText>
      </w:r>
      <w:r w:rsidR="00264AD4">
        <w:fldChar w:fldCharType="begin">
          <w:fldData xml:space="preserve">PEVuZE5vdGU+PENpdGU+PEF1dGhvcj5LYW5nPC9BdXRob3I+PFllYXI+MjAxODwvWWVhcj48UmVj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</w:fldData>
        </w:fldChar>
      </w:r>
      <w:r w:rsidR="00264AD4">
        <w:instrText xml:space="preserve"> ADDIN EN.CITE.DATA </w:instrText>
      </w:r>
      <w:r w:rsidR="00264AD4">
        <w:fldChar w:fldCharType="end"/>
      </w:r>
      <w:r>
        <w:fldChar w:fldCharType="separate"/>
      </w:r>
      <w:r w:rsidR="00264AD4">
        <w:rPr>
          <w:noProof/>
        </w:rPr>
        <w:t>[1, 14]</w:t>
      </w:r>
      <w:r>
        <w:fldChar w:fldCharType="end"/>
      </w:r>
      <w:r>
        <w:t xml:space="preserve"> stimulated with interferon (</w:t>
      </w:r>
      <m:oMath>
        <m:r>
          <w:rPr>
            <w:rFonts w:ascii="Cambria Math" w:hAnsi="Cambria Math"/>
          </w:rPr>
          <m:t>IFN</m:t>
        </m:r>
        <m:r>
          <m:rPr>
            <m:sty m:val="p"/>
          </m:rPr>
          <w:rPr>
            <w:rFonts w:ascii="Cambria Math" w:hAnsi="Cambria Math"/>
          </w:rPr>
          <m:t>-</m:t>
        </m:r>
        <m:r>
          <w:rPr>
            <w:rFonts w:ascii="Cambria Math" w:hAnsi="Cambria Math"/>
          </w:rPr>
          <m:t>β</m:t>
        </m:r>
      </m:oMath>
      <w:r>
        <w:t>) methods, and the rest is a group of intestinal epithelial cells fetched by parasitic helminth H.poly cells</w:t>
      </w:r>
      <w:r>
        <w:fldChar w:fldCharType="begin"/>
      </w:r>
      <w:r>
        <w:instrText xml:space="preserve"> ADDIN EN.CITE &lt;EndNote&gt;&lt;Cite&gt;&lt;Author&gt;Haber&lt;/Author&gt;&lt;Year&gt;2017&lt;/Year&gt;&lt;RecNum&gt;8&lt;/RecNum&gt;&lt;DisplayText&gt;[2]&lt;/DisplayText&gt;&lt;record&gt;&lt;rec-number&gt;8&lt;/rec-number&gt;&lt;foreign-keys&gt;&lt;key app="EN" db-id="2sf0rtfskvt02yezrxjx90d4f52xet9pdf2w" timestamp="1691704693"&gt;8&lt;/key&gt;&lt;/foreign-keys&gt;&lt;ref-type name="Journal Article"&gt;17&lt;/ref-type&gt;&lt;contributors&gt;&lt;authors&gt;&lt;author&gt;Haber, Adam L&lt;/author&gt;&lt;author&gt;Biton, Moshe&lt;/author&gt;&lt;author&gt;Rogel, Noga&lt;/author&gt;&lt;author&gt;Herbst, Rebecca H&lt;/author&gt;&lt;author&gt;Shekhar, Karthik&lt;/author&gt;&lt;author&gt;Smillie, Christopher&lt;/author&gt;&lt;author&gt;Burgin, Grace&lt;/author&gt;&lt;author&gt;Delorey, Toni M&lt;/author&gt;&lt;author&gt;Howitt, Michael R&lt;/author&gt;&lt;author&gt;Katz, Yarden&lt;/author&gt;&lt;/authors&gt;&lt;/contributors&gt;&lt;titles&gt;&lt;title&gt;A single-cell survey of the small intestinal epithelium&lt;/title&gt;&lt;secondary-title&gt;Nature&lt;/secondary-title&gt;&lt;/titles&gt;&lt;periodical&gt;&lt;full-title&gt;Nature&lt;/full-title&gt;&lt;/periodical&gt;&lt;pages&gt;333-339&lt;/pages&gt;&lt;volume&gt;551&lt;/volume&gt;&lt;number&gt;7680&lt;/number&gt;&lt;dates&gt;&lt;year&gt;2017&lt;/year&gt;&lt;/dates&gt;&lt;isbn&gt;0028-0836&lt;/isbn&gt;&lt;urls&gt;&lt;/urls&gt;&lt;/record&gt;&lt;/Cite&gt;&lt;/EndNote&gt;</w:instrText>
      </w:r>
      <w:r>
        <w:fldChar w:fldCharType="separate"/>
      </w:r>
      <w:r>
        <w:rPr>
          <w:noProof/>
        </w:rPr>
        <w:t>[2]</w:t>
      </w:r>
      <w:r>
        <w:fldChar w:fldCharType="end"/>
      </w:r>
      <w:r>
        <w:t xml:space="preserve">. We fairly compared our proposed </w:t>
      </w:r>
      <w:proofErr w:type="spellStart"/>
      <w:r>
        <w:t>scPerb</w:t>
      </w:r>
      <w:proofErr w:type="spellEnd"/>
      <w:r>
        <w:t xml:space="preserve"> with other </w:t>
      </w:r>
      <w:r>
        <w:lastRenderedPageBreak/>
        <w:t xml:space="preserve">benchmarking papers </w:t>
      </w:r>
      <w:r>
        <w:fldChar w:fldCharType="begin">
          <w:fldData xml:space="preserve">PEVuZE5vdGU+PENpdGU+PEF1dGhvcj5Mb3Rmb2xsYWhpPC9BdXRob3I+PFllYXI+MjAxOTwvWWVh
cj48UmVjTnVtPjEyPC9SZWNOdW0+PERpc3BsYXlUZXh0Pls2LTldPC9EaXNwbGF5VGV4dD48cmVj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instrText xml:space="preserve"> ADDIN EN.CITE </w:instrText>
      </w:r>
      <w:r>
        <w:fldChar w:fldCharType="begin">
          <w:fldData xml:space="preserve">PEVuZE5vdGU+PENpdGU+PEF1dGhvcj5Mb3Rmb2xsYWhpPC9BdXRob3I+PFllYXI+MjAxOTwvWWVh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</w:fldData>
        </w:fldChar>
      </w:r>
      <w:r>
        <w:instrText xml:space="preserve"> ADDIN EN.CITE.DATA </w:instrText>
      </w:r>
      <w:r>
        <w:fldChar w:fldCharType="end"/>
      </w:r>
      <w:r>
        <w:fldChar w:fldCharType="separate"/>
      </w:r>
      <w:r>
        <w:rPr>
          <w:noProof/>
        </w:rPr>
        <w:t>[6-9]</w:t>
      </w:r>
      <w:r>
        <w:fldChar w:fldCharType="end"/>
      </w:r>
      <w:r>
        <w:t xml:space="preserve">. In this process, we first run all the cell types of one dataset in each model and combine the results for further processing. Then, we compare the prediction of all the methods with the ground truth, and the stimulation cells in the dataset, and get a final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score. Compared to all the other methods including scGEN, CVAE, style-transfer GAN, and </w:t>
      </w:r>
      <w:proofErr w:type="spellStart"/>
      <w:r>
        <w:t>sc</w:t>
      </w:r>
      <w:proofErr w:type="spellEnd"/>
      <w:r>
        <w:t xml:space="preserve">-WGAN, the predictions of </w:t>
      </w:r>
      <w:proofErr w:type="spellStart"/>
      <w:r>
        <w:t>scPerb</w:t>
      </w:r>
      <w:proofErr w:type="spellEnd"/>
      <w:r>
        <w:t xml:space="preserve"> are the most correlated with the cell types in the </w:t>
      </w:r>
      <w:r>
        <w:rPr>
          <w:rFonts w:hint="eastAsia"/>
          <w:lang w:eastAsia="zh-CN"/>
        </w:rPr>
        <w:t>simulation</w:t>
      </w:r>
      <w:r>
        <w:t xml:space="preserve"> dataset. In the published human peripheral blood mononuclear cells (PBMC) dataset, </w:t>
      </w:r>
      <w:proofErr w:type="spellStart"/>
      <w:r>
        <w:t>scPerb</w:t>
      </w:r>
      <w:proofErr w:type="spellEnd"/>
      <w:r>
        <w:t xml:space="preserve"> gain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 of 0.98, while scGEN and CVAE only achieved 0.94 and 0.93 respectively. Moreover, both GAN-based methods style-transfer GAN and </w:t>
      </w:r>
      <w:proofErr w:type="spellStart"/>
      <w:r>
        <w:t>sc</w:t>
      </w:r>
      <w:proofErr w:type="spellEnd"/>
      <w:r>
        <w:t xml:space="preserve">-WGAN poorly predicted the perturbation response, resulting in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values of 0.39 and 0.10 accordingly. In conclusion, </w:t>
      </w:r>
      <w:proofErr w:type="spellStart"/>
      <w:r>
        <w:t>scPerb</w:t>
      </w:r>
      <w:proofErr w:type="spellEnd"/>
      <w:r>
        <w:t xml:space="preserve"> best correlates the stimulation cells among all the other benchmarking methods.</w:t>
      </w:r>
      <w:bookmarkStart w:id="8" w:name="scperb-outperforms-other-benchmarkers"/>
      <w:bookmarkEnd w:id="7"/>
    </w:p>
    <w:p w14:paraId="130F9055" w14:textId="77777777" w:rsidR="00AC6938" w:rsidRDefault="00AC6938" w:rsidP="00AC6938">
      <w:pPr>
        <w:rPr>
          <w:sz w:val="32"/>
          <w:szCs w:val="32"/>
        </w:rPr>
      </w:pPr>
      <w:r w:rsidRPr="00BF1B62">
        <w:rPr>
          <w:noProof/>
          <w:sz w:val="32"/>
          <w:szCs w:val="32"/>
          <w:lang w:eastAsia="zh-CN"/>
        </w:rPr>
        <w:drawing>
          <wp:inline distT="0" distB="0" distL="0" distR="0" wp14:anchorId="30434A8C" wp14:editId="208FB7E6">
            <wp:extent cx="5486400" cy="30829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2925"/>
                    </a:xfrm>
                    <a:prstGeom prst="rect">
                      <a:avLst/>
                    </a:prstGeom>
                  </pic:spPr>
                </pic:pic>
              </a:graphicData>
            </a:graphic>
          </wp:inline>
        </w:drawing>
      </w:r>
    </w:p>
    <w:p w14:paraId="5720BFFB" w14:textId="31591935" w:rsidR="00AC6938" w:rsidRPr="00D422EB" w:rsidRDefault="00A10E90" w:rsidP="00AC6938">
      <w:pPr>
        <w:rPr>
          <w:sz w:val="32"/>
          <w:szCs w:val="32"/>
        </w:rPr>
      </w:pPr>
      <w:r>
        <w:rPr>
          <w:sz w:val="32"/>
          <w:szCs w:val="32"/>
        </w:rPr>
        <w:t>5</w:t>
      </w:r>
      <w:r w:rsidR="00AC6938">
        <w:rPr>
          <w:sz w:val="32"/>
          <w:szCs w:val="32"/>
        </w:rPr>
        <w:t xml:space="preserve">.2 </w:t>
      </w:r>
      <w:proofErr w:type="spellStart"/>
      <w:r w:rsidR="00AC6938" w:rsidRPr="00D422EB">
        <w:rPr>
          <w:sz w:val="32"/>
          <w:szCs w:val="32"/>
        </w:rPr>
        <w:t>scPerb</w:t>
      </w:r>
      <w:proofErr w:type="spellEnd"/>
      <w:r w:rsidR="00AC6938" w:rsidRPr="00D422EB">
        <w:rPr>
          <w:sz w:val="32"/>
          <w:szCs w:val="32"/>
        </w:rPr>
        <w:t xml:space="preserve"> outperforms other benchmarks</w:t>
      </w:r>
    </w:p>
    <w:p w14:paraId="1E71D561" w14:textId="77777777" w:rsidR="00AC6938" w:rsidRDefault="00AC6938" w:rsidP="00AC6938">
      <w:pPr>
        <w:pStyle w:val="FirstParagraph"/>
      </w:pPr>
      <w:r>
        <w:t xml:space="preserve">In the </w:t>
      </w:r>
      <w:r w:rsidRPr="005F447C">
        <w:rPr>
          <w:color w:val="FF0000"/>
        </w:rPr>
        <w:t>Stud</w:t>
      </w:r>
      <w:r>
        <w:rPr>
          <w:rFonts w:hint="eastAsia"/>
          <w:color w:val="FF0000"/>
          <w:lang w:eastAsia="zh-CN"/>
        </w:rPr>
        <w:t>y</w:t>
      </w:r>
      <w:r>
        <w:rPr>
          <w:color w:val="FF0000"/>
        </w:rPr>
        <w:t>“</w:t>
      </w:r>
      <w:r>
        <w:rPr>
          <w:rFonts w:hint="eastAsia"/>
          <w:color w:val="FF0000"/>
          <w:lang w:eastAsia="zh-CN"/>
        </w:rPr>
        <w:t>命名有问题</w:t>
      </w:r>
      <w:r>
        <w:rPr>
          <w:color w:val="FF0000"/>
        </w:rPr>
        <w:t>”</w:t>
      </w:r>
      <w:r>
        <w:t xml:space="preserve"> dataset (Fig2 (a)), we measure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all cell types. Each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reflected the specific correlation score between the prediction and the real stimulation cell type. </w:t>
      </w:r>
      <w:proofErr w:type="spellStart"/>
      <w:r>
        <w:t>scPerb</w:t>
      </w:r>
      <w:proofErr w:type="spellEnd"/>
      <w:r>
        <w:t xml:space="preserve"> achieved a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0.98, which is higher than the second-best benchmarking </w:t>
      </w:r>
      <w:proofErr w:type="spellStart"/>
      <w:r>
        <w:t>scGEN</w:t>
      </w:r>
      <w:proofErr w:type="spellEnd"/>
      <w:r>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0.94</m:t>
        </m:r>
      </m:oMath>
      <w:r>
        <w:t xml:space="preserve">) and the third-best </w:t>
      </w:r>
      <w:r>
        <w:rPr>
          <w:rFonts w:hint="eastAsia"/>
          <w:lang w:eastAsia="zh-CN"/>
        </w:rPr>
        <w:t>benchmarking</w:t>
      </w:r>
      <w:r>
        <w:t xml:space="preserve"> CVAE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0.93</m:t>
        </m:r>
      </m:oMath>
      <w:r>
        <w:t xml:space="preserve">). Surprisingly, the GAN-based methods had much worse performance. The </w:t>
      </w:r>
      <w:proofErr w:type="spellStart"/>
      <w:r>
        <w:t>stGAN</w:t>
      </w:r>
      <w:proofErr w:type="spellEnd"/>
      <w:r>
        <w:t xml:space="preserve"> and </w:t>
      </w:r>
      <w:proofErr w:type="spellStart"/>
      <w:r>
        <w:t>sc</w:t>
      </w:r>
      <w:proofErr w:type="spellEnd"/>
      <w:r>
        <w:t xml:space="preserve">-WGAN only have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0.39</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0.10</m:t>
        </m:r>
      </m:oMath>
      <w:r>
        <w:t xml:space="preserve"> accordingly. When comparing the performance with a specific cell type </w:t>
      </w:r>
      <m:oMath>
        <m:r>
          <w:rPr>
            <w:rFonts w:ascii="Cambria Math" w:hAnsi="Cambria Math"/>
          </w:rPr>
          <m:t>CD4-T</m:t>
        </m:r>
      </m:oMath>
      <w:r>
        <w:t xml:space="preserve">, scPerb achieved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=0.99, followed by scGEN and CVAE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0.95</m:t>
        </m:r>
      </m:oMath>
      <w:r>
        <w:t xml:space="preserve">. stGAN and sc-wGAN had poor performance, with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0.16</m:t>
        </m:r>
      </m:oMath>
      <w:r>
        <w:t xml:space="preserve">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0.09</m:t>
        </m:r>
      </m:oMath>
      <w:r>
        <w:t>.</w:t>
      </w:r>
    </w:p>
    <w:p w14:paraId="1013B1DF" w14:textId="77777777" w:rsidR="00AC6938" w:rsidRDefault="00AC6938" w:rsidP="00AC6938">
      <w:pPr>
        <w:pStyle w:val="a0"/>
      </w:pPr>
      <w:r>
        <w:t xml:space="preserve">Moreover, we inspected the correlation of a specific gene expression among the benchmarking papers. </w:t>
      </w:r>
      <m:oMath>
        <m:r>
          <w:rPr>
            <w:rFonts w:ascii="Cambria Math" w:hAnsi="Cambria Math"/>
          </w:rPr>
          <m:t>FTL</m:t>
        </m:r>
      </m:oMath>
      <w:r>
        <w:t xml:space="preserve"> is </w:t>
      </w:r>
      <w:r>
        <w:rPr>
          <w:b/>
          <w:bCs/>
        </w:rPr>
        <w:t>“</w:t>
      </w:r>
      <w:r w:rsidRPr="00AA26B1">
        <w:rPr>
          <w:b/>
          <w:bCs/>
          <w:color w:val="FF0000"/>
        </w:rPr>
        <w:t>the relation between FTL and CD4T, need refers</w:t>
      </w:r>
      <w:r>
        <w:rPr>
          <w:rFonts w:hint="eastAsia"/>
          <w:b/>
          <w:bCs/>
          <w:color w:val="FF0000"/>
          <w:lang w:eastAsia="zh-CN"/>
        </w:rPr>
        <w:t xml:space="preserve"> </w:t>
      </w:r>
      <w:r>
        <w:rPr>
          <w:rFonts w:hint="eastAsia"/>
          <w:b/>
          <w:bCs/>
          <w:color w:val="FF0000"/>
          <w:lang w:eastAsia="zh-CN"/>
        </w:rPr>
        <w:t>需要</w:t>
      </w:r>
      <w:r>
        <w:rPr>
          <w:rFonts w:hint="eastAsia"/>
          <w:b/>
          <w:bCs/>
          <w:color w:val="FF0000"/>
          <w:lang w:eastAsia="zh-CN"/>
        </w:rPr>
        <w:t>F</w:t>
      </w:r>
      <w:r>
        <w:rPr>
          <w:b/>
          <w:bCs/>
          <w:color w:val="FF0000"/>
          <w:lang w:eastAsia="zh-CN"/>
        </w:rPr>
        <w:t>TL</w:t>
      </w:r>
      <w:r>
        <w:rPr>
          <w:rFonts w:hint="eastAsia"/>
          <w:b/>
          <w:bCs/>
          <w:color w:val="FF0000"/>
          <w:lang w:eastAsia="zh-CN"/>
        </w:rPr>
        <w:t>和</w:t>
      </w:r>
      <w:r>
        <w:rPr>
          <w:rFonts w:hint="eastAsia"/>
          <w:b/>
          <w:bCs/>
          <w:color w:val="FF0000"/>
          <w:lang w:eastAsia="zh-CN"/>
        </w:rPr>
        <w:t>C</w:t>
      </w:r>
      <w:r>
        <w:rPr>
          <w:b/>
          <w:bCs/>
          <w:color w:val="FF0000"/>
          <w:lang w:eastAsia="zh-CN"/>
        </w:rPr>
        <w:t>D4T</w:t>
      </w:r>
      <w:r>
        <w:rPr>
          <w:rFonts w:hint="eastAsia"/>
          <w:b/>
          <w:bCs/>
          <w:color w:val="FF0000"/>
          <w:lang w:eastAsia="zh-CN"/>
        </w:rPr>
        <w:t>对应的参考文献</w:t>
      </w:r>
      <w:r>
        <w:rPr>
          <w:rFonts w:hint="eastAsia"/>
          <w:b/>
          <w:bCs/>
          <w:lang w:eastAsia="zh-CN"/>
        </w:rPr>
        <w:t>”</w:t>
      </w:r>
      <w:r>
        <w:t xml:space="preserve">. In our dataset (Fig2 (e)), the gene </w:t>
      </w:r>
      <w:r>
        <w:lastRenderedPageBreak/>
        <w:t xml:space="preserve">expression of FTL in the control dataset is similar to the stimulation dataset. In this case, our </w:t>
      </w:r>
      <w:proofErr w:type="spellStart"/>
      <w:r>
        <w:t>scPerb</w:t>
      </w:r>
      <w:proofErr w:type="spellEnd"/>
      <w:r>
        <w:t xml:space="preserve"> focused on the mean of the gene expression in the real dataset and had a few high expressions. In contrast, </w:t>
      </w:r>
      <w:proofErr w:type="spellStart"/>
      <w:r>
        <w:t>scGEN</w:t>
      </w:r>
      <w:proofErr w:type="spellEnd"/>
      <w:r>
        <w:t xml:space="preserve">, and CVAE were more similar to the gene expression in the control dataset, while </w:t>
      </w:r>
      <w:proofErr w:type="spellStart"/>
      <w:r>
        <w:t>st</w:t>
      </w:r>
      <w:proofErr w:type="spellEnd"/>
      <w:r>
        <w:t xml:space="preserve">-GAN and </w:t>
      </w:r>
      <w:proofErr w:type="spellStart"/>
      <w:r>
        <w:t>sc</w:t>
      </w:r>
      <w:proofErr w:type="spellEnd"/>
      <w:r>
        <w:t xml:space="preserve">-WGAN had relatively smaller gene expression. To support our observation, we also inspect another gene expression </w:t>
      </w:r>
      <m:oMath>
        <m:r>
          <w:rPr>
            <w:rFonts w:ascii="Cambria Math" w:hAnsi="Cambria Math"/>
          </w:rPr>
          <m:t>IFIT2</m:t>
        </m:r>
      </m:oMath>
      <w:r>
        <w:t xml:space="preserve"> in the same </w:t>
      </w:r>
      <m:oMath>
        <m:r>
          <w:rPr>
            <w:rFonts w:ascii="Cambria Math" w:hAnsi="Cambria Math"/>
          </w:rPr>
          <m:t>CD4T</m:t>
        </m:r>
      </m:oMath>
      <w:r>
        <w:t xml:space="preserve"> cell type “</w:t>
      </w:r>
      <w:r w:rsidRPr="0061706C">
        <w:rPr>
          <w:rFonts w:hint="eastAsia"/>
          <w:color w:val="FF0000"/>
          <w:lang w:eastAsia="zh-CN"/>
        </w:rPr>
        <w:t>这里需要</w:t>
      </w:r>
      <w:r w:rsidRPr="0061706C">
        <w:rPr>
          <w:color w:val="FF0000"/>
          <w:lang w:eastAsia="zh-CN"/>
        </w:rPr>
        <w:t>IFIT2</w:t>
      </w:r>
      <w:r w:rsidRPr="0061706C">
        <w:rPr>
          <w:rFonts w:hint="eastAsia"/>
          <w:color w:val="FF0000"/>
          <w:lang w:eastAsia="zh-CN"/>
        </w:rPr>
        <w:t>和</w:t>
      </w:r>
      <w:r w:rsidRPr="0061706C">
        <w:rPr>
          <w:rFonts w:hint="eastAsia"/>
          <w:color w:val="FF0000"/>
          <w:lang w:eastAsia="zh-CN"/>
        </w:rPr>
        <w:t>C</w:t>
      </w:r>
      <w:r w:rsidRPr="0061706C">
        <w:rPr>
          <w:color w:val="FF0000"/>
          <w:lang w:eastAsia="zh-CN"/>
        </w:rPr>
        <w:t>D4T</w:t>
      </w:r>
      <w:r w:rsidRPr="0061706C">
        <w:rPr>
          <w:rFonts w:hint="eastAsia"/>
          <w:color w:val="FF0000"/>
          <w:lang w:eastAsia="zh-CN"/>
        </w:rPr>
        <w:t>对应的参考文献</w:t>
      </w:r>
      <w:r>
        <w:rPr>
          <w:rFonts w:hint="eastAsia"/>
          <w:lang w:eastAsia="zh-CN"/>
        </w:rPr>
        <w:t>”</w:t>
      </w:r>
      <w:r>
        <w:t xml:space="preserve">. The gene expression of </w:t>
      </w:r>
      <m:oMath>
        <m:r>
          <w:rPr>
            <w:rFonts w:ascii="Cambria Math" w:hAnsi="Cambria Math"/>
          </w:rPr>
          <m:t>IFIT2</m:t>
        </m:r>
      </m:oMath>
      <w:r>
        <w:t xml:space="preserve"> from the control dataset is full of zero values, while the gene expressions of </w:t>
      </w:r>
      <m:oMath>
        <m:r>
          <w:rPr>
            <w:rFonts w:ascii="Cambria Math" w:hAnsi="Cambria Math"/>
          </w:rPr>
          <m:t>IFIT2</m:t>
        </m:r>
      </m:oMath>
      <w:r>
        <w:t xml:space="preserve"> in the stimulation dataset had higher </w:t>
      </w:r>
      <w:proofErr w:type="gramStart"/>
      <w:r>
        <w:t>values.(</w:t>
      </w:r>
      <w:proofErr w:type="gramEnd"/>
      <w:r>
        <w:t xml:space="preserve">Fig 2(d)) In this case, </w:t>
      </w:r>
      <w:proofErr w:type="spellStart"/>
      <w:r>
        <w:t>scPerb</w:t>
      </w:r>
      <w:proofErr w:type="spellEnd"/>
      <w:r>
        <w:t xml:space="preserve">, </w:t>
      </w:r>
      <w:proofErr w:type="spellStart"/>
      <w:r>
        <w:t>scgen</w:t>
      </w:r>
      <w:proofErr w:type="spellEnd"/>
      <w:r>
        <w:t xml:space="preserve">, and </w:t>
      </w:r>
      <w:proofErr w:type="spellStart"/>
      <w:r>
        <w:t>sc</w:t>
      </w:r>
      <w:proofErr w:type="spellEnd"/>
      <w:r>
        <w:t xml:space="preserve">-WGAN can reflect the dataset difference, while CVAE and </w:t>
      </w:r>
      <w:proofErr w:type="spellStart"/>
      <w:r>
        <w:t>stGAN</w:t>
      </w:r>
      <w:proofErr w:type="spellEnd"/>
      <w:r>
        <w:t xml:space="preserve"> failed to transfer the gene expression from the control dataset to the stimulation dataset. Furthermore, we applied a Wilcoxon test</w:t>
      </w:r>
      <w:r>
        <w:fldChar w:fldCharType="begin"/>
      </w:r>
      <w:r>
        <w:instrText xml:space="preserve"> ADDIN EN.CITE &lt;EndNote&gt;&lt;Cite&gt;&lt;Author&gt;Cuzick&lt;/Author&gt;&lt;Year&gt;1985&lt;/Year&gt;&lt;RecNum&gt;16&lt;/RecNum&gt;&lt;DisplayText&gt;[13]&lt;/DisplayText&gt;&lt;record&gt;&lt;rec-number&gt;16&lt;/rec-number&gt;&lt;foreign-keys&gt;&lt;key app="EN" db-id="2sf0rtfskvt02yezrxjx90d4f52xet9pdf2w" timestamp="1691713250"&gt;16&lt;/</w:instrText>
      </w:r>
      <w:r>
        <w:rPr>
          <w:rFonts w:hint="eastAsia"/>
        </w:rPr>
        <w:instrText>key&gt;&lt;/foreign-keys&gt;&lt;ref-type name="Journal Article"&gt;17&lt;/ref-type&gt;&lt;contributors&gt;&lt;authors&gt;&lt;author&gt;Cuzick, Jack&lt;/author&gt;&lt;/authors&gt;&lt;/contributors&gt;&lt;titles&gt;&lt;title&gt;A Wilcoxon</w:instrText>
      </w:r>
      <w:r>
        <w:rPr>
          <w:rFonts w:hint="eastAsia"/>
        </w:rPr>
        <w:instrText>‐</w:instrText>
      </w:r>
      <w:r>
        <w:rPr>
          <w:rFonts w:hint="eastAsia"/>
        </w:rPr>
        <w:instrText>type test for trend&lt;/title&gt;&lt;secondary-title&gt;Statistics in medicine&lt;/secondary-title&gt;&lt;/t</w:instrText>
      </w:r>
      <w:r>
        <w:instrText>itles&gt;&lt;periodical&gt;&lt;full-title&gt;Statistics in medicine&lt;/full-title&gt;&lt;/periodical&gt;&lt;pages&gt;87-90&lt;/pages&gt;&lt;volume&gt;4&lt;/volume&gt;&lt;number&gt;1&lt;/number&gt;&lt;dates&gt;&lt;year&gt;1985&lt;/year&gt;&lt;/dates&gt;&lt;isbn&gt;0277-6715&lt;/isbn&gt;&lt;urls&gt;&lt;/urls&gt;&lt;/record&gt;&lt;/Cite&gt;&lt;/EndNote&gt;</w:instrText>
      </w:r>
      <w:r>
        <w:fldChar w:fldCharType="separate"/>
      </w:r>
      <w:r>
        <w:rPr>
          <w:noProof/>
        </w:rPr>
        <w:t>[13]</w:t>
      </w:r>
      <w:r>
        <w:fldChar w:fldCharType="end"/>
      </w:r>
      <w:r>
        <w:t xml:space="preserve"> to examine whether the prediction and the real stimulation gene expression had significant differences. The p values showed that </w:t>
      </w:r>
      <w:proofErr w:type="spellStart"/>
      <w:r>
        <w:t>scPerb</w:t>
      </w:r>
      <w:proofErr w:type="spellEnd"/>
      <w:r>
        <w:t xml:space="preserve"> had 0.1763 in the prediction of </w:t>
      </w:r>
      <m:oMath>
        <m:r>
          <w:rPr>
            <w:rFonts w:ascii="Cambria Math" w:hAnsi="Cambria Math"/>
          </w:rPr>
          <m:t>FTL</m:t>
        </m:r>
      </m:oMath>
      <w:r>
        <w:t xml:space="preserve"> and 0.0742 in the prediction of </w:t>
      </w:r>
      <m:oMath>
        <m:r>
          <w:rPr>
            <w:rFonts w:ascii="Cambria Math" w:hAnsi="Cambria Math"/>
          </w:rPr>
          <m:t>IFIT2</m:t>
        </m:r>
      </m:oMath>
      <w:r>
        <w:t xml:space="preserve">, which failed to reject the hypothesis that the prediction and the real stimulation gene expression had significantly difference. Meanwhile, in the rest of the benchmarks, the P values of </w:t>
      </w:r>
      <w:proofErr w:type="spellStart"/>
      <w:r>
        <w:t>scGEN</w:t>
      </w:r>
      <w:proofErr w:type="spellEnd"/>
      <w:r>
        <w:t xml:space="preserve"> were </w:t>
      </w:r>
      <m:oMath>
        <m:r>
          <w:rPr>
            <w:rFonts w:ascii="Cambria Math" w:hAnsi="Cambria Math"/>
          </w:rPr>
          <m:t>6.2987</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15</m:t>
            </m:r>
          </m:sup>
        </m:sSup>
      </m:oMath>
      <w:r>
        <w:t xml:space="preserve">and </w:t>
      </w:r>
      <m:oMath>
        <m:r>
          <w:rPr>
            <w:rFonts w:ascii="Cambria Math" w:hAnsi="Cambria Math"/>
          </w:rPr>
          <m:t>3.3282</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CVAE (pvalue=0.0307 for FTL and pvalue&lt;0.0001 for IFIT2). For the GAN-base methods, all of the P values were smaller than 0.0001. Consequently, the P values from the benchmarking papers reject the hypothesis and indicate a significant difference between the prediction and real stimulation gene expressions. (Fig 2(b) and Fig2(c))</w:t>
      </w:r>
    </w:p>
    <w:p w14:paraId="5E9B845D" w14:textId="77777777" w:rsidR="00AC6938" w:rsidRDefault="00AC6938" w:rsidP="00AC6938">
      <w:pPr>
        <w:rPr>
          <w:sz w:val="32"/>
          <w:szCs w:val="32"/>
        </w:rPr>
      </w:pPr>
      <w:bookmarkStart w:id="9" w:name="X0f860db57c69307004e1ad1675050c652cd5a10"/>
      <w:bookmarkEnd w:id="8"/>
      <w:r w:rsidRPr="00BF1B62">
        <w:rPr>
          <w:noProof/>
          <w:sz w:val="32"/>
          <w:szCs w:val="32"/>
        </w:rPr>
        <w:drawing>
          <wp:inline distT="0" distB="0" distL="0" distR="0" wp14:anchorId="448EC0A1" wp14:editId="3380C4AB">
            <wp:extent cx="5486400" cy="30753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75305"/>
                    </a:xfrm>
                    <a:prstGeom prst="rect">
                      <a:avLst/>
                    </a:prstGeom>
                  </pic:spPr>
                </pic:pic>
              </a:graphicData>
            </a:graphic>
          </wp:inline>
        </w:drawing>
      </w:r>
    </w:p>
    <w:p w14:paraId="0F31C126" w14:textId="36323E7E" w:rsidR="00AC6938" w:rsidRPr="003419A3" w:rsidRDefault="00A10E90" w:rsidP="00AC6938">
      <w:pPr>
        <w:rPr>
          <w:sz w:val="32"/>
          <w:szCs w:val="32"/>
        </w:rPr>
      </w:pPr>
      <w:r>
        <w:rPr>
          <w:sz w:val="32"/>
          <w:szCs w:val="32"/>
        </w:rPr>
        <w:t>5</w:t>
      </w:r>
      <w:r w:rsidR="00AC6938">
        <w:rPr>
          <w:sz w:val="32"/>
          <w:szCs w:val="32"/>
        </w:rPr>
        <w:t xml:space="preserve">.3 </w:t>
      </w:r>
      <w:proofErr w:type="spellStart"/>
      <w:r w:rsidR="00AC6938" w:rsidRPr="003419A3">
        <w:rPr>
          <w:sz w:val="32"/>
          <w:szCs w:val="32"/>
        </w:rPr>
        <w:t>scPerb</w:t>
      </w:r>
      <w:proofErr w:type="spellEnd"/>
      <w:r w:rsidR="00AC6938" w:rsidRPr="003419A3">
        <w:rPr>
          <w:sz w:val="32"/>
          <w:szCs w:val="32"/>
        </w:rPr>
        <w:t xml:space="preserve"> can accurately predict the perturbation of cells</w:t>
      </w:r>
    </w:p>
    <w:p w14:paraId="02CB8EB9" w14:textId="77777777" w:rsidR="00AC6938" w:rsidRDefault="00AC6938" w:rsidP="00AC6938">
      <w:pPr>
        <w:pStyle w:val="FirstParagraph"/>
      </w:pPr>
      <w:r>
        <w:t xml:space="preserve">Figures 3 (a and b) displayed the </w:t>
      </w:r>
      <w:proofErr w:type="spellStart"/>
      <w:r>
        <w:t>umap</w:t>
      </w:r>
      <w:proofErr w:type="spellEnd"/>
      <w:r>
        <w:t xml:space="preserve"> of IFI6, the most differently expressed gene </w:t>
      </w:r>
      <w:r>
        <w:rPr>
          <w:rFonts w:hint="eastAsia"/>
          <w:lang w:eastAsia="zh-CN"/>
        </w:rPr>
        <w:t>in</w:t>
      </w:r>
      <w:r>
        <w:rPr>
          <w:lang w:eastAsia="zh-CN"/>
        </w:rPr>
        <w:t xml:space="preserve"> the </w:t>
      </w:r>
      <w:r w:rsidRPr="00686514">
        <w:rPr>
          <w:color w:val="FF0000"/>
          <w:lang w:eastAsia="zh-CN"/>
        </w:rPr>
        <w:t>Study</w:t>
      </w:r>
      <w:r>
        <w:rPr>
          <w:lang w:eastAsia="zh-CN"/>
        </w:rPr>
        <w:t xml:space="preserve"> dataset </w:t>
      </w:r>
      <w:r>
        <w:rPr>
          <w:rFonts w:hint="eastAsia"/>
          <w:lang w:eastAsia="zh-CN"/>
        </w:rPr>
        <w:t>(</w:t>
      </w:r>
      <w:r w:rsidRPr="00686514">
        <w:rPr>
          <w:rFonts w:hint="eastAsia"/>
          <w:color w:val="FF0000"/>
          <w:lang w:eastAsia="zh-CN"/>
        </w:rPr>
        <w:t>名字有问题，而且可能需要增加</w:t>
      </w:r>
      <w:r w:rsidRPr="00686514">
        <w:rPr>
          <w:color w:val="FF0000"/>
          <w:lang w:eastAsia="zh-CN"/>
        </w:rPr>
        <w:t>DEG</w:t>
      </w:r>
      <w:r w:rsidRPr="00686514">
        <w:rPr>
          <w:rFonts w:hint="eastAsia"/>
          <w:color w:val="FF0000"/>
          <w:lang w:eastAsia="zh-CN"/>
        </w:rPr>
        <w:t>的作用的文献</w:t>
      </w:r>
      <w:r>
        <w:rPr>
          <w:lang w:eastAsia="zh-CN"/>
        </w:rPr>
        <w:t>)</w:t>
      </w:r>
      <w:r>
        <w:t xml:space="preserve">. From the </w:t>
      </w:r>
      <w:proofErr w:type="spellStart"/>
      <w:r>
        <w:t>umaps</w:t>
      </w:r>
      <w:proofErr w:type="spellEnd"/>
      <w:r>
        <w:t xml:space="preserve">, it is clear that the gene expression of the control cells was low and that of the stimulated cells was high; even so, </w:t>
      </w:r>
      <w:proofErr w:type="spellStart"/>
      <w:r>
        <w:t>scPerb</w:t>
      </w:r>
      <w:proofErr w:type="spellEnd"/>
      <w:r>
        <w:t xml:space="preserve"> still made excellent predictions as </w:t>
      </w:r>
      <w:r>
        <w:lastRenderedPageBreak/>
        <w:t xml:space="preserve">in Figure 3 (b), the prediction cells still correlate well with the stimulated cells.  The result can be enhanced by the dot plot in Figure 3 (d), as for gene IFI6 and CD4T cell type, the mean expression is low for the control cell type, and that of both the stimulated cells and predicted cells were high. Moreover, the mean expression of the stimulated cells and predicted cells were approximately the same, which proved the prediction of </w:t>
      </w:r>
      <w:proofErr w:type="spellStart"/>
      <w:r>
        <w:t>scPerb</w:t>
      </w:r>
      <w:proofErr w:type="spellEnd"/>
      <w:r>
        <w:t xml:space="preserve"> made a good prediction. Figure 3(e) showed the scatter plot of the mean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all genes and the top 100 DEG genes in one of the best cell types, CD4-T. The mean of the prediction gene expression achieved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0.9905</m:t>
        </m:r>
      </m:oMath>
      <w:r>
        <w:t xml:space="preserve"> among all genes, and </w:t>
      </w:r>
      <m:oMath>
        <m:sSup>
          <m:sSupPr>
            <m:ctrlPr>
              <w:rPr>
                <w:rFonts w:ascii="Cambria Math" w:hAnsi="Cambria Math"/>
              </w:rPr>
            </m:ctrlPr>
          </m:sSupPr>
          <m:e>
            <m: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0.9935</m:t>
        </m:r>
      </m:oMath>
      <w:r>
        <w:t xml:space="preserve"> among the top 100 DEG genes. In particular, we found that the top 5 DEG genes were </w:t>
      </w:r>
      <m:oMath>
        <m:r>
          <w:rPr>
            <w:rFonts w:ascii="Cambria Math" w:hAnsi="Cambria Math"/>
          </w:rPr>
          <m:t>IFIT1</m:t>
        </m:r>
        <m:r>
          <m:rPr>
            <m:sty m:val="p"/>
          </m:rPr>
          <w:rPr>
            <w:rFonts w:ascii="Cambria Math" w:hAnsi="Cambria Math"/>
          </w:rPr>
          <m:t>,</m:t>
        </m:r>
        <m:r>
          <w:rPr>
            <w:rFonts w:ascii="Cambria Math" w:hAnsi="Cambria Math"/>
          </w:rPr>
          <m:t>IFIT3</m:t>
        </m:r>
        <m:r>
          <m:rPr>
            <m:sty m:val="p"/>
          </m:rPr>
          <w:rPr>
            <w:rFonts w:ascii="Cambria Math" w:hAnsi="Cambria Math"/>
          </w:rPr>
          <m:t>,</m:t>
        </m:r>
        <m:r>
          <w:rPr>
            <w:rFonts w:ascii="Cambria Math" w:hAnsi="Cambria Math"/>
          </w:rPr>
          <m:t>IF16</m:t>
        </m:r>
        <m:r>
          <m:rPr>
            <m:sty m:val="p"/>
          </m:rPr>
          <w:rPr>
            <w:rFonts w:ascii="Cambria Math" w:hAnsi="Cambria Math"/>
          </w:rPr>
          <m:t>,</m:t>
        </m:r>
        <m:r>
          <w:rPr>
            <w:rFonts w:ascii="Cambria Math" w:hAnsi="Cambria Math"/>
          </w:rPr>
          <m:t>ISG20</m:t>
        </m:r>
        <m:r>
          <m:rPr>
            <m:sty m:val="p"/>
          </m:rPr>
          <w:rPr>
            <w:rFonts w:ascii="Cambria Math" w:hAnsi="Cambria Math"/>
          </w:rPr>
          <m:t xml:space="preserve">, and </m:t>
        </m:r>
        <m:r>
          <w:rPr>
            <w:rFonts w:ascii="Cambria Math" w:hAnsi="Cambria Math"/>
          </w:rPr>
          <m:t>ISG15</m:t>
        </m:r>
      </m:oMath>
      <w:r>
        <w:t>. (</w:t>
      </w:r>
      <w:r w:rsidRPr="00686514">
        <w:rPr>
          <w:rFonts w:hint="eastAsia"/>
          <w:color w:val="FF0000"/>
          <w:lang w:eastAsia="zh-CN"/>
        </w:rPr>
        <w:t>可能需要增加</w:t>
      </w:r>
      <w:r w:rsidRPr="00686514">
        <w:rPr>
          <w:color w:val="FF0000"/>
          <w:lang w:eastAsia="zh-CN"/>
        </w:rPr>
        <w:t>DEG</w:t>
      </w:r>
      <w:r w:rsidRPr="00686514">
        <w:rPr>
          <w:rFonts w:hint="eastAsia"/>
          <w:color w:val="FF0000"/>
          <w:lang w:eastAsia="zh-CN"/>
        </w:rPr>
        <w:t>的作用的文献</w:t>
      </w:r>
      <w:r>
        <w:t>)</w:t>
      </w:r>
    </w:p>
    <w:p w14:paraId="562F005C" w14:textId="77777777" w:rsidR="00AC6938" w:rsidRDefault="00AC6938" w:rsidP="00AC6938">
      <w:pPr>
        <w:pStyle w:val="a0"/>
      </w:pPr>
      <w:r>
        <w:t xml:space="preserve">We then explored the performance of </w:t>
      </w:r>
      <w:proofErr w:type="spellStart"/>
      <w:r>
        <w:t>scPerb</w:t>
      </w:r>
      <w:proofErr w:type="spellEnd"/>
      <w:r>
        <w:t xml:space="preserve"> in a larger range of genes in more cell types. Figure 3 (c) explored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among different cell types. S</w:t>
      </w:r>
      <w:r w:rsidRPr="00EA629A">
        <w:t>pecifically</w:t>
      </w:r>
      <w:r>
        <w:t xml:space="preserve"> in this study, we examined</w:t>
      </w:r>
      <w:r w:rsidRPr="00EA629A">
        <w:t xml:space="preserve"> B cells, CD4-T cells, CD8-T cells, CD14 + Mono cell</w:t>
      </w:r>
      <w:r>
        <w:t>s</w:t>
      </w:r>
      <w:r w:rsidRPr="00EA629A">
        <w:t>, dendritic cells, FCGR3A+Mono cel</w:t>
      </w:r>
      <w:r>
        <w:t>ls</w:t>
      </w:r>
      <w:r w:rsidRPr="00EA629A">
        <w:t>, and NK cells. Remarkably, when considering all genes, B cells displayed an exceptional R² of 0.99, with the top 100 differentially expressed genes (DEGs) yielding a slightly lower yet highly significant value of 0.98. Similarly, CD4-T cells showcased an impressive consistency in prediction accuracy with R² scores of 0.99 and 0.99</w:t>
      </w:r>
      <w:r>
        <w:t xml:space="preserve"> </w:t>
      </w:r>
      <w:r>
        <w:rPr>
          <w:rFonts w:hint="eastAsia"/>
          <w:lang w:eastAsia="zh-CN"/>
        </w:rPr>
        <w:t>for</w:t>
      </w:r>
      <w:r>
        <w:rPr>
          <w:lang w:eastAsia="zh-CN"/>
        </w:rPr>
        <w:t xml:space="preserve"> all genes and top 100 DEGs</w:t>
      </w:r>
      <w:r w:rsidRPr="00EA629A">
        <w:t>, while CD8-T cells demonstrated strong predictive power with R² values of 0.96 and 0.94. Moreover, NK cells exhibited robust R² scores of 0.9</w:t>
      </w:r>
      <w:r>
        <w:t>7</w:t>
      </w:r>
      <w:r w:rsidRPr="00EA629A">
        <w:t xml:space="preserve"> and 0.9</w:t>
      </w:r>
      <w:r>
        <w:t>8</w:t>
      </w:r>
      <w:r w:rsidRPr="00EA629A">
        <w:t>. Notably, CD14+Mono cell</w:t>
      </w:r>
      <w:r>
        <w:t>s</w:t>
      </w:r>
      <w:r w:rsidRPr="00EA629A">
        <w:t>, dendritic cells, and FCGR3A+Mono cell</w:t>
      </w:r>
      <w:r>
        <w:t>s</w:t>
      </w:r>
      <w:r w:rsidRPr="00EA629A">
        <w:t xml:space="preserve"> collectively exhibited outstanding R² values of 0.99 and 0.99, further underscoring the reliability of predictions. This comprehensive evaluation delineates the remarkable predictive performance of the model across various cell types, shedding light on the intricacies of gene expression patterns and offering insights of potential significance in diverse biological contexts.</w:t>
      </w:r>
    </w:p>
    <w:bookmarkEnd w:id="6"/>
    <w:bookmarkEnd w:id="9"/>
    <w:p w14:paraId="642DA941" w14:textId="77777777" w:rsidR="00AC6938" w:rsidRDefault="00AC6938" w:rsidP="00AC6938">
      <w:r w:rsidRPr="00BF1B62">
        <w:rPr>
          <w:noProof/>
        </w:rPr>
        <w:lastRenderedPageBreak/>
        <w:drawing>
          <wp:inline distT="0" distB="0" distL="0" distR="0" wp14:anchorId="6E05A857" wp14:editId="6A17F1BC">
            <wp:extent cx="5486400" cy="3089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9910"/>
                    </a:xfrm>
                    <a:prstGeom prst="rect">
                      <a:avLst/>
                    </a:prstGeom>
                  </pic:spPr>
                </pic:pic>
              </a:graphicData>
            </a:graphic>
          </wp:inline>
        </w:drawing>
      </w:r>
      <w:r w:rsidRPr="00682D7D">
        <w:rPr>
          <w:noProof/>
        </w:rPr>
        <w:drawing>
          <wp:inline distT="0" distB="0" distL="0" distR="0" wp14:anchorId="33A1BB4C" wp14:editId="5E9B3211">
            <wp:extent cx="5486400" cy="3071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71495"/>
                    </a:xfrm>
                    <a:prstGeom prst="rect">
                      <a:avLst/>
                    </a:prstGeom>
                  </pic:spPr>
                </pic:pic>
              </a:graphicData>
            </a:graphic>
          </wp:inline>
        </w:drawing>
      </w:r>
    </w:p>
    <w:p w14:paraId="46C31FAB" w14:textId="01BD3B8B" w:rsidR="00AC6938" w:rsidRDefault="007F6010" w:rsidP="00AC6938">
      <w:pPr>
        <w:rPr>
          <w:sz w:val="32"/>
          <w:szCs w:val="32"/>
        </w:rPr>
      </w:pPr>
      <w:r>
        <w:rPr>
          <w:sz w:val="32"/>
          <w:szCs w:val="32"/>
        </w:rPr>
        <w:t>5.4</w:t>
      </w:r>
      <w:r w:rsidR="00AC6938" w:rsidRPr="00790225">
        <w:rPr>
          <w:sz w:val="32"/>
          <w:szCs w:val="32"/>
        </w:rPr>
        <w:t xml:space="preserve"> </w:t>
      </w:r>
      <w:proofErr w:type="spellStart"/>
      <w:r w:rsidR="00AC6938" w:rsidRPr="00790225">
        <w:rPr>
          <w:sz w:val="32"/>
          <w:szCs w:val="32"/>
        </w:rPr>
        <w:t>scPerb</w:t>
      </w:r>
      <w:proofErr w:type="spellEnd"/>
      <w:r w:rsidR="00AC6938" w:rsidRPr="00790225">
        <w:rPr>
          <w:sz w:val="32"/>
          <w:szCs w:val="32"/>
        </w:rPr>
        <w:t xml:space="preserve"> has robust </w:t>
      </w:r>
      <w:r w:rsidR="00AC6938">
        <w:rPr>
          <w:sz w:val="32"/>
          <w:szCs w:val="32"/>
        </w:rPr>
        <w:t>results</w:t>
      </w:r>
      <w:r w:rsidR="00AC6938" w:rsidRPr="00790225">
        <w:rPr>
          <w:sz w:val="32"/>
          <w:szCs w:val="32"/>
        </w:rPr>
        <w:t xml:space="preserve"> across different datasets.</w:t>
      </w:r>
    </w:p>
    <w:p w14:paraId="46A2C307" w14:textId="77777777" w:rsidR="00AC6938" w:rsidRDefault="00AC6938" w:rsidP="00AC6938">
      <w:proofErr w:type="spellStart"/>
      <w:r>
        <w:rPr>
          <w:rFonts w:hint="eastAsia"/>
        </w:rPr>
        <w:t>s</w:t>
      </w:r>
      <w:r>
        <w:t>cPerb</w:t>
      </w:r>
      <w:proofErr w:type="spellEnd"/>
      <w:r>
        <w:t xml:space="preserve"> has robust result in multiple datasets. In </w:t>
      </w:r>
      <w:r w:rsidRPr="00925146">
        <w:rPr>
          <w:color w:val="FF0000"/>
        </w:rPr>
        <w:t>PBMC(</w:t>
      </w:r>
      <w:r w:rsidRPr="00925146">
        <w:rPr>
          <w:rFonts w:hint="eastAsia"/>
          <w:color w:val="FF0000"/>
          <w:lang w:eastAsia="zh-CN"/>
        </w:rPr>
        <w:t>名字</w:t>
      </w:r>
      <w:r w:rsidRPr="00925146">
        <w:rPr>
          <w:color w:val="FF0000"/>
        </w:rPr>
        <w:t>)</w:t>
      </w:r>
      <w:r>
        <w:t xml:space="preserve"> dataset </w:t>
      </w:r>
      <w:r>
        <w:fldChar w:fldCharType="begin"/>
      </w:r>
      <w:r>
        <w:instrText xml:space="preserve"> ADDIN EN.CITE &lt;EndNote&gt;&lt;Cite&gt;&lt;Author&gt;Kang&lt;/Author&gt;&lt;Year&gt;2018&lt;/Year&gt;&lt;RecNum&gt;9&lt;/RecNum&gt;&lt;DisplayText&gt;[1]&lt;/DisplayText&gt;&lt;record&gt;&lt;rec-number&gt;9&lt;/rec-number&gt;&lt;foreign-keys&gt;&lt;key app="EN" db-id="2sf0rtfskvt02yezrxjx90d4f52xet9pdf2w" timestamp="1691704693"&gt;9&lt;/key&gt;&lt;/foreign-keys&gt;&lt;ref-type name="Journal Article"&gt;17&lt;/ref-type&gt;&lt;contributors&gt;&lt;authors&gt;&lt;author&gt;Kang, Hyun Min&lt;/author&gt;&lt;author&gt;Subramaniam, Meena&lt;/author&gt;&lt;author&gt;Targ, Sasha&lt;/author&gt;&lt;author&gt;Nguyen, Michelle&lt;/author&gt;&lt;author&gt;Maliskova, Lenka&lt;/author&gt;&lt;author&gt;McCarthy, Elizabeth&lt;/author&gt;&lt;author&gt;Wan, Eunice&lt;/author&gt;&lt;author&gt;Wong, Simon&lt;/author&gt;&lt;author&gt;Byrnes, Lauren&lt;/author&gt;&lt;author&gt;Lanata, Cristina M&lt;/author&gt;&lt;/authors&gt;&lt;/contributors&gt;&lt;titles&gt;&lt;title&gt;Multiplexed droplet single-cell RNA-sequencing using natural genetic variation&lt;/title&gt;&lt;secondary-title&gt;Nature biotechnology&lt;/secondary-title&gt;&lt;/titles&gt;&lt;periodical&gt;&lt;full-title&gt;Nature biotechnology&lt;/full-title&gt;&lt;/periodical&gt;&lt;pages&gt;89-94&lt;/pages&gt;&lt;volume&gt;36&lt;/volume&gt;&lt;number&gt;1&lt;/number&gt;&lt;dates&gt;&lt;year&gt;2018&lt;/year&gt;&lt;/dates&gt;&lt;isbn&gt;1087-0156&lt;/isbn&gt;&lt;urls&gt;&lt;/urls&gt;&lt;/record&gt;&lt;/Cite&gt;&lt;/EndNote&gt;</w:instrText>
      </w:r>
      <w:r>
        <w:fldChar w:fldCharType="separate"/>
      </w:r>
      <w:r>
        <w:rPr>
          <w:noProof/>
        </w:rPr>
        <w:t>[1]</w:t>
      </w:r>
      <w:r>
        <w:fldChar w:fldCharType="end"/>
      </w:r>
      <w:r>
        <w:t xml:space="preserve">, </w:t>
      </w:r>
      <w:proofErr w:type="spellStart"/>
      <w:r>
        <w:t>scPerb</w:t>
      </w:r>
      <w:proofErr w:type="spellEnd"/>
      <w:r>
        <w:t xml:space="preserve"> still outperforms other methods, achieving 0.98 in the mean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all the cell types, followed by </w:t>
      </w:r>
      <w:proofErr w:type="spellStart"/>
      <w:r>
        <w:t>scGen</w:t>
      </w:r>
      <w:proofErr w:type="spellEnd"/>
      <w:r>
        <w:t xml:space="preserve"> with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of 0.96, CVAE with 0.91, style transfer GAN with 0.42 and </w:t>
      </w:r>
      <w:proofErr w:type="spellStart"/>
      <w:r>
        <w:t>sc</w:t>
      </w:r>
      <w:proofErr w:type="spellEnd"/>
      <w:r>
        <w:t xml:space="preserve">-WGAN with 0.12 (Fig 4(a)). Meanwhile, </w:t>
      </w:r>
      <w:proofErr w:type="spellStart"/>
      <w:r>
        <w:t>scPerb</w:t>
      </w:r>
      <w:proofErr w:type="spellEnd"/>
      <w:r>
        <w:t xml:space="preserve"> precisely predicted the result of CD4-T cells, reaching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of 0.9948 and 0.9978 respectively for all genes and its top 100 </w:t>
      </w:r>
      <w:proofErr w:type="gramStart"/>
      <w:r>
        <w:t>DEGs.(</w:t>
      </w:r>
      <w:proofErr w:type="gramEnd"/>
      <w:r>
        <w:t xml:space="preserve">Fig 4(d)) This scatter plot further proved the strong prediction ability of scPerb. Moreover, in IFIT1, one of the top DEGs in CD4-T, which also has a control condition filled with zero values, </w:t>
      </w:r>
      <w:proofErr w:type="spellStart"/>
      <w:r>
        <w:t>scPerb</w:t>
      </w:r>
      <w:proofErr w:type="spellEnd"/>
      <w:r>
        <w:t xml:space="preserve"> made a better prediction than any </w:t>
      </w:r>
      <w:r>
        <w:lastRenderedPageBreak/>
        <w:t xml:space="preserve">other method, capturing the mean of the ground truth. In this case, the prediction of other methods barely captured the mean of the ground truth. (Fig 4(b)) The Wilcoxon test can further explain the difference between the prediction and the real stimulated cells in the IFIT1 gene: only </w:t>
      </w:r>
      <w:proofErr w:type="spellStart"/>
      <w:r>
        <w:t>scPerb</w:t>
      </w:r>
      <w:proofErr w:type="spellEnd"/>
      <w:r>
        <w:t xml:space="preserve"> achieved a P value of 0.0597, meaning that there is no statistically significant difference between the prediction of </w:t>
      </w:r>
      <w:proofErr w:type="spellStart"/>
      <w:r>
        <w:t>scPerb</w:t>
      </w:r>
      <w:proofErr w:type="spellEnd"/>
      <w:r>
        <w:t xml:space="preserve"> and the ground truth; however, all other methods including </w:t>
      </w:r>
      <w:proofErr w:type="spellStart"/>
      <w:r>
        <w:t>scGEN</w:t>
      </w:r>
      <w:proofErr w:type="spellEnd"/>
      <w:r>
        <w:t xml:space="preserve">, CVAE, and both GAN-based methods resulted in a P value far less than 0.05, showing a significant difference between their predictions and the ground truth. (Fig 4 (e)) Besides, the dot plot (Fig 4(c)) shows that </w:t>
      </w:r>
      <w:proofErr w:type="spellStart"/>
      <w:r>
        <w:t>scPerb</w:t>
      </w:r>
      <w:proofErr w:type="spellEnd"/>
      <w:r>
        <w:t xml:space="preserve"> can get robust prediction no matter the original control gene expression is lower (for example the IFIT1 gene), approximately the same (for example the RPL13A gene), or higher (for example the FTH1 gene).</w:t>
      </w:r>
    </w:p>
    <w:p w14:paraId="6D20D090" w14:textId="77777777" w:rsidR="00AC6938" w:rsidRPr="00345A3E" w:rsidRDefault="00AC6938" w:rsidP="00AC6938">
      <w:pPr>
        <w:rPr>
          <w:color w:val="000000" w:themeColor="text1"/>
        </w:rPr>
      </w:pPr>
      <w:r>
        <w:rPr>
          <w:rFonts w:hint="eastAsia"/>
        </w:rPr>
        <w:t>I</w:t>
      </w:r>
      <w:r>
        <w:t xml:space="preserve">n other datasets, such as the </w:t>
      </w:r>
      <w:proofErr w:type="spellStart"/>
      <w:r w:rsidRPr="00345A3E">
        <w:rPr>
          <w:color w:val="FF0000"/>
        </w:rPr>
        <w:t>Hpoly</w:t>
      </w:r>
      <w:proofErr w:type="spellEnd"/>
      <w:r w:rsidRPr="00345A3E">
        <w:rPr>
          <w:color w:val="FF0000"/>
        </w:rPr>
        <w:t xml:space="preserve"> dataset (</w:t>
      </w:r>
      <w:r w:rsidRPr="00345A3E">
        <w:rPr>
          <w:rFonts w:hint="eastAsia"/>
          <w:color w:val="FF0000"/>
          <w:lang w:eastAsia="zh-CN"/>
        </w:rPr>
        <w:t>名字</w:t>
      </w:r>
      <w:r w:rsidRPr="00345A3E">
        <w:rPr>
          <w:color w:val="FF0000"/>
        </w:rPr>
        <w:t>)</w:t>
      </w:r>
      <w:r>
        <w:rPr>
          <w:color w:val="FF0000"/>
        </w:rPr>
        <w:t xml:space="preserve">, </w:t>
      </w:r>
      <w:r>
        <w:rPr>
          <w:color w:val="000000" w:themeColor="text1"/>
        </w:rPr>
        <w:t xml:space="preserve">the power of accurate prediction of </w:t>
      </w:r>
      <w:proofErr w:type="spellStart"/>
      <w:r>
        <w:rPr>
          <w:color w:val="000000" w:themeColor="text1"/>
        </w:rPr>
        <w:t>scPerb</w:t>
      </w:r>
      <w:proofErr w:type="spellEnd"/>
      <w:r>
        <w:rPr>
          <w:color w:val="000000" w:themeColor="text1"/>
        </w:rPr>
        <w:t xml:space="preserve"> still remains. For most of the cell types in </w:t>
      </w:r>
      <w:proofErr w:type="spellStart"/>
      <w:r>
        <w:rPr>
          <w:color w:val="000000" w:themeColor="text1"/>
        </w:rPr>
        <w:t>Hpoly</w:t>
      </w:r>
      <w:proofErr w:type="spellEnd"/>
      <w:r>
        <w:rPr>
          <w:color w:val="000000" w:themeColor="text1"/>
        </w:rPr>
        <w:t xml:space="preserve"> dataset, </w:t>
      </w:r>
      <w:proofErr w:type="spellStart"/>
      <w:r>
        <w:rPr>
          <w:color w:val="000000" w:themeColor="text1"/>
        </w:rPr>
        <w:t>scPerb</w:t>
      </w:r>
      <w:proofErr w:type="spellEnd"/>
      <w:r>
        <w:rPr>
          <w:color w:val="000000" w:themeColor="text1"/>
        </w:rPr>
        <w:t xml:space="preserve"> gained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higher or equal to 0.95. Notably, in Stem cells, </w:t>
      </w:r>
      <w:proofErr w:type="spellStart"/>
      <w:r>
        <w:t>scPerb</w:t>
      </w:r>
      <w:proofErr w:type="spellEnd"/>
      <w:r>
        <w:t xml:space="preserve"> got the most accurate prediction, resulting in a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of both 0.99 in all genes and the top 100 DEGs. It is then followed by </w:t>
      </w:r>
      <w:proofErr w:type="spellStart"/>
      <w:r>
        <w:t>Entrerocyte.Progenitor</w:t>
      </w:r>
      <w:proofErr w:type="spellEnd"/>
      <w:r>
        <w:t xml:space="preserve"> cells, Goblet cells, and TA cells, with both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hint="eastAsia"/>
        </w:rPr>
        <w:t xml:space="preserve"> </w:t>
      </w:r>
      <w:r>
        <w:t xml:space="preserve">0.98 for all genes and the top 100 </w:t>
      </w:r>
      <w:proofErr w:type="gramStart"/>
      <w:r>
        <w:t>DEGs.(</w:t>
      </w:r>
      <w:proofErr w:type="gramEnd"/>
      <w:r>
        <w:t xml:space="preserve">Fig 5(a)) Moreover, </w:t>
      </w:r>
      <w:proofErr w:type="spellStart"/>
      <w:r>
        <w:t>scPerb</w:t>
      </w:r>
      <w:proofErr w:type="spellEnd"/>
      <w:r>
        <w:t xml:space="preserve"> made better predictions in this dataset, especially in Stem cells. In Figure 5 (b-f), the </w:t>
      </w:r>
      <w:proofErr w:type="spellStart"/>
      <w:r>
        <w:t>umap</w:t>
      </w:r>
      <w:proofErr w:type="spellEnd"/>
      <w:r>
        <w:t xml:space="preserve"> of all five methods clearly showed this point. In these figures, the prediction of </w:t>
      </w:r>
      <w:proofErr w:type="spellStart"/>
      <w:r>
        <w:t>scPerb</w:t>
      </w:r>
      <w:proofErr w:type="spellEnd"/>
      <w:r>
        <w:t xml:space="preserve"> (the green dots in the graph) fitted the best to the stimulated data (the orange dots in the graph), while other VAE-based methods such as </w:t>
      </w:r>
      <w:proofErr w:type="spellStart"/>
      <w:r>
        <w:t>scGEN</w:t>
      </w:r>
      <w:proofErr w:type="spellEnd"/>
      <w:r>
        <w:t xml:space="preserve"> and CVAE had a prediction that has approximately the same distance between the control data and the stimulated data, resulted in a worse prediction than </w:t>
      </w:r>
      <w:proofErr w:type="spellStart"/>
      <w:r>
        <w:t>scPerb</w:t>
      </w:r>
      <w:proofErr w:type="spellEnd"/>
      <w:r>
        <w:t xml:space="preserve">. Moreover, both GAN-based methods style transfer GAN and </w:t>
      </w:r>
      <w:proofErr w:type="spellStart"/>
      <w:r>
        <w:t>sc</w:t>
      </w:r>
      <w:proofErr w:type="spellEnd"/>
      <w:r>
        <w:t>-WGAN totally failed to predict the stimulated data, resulted in a prediction far away from the ground truth. (Fig 5(b-f))</w:t>
      </w:r>
    </w:p>
    <w:p w14:paraId="1EEE092B" w14:textId="77777777" w:rsidR="00AC6938" w:rsidRDefault="00AC6938" w:rsidP="00AC6938">
      <w:r>
        <w:br w:type="page"/>
      </w:r>
    </w:p>
    <w:p w14:paraId="2CE27CFB" w14:textId="77777777" w:rsidR="00AC6938" w:rsidRDefault="00AC6938" w:rsidP="00AC6938"/>
    <w:p w14:paraId="07E1722B" w14:textId="77777777" w:rsidR="00AC6938" w:rsidRPr="00A23827" w:rsidRDefault="00AC6938" w:rsidP="00AC6938">
      <w:pPr>
        <w:rPr>
          <w:b/>
          <w:bCs/>
          <w:sz w:val="44"/>
          <w:szCs w:val="44"/>
          <w:lang w:eastAsia="zh-CN"/>
        </w:rPr>
      </w:pPr>
      <w:r w:rsidRPr="00A23827">
        <w:rPr>
          <w:rFonts w:hint="eastAsia"/>
          <w:b/>
          <w:bCs/>
          <w:sz w:val="44"/>
          <w:szCs w:val="44"/>
          <w:lang w:eastAsia="zh-CN"/>
        </w:rPr>
        <w:t>Re</w:t>
      </w:r>
      <w:r w:rsidRPr="00A23827">
        <w:rPr>
          <w:b/>
          <w:bCs/>
          <w:sz w:val="44"/>
          <w:szCs w:val="44"/>
          <w:lang w:eastAsia="zh-CN"/>
        </w:rPr>
        <w:t>ference</w:t>
      </w:r>
    </w:p>
    <w:p w14:paraId="4C93384F" w14:textId="77777777" w:rsidR="00264AD4" w:rsidRPr="00264AD4" w:rsidRDefault="00AC6938" w:rsidP="00264AD4">
      <w:pPr>
        <w:pStyle w:val="EndNoteBibliography"/>
        <w:spacing w:after="0"/>
        <w:ind w:left="720" w:hanging="720"/>
        <w:rPr>
          <w:noProof/>
        </w:rPr>
      </w:pPr>
      <w:r>
        <w:rPr>
          <w:lang w:eastAsia="zh-CN"/>
        </w:rPr>
        <w:fldChar w:fldCharType="begin"/>
      </w:r>
      <w:r>
        <w:rPr>
          <w:lang w:eastAsia="zh-CN"/>
        </w:rPr>
        <w:instrText xml:space="preserve"> ADDIN EN.REFLIST </w:instrText>
      </w:r>
      <w:r>
        <w:rPr>
          <w:lang w:eastAsia="zh-CN"/>
        </w:rPr>
        <w:fldChar w:fldCharType="separate"/>
      </w:r>
      <w:r w:rsidR="00264AD4" w:rsidRPr="00264AD4">
        <w:rPr>
          <w:noProof/>
        </w:rPr>
        <w:t>1.</w:t>
      </w:r>
      <w:r w:rsidR="00264AD4" w:rsidRPr="00264AD4">
        <w:rPr>
          <w:noProof/>
        </w:rPr>
        <w:tab/>
        <w:t xml:space="preserve">Kang, H.M., et al., </w:t>
      </w:r>
      <w:r w:rsidR="00264AD4" w:rsidRPr="00264AD4">
        <w:rPr>
          <w:i/>
          <w:noProof/>
        </w:rPr>
        <w:t>Multiplexed droplet single-cell RNA-sequencing using natural genetic variation.</w:t>
      </w:r>
      <w:r w:rsidR="00264AD4" w:rsidRPr="00264AD4">
        <w:rPr>
          <w:noProof/>
        </w:rPr>
        <w:t xml:space="preserve"> Nature biotechnology, 2018. </w:t>
      </w:r>
      <w:r w:rsidR="00264AD4" w:rsidRPr="00264AD4">
        <w:rPr>
          <w:b/>
          <w:noProof/>
        </w:rPr>
        <w:t>36</w:t>
      </w:r>
      <w:r w:rsidR="00264AD4" w:rsidRPr="00264AD4">
        <w:rPr>
          <w:noProof/>
        </w:rPr>
        <w:t>(1): p. 89-94.</w:t>
      </w:r>
    </w:p>
    <w:p w14:paraId="334DB70C" w14:textId="77777777" w:rsidR="00264AD4" w:rsidRPr="00264AD4" w:rsidRDefault="00264AD4" w:rsidP="00264AD4">
      <w:pPr>
        <w:pStyle w:val="EndNoteBibliography"/>
        <w:spacing w:after="0"/>
        <w:ind w:left="720" w:hanging="720"/>
        <w:rPr>
          <w:noProof/>
        </w:rPr>
      </w:pPr>
      <w:r w:rsidRPr="00264AD4">
        <w:rPr>
          <w:noProof/>
        </w:rPr>
        <w:t>2.</w:t>
      </w:r>
      <w:r w:rsidRPr="00264AD4">
        <w:rPr>
          <w:noProof/>
        </w:rPr>
        <w:tab/>
        <w:t xml:space="preserve">Haber, A.L., et al., </w:t>
      </w:r>
      <w:r w:rsidRPr="00264AD4">
        <w:rPr>
          <w:i/>
          <w:noProof/>
        </w:rPr>
        <w:t>A single-cell survey of the small intestinal epithelium.</w:t>
      </w:r>
      <w:r w:rsidRPr="00264AD4">
        <w:rPr>
          <w:noProof/>
        </w:rPr>
        <w:t xml:space="preserve"> Nature, 2017. </w:t>
      </w:r>
      <w:r w:rsidRPr="00264AD4">
        <w:rPr>
          <w:b/>
          <w:noProof/>
        </w:rPr>
        <w:t>551</w:t>
      </w:r>
      <w:r w:rsidRPr="00264AD4">
        <w:rPr>
          <w:noProof/>
        </w:rPr>
        <w:t>(7680): p. 333-339.</w:t>
      </w:r>
    </w:p>
    <w:p w14:paraId="4DC5AC37" w14:textId="77777777" w:rsidR="00264AD4" w:rsidRPr="00264AD4" w:rsidRDefault="00264AD4" w:rsidP="00264AD4">
      <w:pPr>
        <w:pStyle w:val="EndNoteBibliography"/>
        <w:spacing w:after="0"/>
        <w:ind w:left="720" w:hanging="720"/>
        <w:rPr>
          <w:noProof/>
        </w:rPr>
      </w:pPr>
      <w:r w:rsidRPr="00264AD4">
        <w:rPr>
          <w:noProof/>
        </w:rPr>
        <w:t>3.</w:t>
      </w:r>
      <w:r w:rsidRPr="00264AD4">
        <w:rPr>
          <w:noProof/>
        </w:rPr>
        <w:tab/>
        <w:t xml:space="preserve">Hagai, T., et al., </w:t>
      </w:r>
      <w:r w:rsidRPr="00264AD4">
        <w:rPr>
          <w:i/>
          <w:noProof/>
        </w:rPr>
        <w:t>Gene expression variability across cells and species shapes innate immunity.</w:t>
      </w:r>
      <w:r w:rsidRPr="00264AD4">
        <w:rPr>
          <w:noProof/>
        </w:rPr>
        <w:t xml:space="preserve"> Nature, 2018. </w:t>
      </w:r>
      <w:r w:rsidRPr="00264AD4">
        <w:rPr>
          <w:b/>
          <w:noProof/>
        </w:rPr>
        <w:t>563</w:t>
      </w:r>
      <w:r w:rsidRPr="00264AD4">
        <w:rPr>
          <w:noProof/>
        </w:rPr>
        <w:t>(7730): p. 197-202.</w:t>
      </w:r>
    </w:p>
    <w:p w14:paraId="1D4C5C43" w14:textId="77777777" w:rsidR="00264AD4" w:rsidRPr="00264AD4" w:rsidRDefault="00264AD4" w:rsidP="00264AD4">
      <w:pPr>
        <w:pStyle w:val="EndNoteBibliography"/>
        <w:spacing w:after="0"/>
        <w:ind w:left="720" w:hanging="720"/>
        <w:rPr>
          <w:noProof/>
        </w:rPr>
      </w:pPr>
      <w:r w:rsidRPr="00264AD4">
        <w:rPr>
          <w:noProof/>
        </w:rPr>
        <w:t>4.</w:t>
      </w:r>
      <w:r w:rsidRPr="00264AD4">
        <w:rPr>
          <w:noProof/>
        </w:rPr>
        <w:tab/>
        <w:t xml:space="preserve">Bendall, S.C., et al., </w:t>
      </w:r>
      <w:r w:rsidRPr="00264AD4">
        <w:rPr>
          <w:i/>
          <w:noProof/>
        </w:rPr>
        <w:t>Single-cell trajectory detection uncovers progression and regulatory coordination in human B cell development.</w:t>
      </w:r>
      <w:r w:rsidRPr="00264AD4">
        <w:rPr>
          <w:noProof/>
        </w:rPr>
        <w:t xml:space="preserve"> Cell, 2014. </w:t>
      </w:r>
      <w:r w:rsidRPr="00264AD4">
        <w:rPr>
          <w:b/>
          <w:noProof/>
        </w:rPr>
        <w:t>157</w:t>
      </w:r>
      <w:r w:rsidRPr="00264AD4">
        <w:rPr>
          <w:noProof/>
        </w:rPr>
        <w:t>(3): p. 714-725.</w:t>
      </w:r>
    </w:p>
    <w:p w14:paraId="5B033E91" w14:textId="77777777" w:rsidR="00264AD4" w:rsidRPr="00264AD4" w:rsidRDefault="00264AD4" w:rsidP="00264AD4">
      <w:pPr>
        <w:pStyle w:val="EndNoteBibliography"/>
        <w:spacing w:after="0"/>
        <w:ind w:left="720" w:hanging="720"/>
        <w:rPr>
          <w:noProof/>
        </w:rPr>
      </w:pPr>
      <w:r w:rsidRPr="00264AD4">
        <w:rPr>
          <w:noProof/>
        </w:rPr>
        <w:t>5.</w:t>
      </w:r>
      <w:r w:rsidRPr="00264AD4">
        <w:rPr>
          <w:noProof/>
        </w:rPr>
        <w:tab/>
        <w:t xml:space="preserve">Wolf, F.A., et al., </w:t>
      </w:r>
      <w:r w:rsidRPr="00264AD4">
        <w:rPr>
          <w:i/>
          <w:noProof/>
        </w:rPr>
        <w:t>PAGA: graph abstraction reconciles clustering with trajectory inference through a topology preserving map of single cells.</w:t>
      </w:r>
      <w:r w:rsidRPr="00264AD4">
        <w:rPr>
          <w:noProof/>
        </w:rPr>
        <w:t xml:space="preserve"> Genome biology, 2019. </w:t>
      </w:r>
      <w:r w:rsidRPr="00264AD4">
        <w:rPr>
          <w:b/>
          <w:noProof/>
        </w:rPr>
        <w:t>20</w:t>
      </w:r>
      <w:r w:rsidRPr="00264AD4">
        <w:rPr>
          <w:noProof/>
        </w:rPr>
        <w:t>: p. 1-9.</w:t>
      </w:r>
    </w:p>
    <w:p w14:paraId="4456F440" w14:textId="77777777" w:rsidR="00264AD4" w:rsidRPr="00264AD4" w:rsidRDefault="00264AD4" w:rsidP="00264AD4">
      <w:pPr>
        <w:pStyle w:val="EndNoteBibliography"/>
        <w:spacing w:after="0"/>
        <w:ind w:left="720" w:hanging="720"/>
        <w:rPr>
          <w:noProof/>
        </w:rPr>
      </w:pPr>
      <w:r w:rsidRPr="00264AD4">
        <w:rPr>
          <w:noProof/>
        </w:rPr>
        <w:t>6.</w:t>
      </w:r>
      <w:r w:rsidRPr="00264AD4">
        <w:rPr>
          <w:noProof/>
        </w:rPr>
        <w:tab/>
        <w:t xml:space="preserve">Ghahramani, A., F.M. Watt, and N.M. Luscombe, </w:t>
      </w:r>
      <w:r w:rsidRPr="00264AD4">
        <w:rPr>
          <w:i/>
          <w:noProof/>
        </w:rPr>
        <w:t>Generative adversarial networks uncover epidermal regulators and predict single cell perturbations.</w:t>
      </w:r>
      <w:r w:rsidRPr="00264AD4">
        <w:rPr>
          <w:noProof/>
        </w:rPr>
        <w:t xml:space="preserve"> bioRxiv, 2018: p. 262501.</w:t>
      </w:r>
    </w:p>
    <w:p w14:paraId="1A6DA290" w14:textId="77777777" w:rsidR="00264AD4" w:rsidRPr="00264AD4" w:rsidRDefault="00264AD4" w:rsidP="00264AD4">
      <w:pPr>
        <w:pStyle w:val="EndNoteBibliography"/>
        <w:spacing w:after="0"/>
        <w:ind w:left="720" w:hanging="720"/>
        <w:rPr>
          <w:noProof/>
        </w:rPr>
      </w:pPr>
      <w:r w:rsidRPr="00264AD4">
        <w:rPr>
          <w:noProof/>
        </w:rPr>
        <w:t>7.</w:t>
      </w:r>
      <w:r w:rsidRPr="00264AD4">
        <w:rPr>
          <w:noProof/>
        </w:rPr>
        <w:tab/>
        <w:t xml:space="preserve">Karras, T., S. Laine, and T. Aila. </w:t>
      </w:r>
      <w:r w:rsidRPr="00264AD4">
        <w:rPr>
          <w:i/>
          <w:noProof/>
        </w:rPr>
        <w:t>A style-based generator architecture for generative adversarial networks</w:t>
      </w:r>
      <w:r w:rsidRPr="00264AD4">
        <w:rPr>
          <w:noProof/>
        </w:rPr>
        <w:t xml:space="preserve">. in </w:t>
      </w:r>
      <w:r w:rsidRPr="00264AD4">
        <w:rPr>
          <w:i/>
          <w:noProof/>
        </w:rPr>
        <w:t>Proceedings of the IEEE/CVF conference on computer vision and pattern recognition</w:t>
      </w:r>
      <w:r w:rsidRPr="00264AD4">
        <w:rPr>
          <w:noProof/>
        </w:rPr>
        <w:t>. 2019.</w:t>
      </w:r>
    </w:p>
    <w:p w14:paraId="1C586E3D" w14:textId="77777777" w:rsidR="00264AD4" w:rsidRPr="00264AD4" w:rsidRDefault="00264AD4" w:rsidP="00264AD4">
      <w:pPr>
        <w:pStyle w:val="EndNoteBibliography"/>
        <w:spacing w:after="0"/>
        <w:ind w:left="720" w:hanging="720"/>
        <w:rPr>
          <w:noProof/>
        </w:rPr>
      </w:pPr>
      <w:r w:rsidRPr="00264AD4">
        <w:rPr>
          <w:noProof/>
        </w:rPr>
        <w:t>8.</w:t>
      </w:r>
      <w:r w:rsidRPr="00264AD4">
        <w:rPr>
          <w:noProof/>
        </w:rPr>
        <w:tab/>
        <w:t xml:space="preserve">Lotfollahi, M., F.A. Wolf, and F.J. Theis, </w:t>
      </w:r>
      <w:r w:rsidRPr="00264AD4">
        <w:rPr>
          <w:i/>
          <w:noProof/>
        </w:rPr>
        <w:t>scGen predicts single-cell perturbation responses.</w:t>
      </w:r>
      <w:r w:rsidRPr="00264AD4">
        <w:rPr>
          <w:noProof/>
        </w:rPr>
        <w:t xml:space="preserve"> Nature Methods, 2019. </w:t>
      </w:r>
      <w:r w:rsidRPr="00264AD4">
        <w:rPr>
          <w:b/>
          <w:noProof/>
        </w:rPr>
        <w:t>16</w:t>
      </w:r>
      <w:r w:rsidRPr="00264AD4">
        <w:rPr>
          <w:noProof/>
        </w:rPr>
        <w:t>(8): p. 715-721.</w:t>
      </w:r>
    </w:p>
    <w:p w14:paraId="0F76701C" w14:textId="77777777" w:rsidR="00264AD4" w:rsidRPr="00264AD4" w:rsidRDefault="00264AD4" w:rsidP="00264AD4">
      <w:pPr>
        <w:pStyle w:val="EndNoteBibliography"/>
        <w:spacing w:after="0"/>
        <w:ind w:left="720" w:hanging="720"/>
        <w:rPr>
          <w:noProof/>
        </w:rPr>
      </w:pPr>
      <w:r w:rsidRPr="00264AD4">
        <w:rPr>
          <w:noProof/>
        </w:rPr>
        <w:t>9.</w:t>
      </w:r>
      <w:r w:rsidRPr="00264AD4">
        <w:rPr>
          <w:noProof/>
        </w:rPr>
        <w:tab/>
        <w:t xml:space="preserve">Cortes, C., et al. </w:t>
      </w:r>
      <w:r w:rsidRPr="00264AD4">
        <w:rPr>
          <w:i/>
          <w:noProof/>
        </w:rPr>
        <w:t>Advances in neural information processing systems 28</w:t>
      </w:r>
      <w:r w:rsidRPr="00264AD4">
        <w:rPr>
          <w:noProof/>
        </w:rPr>
        <w:t xml:space="preserve">. in </w:t>
      </w:r>
      <w:r w:rsidRPr="00264AD4">
        <w:rPr>
          <w:i/>
          <w:noProof/>
        </w:rPr>
        <w:t>Proceedings of the 29th Annual Conference on Neural Information Processing Systems</w:t>
      </w:r>
      <w:r w:rsidRPr="00264AD4">
        <w:rPr>
          <w:noProof/>
        </w:rPr>
        <w:t>. 2015.</w:t>
      </w:r>
    </w:p>
    <w:p w14:paraId="52B1F16C" w14:textId="77777777" w:rsidR="00264AD4" w:rsidRPr="00264AD4" w:rsidRDefault="00264AD4" w:rsidP="00264AD4">
      <w:pPr>
        <w:pStyle w:val="EndNoteBibliography"/>
        <w:spacing w:after="0"/>
        <w:ind w:left="720" w:hanging="720"/>
        <w:rPr>
          <w:noProof/>
        </w:rPr>
      </w:pPr>
      <w:r w:rsidRPr="00264AD4">
        <w:rPr>
          <w:noProof/>
        </w:rPr>
        <w:t>10.</w:t>
      </w:r>
      <w:r w:rsidRPr="00264AD4">
        <w:rPr>
          <w:noProof/>
        </w:rPr>
        <w:tab/>
        <w:t xml:space="preserve">Kingma, D.P. and M. Welling, </w:t>
      </w:r>
      <w:r w:rsidRPr="00264AD4">
        <w:rPr>
          <w:i/>
          <w:noProof/>
        </w:rPr>
        <w:t>Auto-encoding variational bayes.</w:t>
      </w:r>
      <w:r w:rsidRPr="00264AD4">
        <w:rPr>
          <w:noProof/>
        </w:rPr>
        <w:t xml:space="preserve"> arXiv preprint arXiv:1312.6114, 2013.</w:t>
      </w:r>
    </w:p>
    <w:p w14:paraId="601962A0" w14:textId="77777777" w:rsidR="00264AD4" w:rsidRPr="00264AD4" w:rsidRDefault="00264AD4" w:rsidP="00264AD4">
      <w:pPr>
        <w:pStyle w:val="EndNoteBibliography"/>
        <w:spacing w:after="0"/>
        <w:ind w:left="720" w:hanging="720"/>
        <w:rPr>
          <w:noProof/>
        </w:rPr>
      </w:pPr>
      <w:r w:rsidRPr="00264AD4">
        <w:rPr>
          <w:noProof/>
        </w:rPr>
        <w:t>11.</w:t>
      </w:r>
      <w:r w:rsidRPr="00264AD4">
        <w:rPr>
          <w:noProof/>
        </w:rPr>
        <w:tab/>
        <w:t xml:space="preserve">Virtanen, P., et al., </w:t>
      </w:r>
      <w:r w:rsidRPr="00264AD4">
        <w:rPr>
          <w:i/>
          <w:noProof/>
        </w:rPr>
        <w:t>SciPy 1.0: fundamental algorithms for scientific computing in Python.</w:t>
      </w:r>
      <w:r w:rsidRPr="00264AD4">
        <w:rPr>
          <w:noProof/>
        </w:rPr>
        <w:t xml:space="preserve"> Nature methods, 2020. </w:t>
      </w:r>
      <w:r w:rsidRPr="00264AD4">
        <w:rPr>
          <w:b/>
          <w:noProof/>
        </w:rPr>
        <w:t>17</w:t>
      </w:r>
      <w:r w:rsidRPr="00264AD4">
        <w:rPr>
          <w:noProof/>
        </w:rPr>
        <w:t>(3): p. 261-272.</w:t>
      </w:r>
    </w:p>
    <w:p w14:paraId="202E2C30" w14:textId="77777777" w:rsidR="00264AD4" w:rsidRPr="00264AD4" w:rsidRDefault="00264AD4" w:rsidP="00264AD4">
      <w:pPr>
        <w:pStyle w:val="EndNoteBibliography"/>
        <w:spacing w:after="0"/>
        <w:ind w:left="720" w:hanging="720"/>
        <w:rPr>
          <w:noProof/>
        </w:rPr>
      </w:pPr>
      <w:r w:rsidRPr="00264AD4">
        <w:rPr>
          <w:noProof/>
        </w:rPr>
        <w:t>12.</w:t>
      </w:r>
      <w:r w:rsidRPr="00264AD4">
        <w:rPr>
          <w:noProof/>
        </w:rPr>
        <w:tab/>
        <w:t xml:space="preserve">Wolf, F.A., P. Angerer, and F.J. Theis, </w:t>
      </w:r>
      <w:r w:rsidRPr="00264AD4">
        <w:rPr>
          <w:i/>
          <w:noProof/>
        </w:rPr>
        <w:t>SCANPY: large-scale single-cell gene expression data analysis.</w:t>
      </w:r>
      <w:r w:rsidRPr="00264AD4">
        <w:rPr>
          <w:noProof/>
        </w:rPr>
        <w:t xml:space="preserve"> Genome biology, 2018. </w:t>
      </w:r>
      <w:r w:rsidRPr="00264AD4">
        <w:rPr>
          <w:b/>
          <w:noProof/>
        </w:rPr>
        <w:t>19</w:t>
      </w:r>
      <w:r w:rsidRPr="00264AD4">
        <w:rPr>
          <w:noProof/>
        </w:rPr>
        <w:t>: p. 1-5.</w:t>
      </w:r>
    </w:p>
    <w:p w14:paraId="1399A736" w14:textId="77777777" w:rsidR="00264AD4" w:rsidRPr="00264AD4" w:rsidRDefault="00264AD4" w:rsidP="00264AD4">
      <w:pPr>
        <w:pStyle w:val="EndNoteBibliography"/>
        <w:spacing w:after="0"/>
        <w:ind w:left="720" w:hanging="720"/>
        <w:rPr>
          <w:noProof/>
        </w:rPr>
      </w:pPr>
      <w:r w:rsidRPr="00264AD4">
        <w:rPr>
          <w:rFonts w:hint="eastAsia"/>
          <w:noProof/>
        </w:rPr>
        <w:t>13.</w:t>
      </w:r>
      <w:r w:rsidRPr="00264AD4">
        <w:rPr>
          <w:rFonts w:hint="eastAsia"/>
          <w:noProof/>
        </w:rPr>
        <w:tab/>
        <w:t xml:space="preserve">Cuzick, J., </w:t>
      </w:r>
      <w:r w:rsidRPr="00264AD4">
        <w:rPr>
          <w:rFonts w:hint="eastAsia"/>
          <w:i/>
          <w:noProof/>
        </w:rPr>
        <w:t>A Wilcoxon</w:t>
      </w:r>
      <w:r w:rsidRPr="00264AD4">
        <w:rPr>
          <w:rFonts w:hint="eastAsia"/>
          <w:i/>
          <w:noProof/>
        </w:rPr>
        <w:t>‐</w:t>
      </w:r>
      <w:r w:rsidRPr="00264AD4">
        <w:rPr>
          <w:rFonts w:hint="eastAsia"/>
          <w:i/>
          <w:noProof/>
        </w:rPr>
        <w:t>type test for trend.</w:t>
      </w:r>
      <w:r w:rsidRPr="00264AD4">
        <w:rPr>
          <w:rFonts w:hint="eastAsia"/>
          <w:noProof/>
        </w:rPr>
        <w:t xml:space="preserve"> Statistics in medicine, 1985. </w:t>
      </w:r>
      <w:r w:rsidRPr="00264AD4">
        <w:rPr>
          <w:rFonts w:hint="eastAsia"/>
          <w:b/>
          <w:noProof/>
        </w:rPr>
        <w:t>4</w:t>
      </w:r>
      <w:r w:rsidRPr="00264AD4">
        <w:rPr>
          <w:rFonts w:hint="eastAsia"/>
          <w:noProof/>
        </w:rPr>
        <w:t>(1): p. 87-90.</w:t>
      </w:r>
    </w:p>
    <w:p w14:paraId="71FDA1D2" w14:textId="77777777" w:rsidR="00264AD4" w:rsidRPr="00264AD4" w:rsidRDefault="00264AD4" w:rsidP="00264AD4">
      <w:pPr>
        <w:pStyle w:val="EndNoteBibliography"/>
        <w:ind w:left="720" w:hanging="720"/>
        <w:rPr>
          <w:noProof/>
        </w:rPr>
      </w:pPr>
      <w:r w:rsidRPr="00264AD4">
        <w:rPr>
          <w:noProof/>
        </w:rPr>
        <w:t>14.</w:t>
      </w:r>
      <w:r w:rsidRPr="00264AD4">
        <w:rPr>
          <w:noProof/>
        </w:rPr>
        <w:tab/>
        <w:t xml:space="preserve">Zheng, G.X., et al., </w:t>
      </w:r>
      <w:r w:rsidRPr="00264AD4">
        <w:rPr>
          <w:i/>
          <w:noProof/>
        </w:rPr>
        <w:t>Massively parallel digital transcriptional profiling of single cells.</w:t>
      </w:r>
      <w:r w:rsidRPr="00264AD4">
        <w:rPr>
          <w:noProof/>
        </w:rPr>
        <w:t xml:space="preserve"> Nature communications, 2017. </w:t>
      </w:r>
      <w:r w:rsidRPr="00264AD4">
        <w:rPr>
          <w:b/>
          <w:noProof/>
        </w:rPr>
        <w:t>8</w:t>
      </w:r>
      <w:r w:rsidRPr="00264AD4">
        <w:rPr>
          <w:noProof/>
        </w:rPr>
        <w:t>(1): p. 14049.</w:t>
      </w:r>
    </w:p>
    <w:p w14:paraId="2873326F" w14:textId="733C7912" w:rsidR="00AC6938" w:rsidRDefault="00AC6938" w:rsidP="00AC6938">
      <w:pPr>
        <w:rPr>
          <w:lang w:eastAsia="zh-CN"/>
        </w:rPr>
      </w:pPr>
      <w:r>
        <w:rPr>
          <w:lang w:eastAsia="zh-CN"/>
        </w:rPr>
        <w:fldChar w:fldCharType="end"/>
      </w:r>
    </w:p>
    <w:p w14:paraId="4B8C66C2" w14:textId="63747E18" w:rsidR="00193D4B" w:rsidRPr="00AC6938" w:rsidRDefault="00193D4B" w:rsidP="00AC6938"/>
    <w:sectPr w:rsidR="00193D4B" w:rsidRPr="00AC6938">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EB7DE" w14:textId="77777777" w:rsidR="007E2A5B" w:rsidRDefault="007E2A5B">
      <w:pPr>
        <w:spacing w:after="0"/>
      </w:pPr>
      <w:r>
        <w:separator/>
      </w:r>
    </w:p>
  </w:endnote>
  <w:endnote w:type="continuationSeparator" w:id="0">
    <w:p w14:paraId="039A7821" w14:textId="77777777" w:rsidR="007E2A5B" w:rsidRDefault="007E2A5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CC4DE5" w14:textId="77777777" w:rsidR="007E2A5B" w:rsidRDefault="007E2A5B">
      <w:r>
        <w:separator/>
      </w:r>
    </w:p>
  </w:footnote>
  <w:footnote w:type="continuationSeparator" w:id="0">
    <w:p w14:paraId="6DBABC45" w14:textId="77777777" w:rsidR="007E2A5B" w:rsidRDefault="007E2A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A072B35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05E75F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B4048B7C"/>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3" w15:restartNumberingAfterBreak="0">
    <w:nsid w:val="00A99413"/>
    <w:multiLevelType w:val="multilevel"/>
    <w:tmpl w:val="D3ECBF0A"/>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4" w15:restartNumberingAfterBreak="0">
    <w:nsid w:val="00A99414"/>
    <w:multiLevelType w:val="multilevel"/>
    <w:tmpl w:val="3B360D12"/>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5" w15:restartNumberingAfterBreak="0">
    <w:nsid w:val="09D85963"/>
    <w:multiLevelType w:val="multilevel"/>
    <w:tmpl w:val="48B0FE3A"/>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i/>
      </w:rPr>
    </w:lvl>
    <w:lvl w:ilvl="2">
      <w:start w:val="1"/>
      <w:numFmt w:val="decimal"/>
      <w:isLgl/>
      <w:lvlText w:val="%1.%2.%3"/>
      <w:lvlJc w:val="left"/>
      <w:pPr>
        <w:ind w:left="1080" w:hanging="1080"/>
      </w:pPr>
      <w:rPr>
        <w:rFonts w:hint="default"/>
        <w:i/>
      </w:rPr>
    </w:lvl>
    <w:lvl w:ilvl="3">
      <w:start w:val="1"/>
      <w:numFmt w:val="decimal"/>
      <w:isLgl/>
      <w:lvlText w:val="%1.%2.%3.%4"/>
      <w:lvlJc w:val="left"/>
      <w:pPr>
        <w:ind w:left="1080" w:hanging="1080"/>
      </w:pPr>
      <w:rPr>
        <w:rFonts w:hint="default"/>
        <w:i/>
      </w:rPr>
    </w:lvl>
    <w:lvl w:ilvl="4">
      <w:start w:val="1"/>
      <w:numFmt w:val="decimal"/>
      <w:isLgl/>
      <w:lvlText w:val="%1.%2.%3.%4.%5"/>
      <w:lvlJc w:val="left"/>
      <w:pPr>
        <w:ind w:left="1440" w:hanging="1440"/>
      </w:pPr>
      <w:rPr>
        <w:rFonts w:hint="default"/>
        <w:i/>
      </w:rPr>
    </w:lvl>
    <w:lvl w:ilvl="5">
      <w:start w:val="1"/>
      <w:numFmt w:val="decimal"/>
      <w:isLgl/>
      <w:lvlText w:val="%1.%2.%3.%4.%5.%6"/>
      <w:lvlJc w:val="left"/>
      <w:pPr>
        <w:ind w:left="1800" w:hanging="1800"/>
      </w:pPr>
      <w:rPr>
        <w:rFonts w:hint="default"/>
        <w:i/>
      </w:rPr>
    </w:lvl>
    <w:lvl w:ilvl="6">
      <w:start w:val="1"/>
      <w:numFmt w:val="decimal"/>
      <w:isLgl/>
      <w:lvlText w:val="%1.%2.%3.%4.%5.%6.%7"/>
      <w:lvlJc w:val="left"/>
      <w:pPr>
        <w:ind w:left="1800" w:hanging="1800"/>
      </w:pPr>
      <w:rPr>
        <w:rFonts w:hint="default"/>
        <w:i/>
      </w:rPr>
    </w:lvl>
    <w:lvl w:ilvl="7">
      <w:start w:val="1"/>
      <w:numFmt w:val="decimal"/>
      <w:isLgl/>
      <w:lvlText w:val="%1.%2.%3.%4.%5.%6.%7.%8"/>
      <w:lvlJc w:val="left"/>
      <w:pPr>
        <w:ind w:left="2160" w:hanging="2160"/>
      </w:pPr>
      <w:rPr>
        <w:rFonts w:hint="default"/>
        <w:i/>
      </w:rPr>
    </w:lvl>
    <w:lvl w:ilvl="8">
      <w:start w:val="1"/>
      <w:numFmt w:val="decimal"/>
      <w:isLgl/>
      <w:lvlText w:val="%1.%2.%3.%4.%5.%6.%7.%8.%9"/>
      <w:lvlJc w:val="left"/>
      <w:pPr>
        <w:ind w:left="2520" w:hanging="2520"/>
      </w:pPr>
      <w:rPr>
        <w:rFonts w:hint="default"/>
        <w:i/>
      </w:rPr>
    </w:lvl>
  </w:abstractNum>
  <w:abstractNum w:abstractNumId="6" w15:restartNumberingAfterBreak="0">
    <w:nsid w:val="0F8E73EA"/>
    <w:multiLevelType w:val="hybridMultilevel"/>
    <w:tmpl w:val="3C2812DE"/>
    <w:lvl w:ilvl="0" w:tplc="04090001">
      <w:start w:val="1"/>
      <w:numFmt w:val="bullet"/>
      <w:lvlText w:val=""/>
      <w:lvlJc w:val="left"/>
      <w:pPr>
        <w:ind w:left="420" w:hanging="420"/>
      </w:pPr>
      <w:rPr>
        <w:rFonts w:ascii="Wingdings" w:hAnsi="Wingdings" w:cs="Wingdings" w:hint="default"/>
      </w:rPr>
    </w:lvl>
    <w:lvl w:ilvl="1" w:tplc="04090003" w:tentative="1">
      <w:start w:val="1"/>
      <w:numFmt w:val="bullet"/>
      <w:lvlText w:val=""/>
      <w:lvlJc w:val="left"/>
      <w:pPr>
        <w:ind w:left="840" w:hanging="420"/>
      </w:pPr>
      <w:rPr>
        <w:rFonts w:ascii="Wingdings" w:hAnsi="Wingdings" w:cs="Wingdings" w:hint="default"/>
      </w:rPr>
    </w:lvl>
    <w:lvl w:ilvl="2" w:tplc="04090005" w:tentative="1">
      <w:start w:val="1"/>
      <w:numFmt w:val="bullet"/>
      <w:lvlText w:val=""/>
      <w:lvlJc w:val="left"/>
      <w:pPr>
        <w:ind w:left="1260" w:hanging="420"/>
      </w:pPr>
      <w:rPr>
        <w:rFonts w:ascii="Wingdings" w:hAnsi="Wingdings" w:cs="Wingdings" w:hint="default"/>
      </w:rPr>
    </w:lvl>
    <w:lvl w:ilvl="3" w:tplc="04090001" w:tentative="1">
      <w:start w:val="1"/>
      <w:numFmt w:val="bullet"/>
      <w:lvlText w:val=""/>
      <w:lvlJc w:val="left"/>
      <w:pPr>
        <w:ind w:left="1680" w:hanging="420"/>
      </w:pPr>
      <w:rPr>
        <w:rFonts w:ascii="Wingdings" w:hAnsi="Wingdings" w:cs="Wingdings" w:hint="default"/>
      </w:rPr>
    </w:lvl>
    <w:lvl w:ilvl="4" w:tplc="04090003" w:tentative="1">
      <w:start w:val="1"/>
      <w:numFmt w:val="bullet"/>
      <w:lvlText w:val=""/>
      <w:lvlJc w:val="left"/>
      <w:pPr>
        <w:ind w:left="2100" w:hanging="420"/>
      </w:pPr>
      <w:rPr>
        <w:rFonts w:ascii="Wingdings" w:hAnsi="Wingdings" w:cs="Wingdings" w:hint="default"/>
      </w:rPr>
    </w:lvl>
    <w:lvl w:ilvl="5" w:tplc="04090005" w:tentative="1">
      <w:start w:val="1"/>
      <w:numFmt w:val="bullet"/>
      <w:lvlText w:val=""/>
      <w:lvlJc w:val="left"/>
      <w:pPr>
        <w:ind w:left="2520" w:hanging="420"/>
      </w:pPr>
      <w:rPr>
        <w:rFonts w:ascii="Wingdings" w:hAnsi="Wingdings" w:cs="Wingdings" w:hint="default"/>
      </w:rPr>
    </w:lvl>
    <w:lvl w:ilvl="6" w:tplc="04090001" w:tentative="1">
      <w:start w:val="1"/>
      <w:numFmt w:val="bullet"/>
      <w:lvlText w:val=""/>
      <w:lvlJc w:val="left"/>
      <w:pPr>
        <w:ind w:left="2940" w:hanging="420"/>
      </w:pPr>
      <w:rPr>
        <w:rFonts w:ascii="Wingdings" w:hAnsi="Wingdings" w:cs="Wingdings" w:hint="default"/>
      </w:rPr>
    </w:lvl>
    <w:lvl w:ilvl="7" w:tplc="04090003" w:tentative="1">
      <w:start w:val="1"/>
      <w:numFmt w:val="bullet"/>
      <w:lvlText w:val=""/>
      <w:lvlJc w:val="left"/>
      <w:pPr>
        <w:ind w:left="3360" w:hanging="420"/>
      </w:pPr>
      <w:rPr>
        <w:rFonts w:ascii="Wingdings" w:hAnsi="Wingdings" w:cs="Wingdings" w:hint="default"/>
      </w:rPr>
    </w:lvl>
    <w:lvl w:ilvl="8" w:tplc="04090005" w:tentative="1">
      <w:start w:val="1"/>
      <w:numFmt w:val="bullet"/>
      <w:lvlText w:val=""/>
      <w:lvlJc w:val="left"/>
      <w:pPr>
        <w:ind w:left="3780" w:hanging="420"/>
      </w:pPr>
      <w:rPr>
        <w:rFonts w:ascii="Wingdings" w:hAnsi="Wingdings" w:cs="Wingdings" w:hint="default"/>
      </w:rPr>
    </w:lvl>
  </w:abstractNum>
  <w:abstractNum w:abstractNumId="7" w15:restartNumberingAfterBreak="0">
    <w:nsid w:val="7AEB4E86"/>
    <w:multiLevelType w:val="hybridMultilevel"/>
    <w:tmpl w:val="607A8E94"/>
    <w:lvl w:ilvl="0" w:tplc="D84A10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37596895">
    <w:abstractNumId w:val="0"/>
  </w:num>
  <w:num w:numId="2" w16cid:durableId="7516331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4714041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4" w16cid:durableId="2003311141">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5" w16cid:durableId="60584390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30320785">
    <w:abstractNumId w:val="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7" w16cid:durableId="1066414833">
    <w:abstractNumId w:val="6"/>
  </w:num>
  <w:num w:numId="8" w16cid:durableId="1875271758">
    <w:abstractNumId w:val="7"/>
  </w:num>
  <w:num w:numId="9" w16cid:durableId="9944535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77"/>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f0rtfskvt02yezrxjx90d4f52xet9pdf2w&quot;&gt;My EndNote Library&lt;record-ids&gt;&lt;item&gt;6&lt;/item&gt;&lt;item&gt;7&lt;/item&gt;&lt;item&gt;8&lt;/item&gt;&lt;item&gt;9&lt;/item&gt;&lt;item&gt;11&lt;/item&gt;&lt;item&gt;12&lt;/item&gt;&lt;item&gt;13&lt;/item&gt;&lt;item&gt;14&lt;/item&gt;&lt;item&gt;16&lt;/item&gt;&lt;item&gt;17&lt;/item&gt;&lt;item&gt;18&lt;/item&gt;&lt;item&gt;21&lt;/item&gt;&lt;item&gt;27&lt;/item&gt;&lt;item&gt;29&lt;/item&gt;&lt;/record-ids&gt;&lt;/item&gt;&lt;/Libraries&gt;"/>
  </w:docVars>
  <w:rsids>
    <w:rsidRoot w:val="00650ABB"/>
    <w:rsid w:val="0000366F"/>
    <w:rsid w:val="00024E34"/>
    <w:rsid w:val="00055648"/>
    <w:rsid w:val="00061C09"/>
    <w:rsid w:val="000637CD"/>
    <w:rsid w:val="000E480C"/>
    <w:rsid w:val="001237D8"/>
    <w:rsid w:val="00193D4B"/>
    <w:rsid w:val="001B28E2"/>
    <w:rsid w:val="0020388C"/>
    <w:rsid w:val="00264AD4"/>
    <w:rsid w:val="002810EC"/>
    <w:rsid w:val="0028156B"/>
    <w:rsid w:val="00282624"/>
    <w:rsid w:val="00296474"/>
    <w:rsid w:val="00296FE0"/>
    <w:rsid w:val="003419A3"/>
    <w:rsid w:val="00345A3E"/>
    <w:rsid w:val="00357137"/>
    <w:rsid w:val="003808A4"/>
    <w:rsid w:val="00385402"/>
    <w:rsid w:val="003E5699"/>
    <w:rsid w:val="00403F61"/>
    <w:rsid w:val="0045392B"/>
    <w:rsid w:val="005D5EA0"/>
    <w:rsid w:val="005F447C"/>
    <w:rsid w:val="0061706C"/>
    <w:rsid w:val="00650ABB"/>
    <w:rsid w:val="0066755C"/>
    <w:rsid w:val="00682D7D"/>
    <w:rsid w:val="00686514"/>
    <w:rsid w:val="006E4328"/>
    <w:rsid w:val="006F54FC"/>
    <w:rsid w:val="006F5943"/>
    <w:rsid w:val="0075418D"/>
    <w:rsid w:val="00790225"/>
    <w:rsid w:val="007C1A4F"/>
    <w:rsid w:val="007D5E9B"/>
    <w:rsid w:val="007E2A5B"/>
    <w:rsid w:val="007F6010"/>
    <w:rsid w:val="00801E61"/>
    <w:rsid w:val="008178E7"/>
    <w:rsid w:val="008D3A3A"/>
    <w:rsid w:val="00925146"/>
    <w:rsid w:val="009470BF"/>
    <w:rsid w:val="00A0694A"/>
    <w:rsid w:val="00A06A34"/>
    <w:rsid w:val="00A10E90"/>
    <w:rsid w:val="00A23827"/>
    <w:rsid w:val="00A6298D"/>
    <w:rsid w:val="00A67758"/>
    <w:rsid w:val="00A76276"/>
    <w:rsid w:val="00A903B7"/>
    <w:rsid w:val="00A95DD1"/>
    <w:rsid w:val="00AA26B1"/>
    <w:rsid w:val="00AC6938"/>
    <w:rsid w:val="00AC78F8"/>
    <w:rsid w:val="00B91BF1"/>
    <w:rsid w:val="00BA64AD"/>
    <w:rsid w:val="00BE5C4B"/>
    <w:rsid w:val="00BF1B62"/>
    <w:rsid w:val="00C066BC"/>
    <w:rsid w:val="00C55C8C"/>
    <w:rsid w:val="00CA3EEE"/>
    <w:rsid w:val="00D422EB"/>
    <w:rsid w:val="00D803EE"/>
    <w:rsid w:val="00DA6961"/>
    <w:rsid w:val="00DC0578"/>
    <w:rsid w:val="00E26705"/>
    <w:rsid w:val="00E673AA"/>
    <w:rsid w:val="00EA629A"/>
    <w:rsid w:val="00FE137D"/>
    <w:rsid w:val="00FE2E36"/>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3FE630"/>
  <w15:docId w15:val="{28CC005E-76B8-AA45-865E-0292186A0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EndNoteBibliographyTitle">
    <w:name w:val="EndNote Bibliography Title"/>
    <w:basedOn w:val="a"/>
    <w:link w:val="EndNoteBibliographyTitle0"/>
    <w:rsid w:val="00FE2E36"/>
    <w:pPr>
      <w:spacing w:after="0"/>
      <w:jc w:val="center"/>
    </w:pPr>
    <w:rPr>
      <w:rFonts w:ascii="Cambria" w:hAnsi="Cambria"/>
    </w:rPr>
  </w:style>
  <w:style w:type="character" w:customStyle="1" w:styleId="a4">
    <w:name w:val="正文文本 字符"/>
    <w:basedOn w:val="a1"/>
    <w:link w:val="a0"/>
    <w:rsid w:val="00FE2E36"/>
  </w:style>
  <w:style w:type="character" w:customStyle="1" w:styleId="EndNoteBibliographyTitle0">
    <w:name w:val="EndNote Bibliography Title 字符"/>
    <w:basedOn w:val="a4"/>
    <w:link w:val="EndNoteBibliographyTitle"/>
    <w:rsid w:val="00FE2E36"/>
    <w:rPr>
      <w:rFonts w:ascii="Cambria" w:hAnsi="Cambria"/>
    </w:rPr>
  </w:style>
  <w:style w:type="paragraph" w:customStyle="1" w:styleId="EndNoteBibliography">
    <w:name w:val="EndNote Bibliography"/>
    <w:basedOn w:val="a"/>
    <w:link w:val="EndNoteBibliography0"/>
    <w:rsid w:val="00FE2E36"/>
    <w:rPr>
      <w:rFonts w:ascii="Cambria" w:hAnsi="Cambria"/>
    </w:rPr>
  </w:style>
  <w:style w:type="character" w:customStyle="1" w:styleId="EndNoteBibliography0">
    <w:name w:val="EndNote Bibliography 字符"/>
    <w:basedOn w:val="a4"/>
    <w:link w:val="EndNoteBibliography"/>
    <w:rsid w:val="00FE2E36"/>
    <w:rPr>
      <w:rFonts w:ascii="Cambria" w:hAnsi="Cambria"/>
    </w:rPr>
  </w:style>
  <w:style w:type="paragraph" w:styleId="af">
    <w:name w:val="List Paragraph"/>
    <w:basedOn w:val="a"/>
    <w:rsid w:val="00FE2E36"/>
    <w:pPr>
      <w:ind w:firstLineChars="200" w:firstLine="420"/>
    </w:pPr>
  </w:style>
  <w:style w:type="paragraph" w:styleId="af0">
    <w:name w:val="header"/>
    <w:basedOn w:val="a"/>
    <w:link w:val="af1"/>
    <w:unhideWhenUsed/>
    <w:rsid w:val="0075418D"/>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75418D"/>
    <w:rPr>
      <w:sz w:val="18"/>
      <w:szCs w:val="18"/>
    </w:rPr>
  </w:style>
  <w:style w:type="paragraph" w:styleId="af2">
    <w:name w:val="footer"/>
    <w:basedOn w:val="a"/>
    <w:link w:val="af3"/>
    <w:unhideWhenUsed/>
    <w:rsid w:val="0075418D"/>
    <w:pPr>
      <w:tabs>
        <w:tab w:val="center" w:pos="4153"/>
        <w:tab w:val="right" w:pos="8306"/>
      </w:tabs>
      <w:snapToGrid w:val="0"/>
    </w:pPr>
    <w:rPr>
      <w:sz w:val="18"/>
      <w:szCs w:val="18"/>
    </w:rPr>
  </w:style>
  <w:style w:type="character" w:customStyle="1" w:styleId="af3">
    <w:name w:val="页脚 字符"/>
    <w:basedOn w:val="a1"/>
    <w:link w:val="af2"/>
    <w:rsid w:val="0075418D"/>
    <w:rPr>
      <w:sz w:val="18"/>
      <w:szCs w:val="18"/>
    </w:rPr>
  </w:style>
  <w:style w:type="character" w:styleId="af4">
    <w:name w:val="Unresolved Mention"/>
    <w:basedOn w:val="a1"/>
    <w:uiPriority w:val="99"/>
    <w:semiHidden/>
    <w:unhideWhenUsed/>
    <w:rsid w:val="00E267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64710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tongtongtot/scperb/tree/master/data"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195</TotalTime>
  <Pages>11</Pages>
  <Words>6365</Words>
  <Characters>36281</Characters>
  <Application>Microsoft Office Word</Application>
  <DocSecurity>0</DocSecurity>
  <Lines>302</Lines>
  <Paragraphs>85</Paragraphs>
  <ScaleCrop>false</ScaleCrop>
  <Company/>
  <LinksUpToDate>false</LinksUpToDate>
  <CharactersWithSpaces>42561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tang zijia</cp:lastModifiedBy>
  <cp:revision>51</cp:revision>
  <dcterms:created xsi:type="dcterms:W3CDTF">2023-08-10T17:20:00Z</dcterms:created>
  <dcterms:modified xsi:type="dcterms:W3CDTF">2023-08-13T06:34:00Z</dcterms:modified>
</cp:coreProperties>
</file>