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E9A32" w14:textId="3A016C54" w:rsidR="00FE2E36" w:rsidRPr="00FE2E36" w:rsidRDefault="00FE2E36" w:rsidP="00FE2E36">
      <w:pPr>
        <w:pStyle w:val="af"/>
        <w:numPr>
          <w:ilvl w:val="0"/>
          <w:numId w:val="9"/>
        </w:numPr>
        <w:ind w:firstLineChars="0"/>
        <w:rPr>
          <w:b/>
          <w:bCs/>
          <w:sz w:val="44"/>
          <w:szCs w:val="44"/>
        </w:rPr>
      </w:pPr>
      <w:bookmarkStart w:id="0" w:name="scperb"/>
      <w:r w:rsidRPr="00FE2E36">
        <w:rPr>
          <w:b/>
          <w:bCs/>
          <w:sz w:val="44"/>
          <w:szCs w:val="44"/>
        </w:rPr>
        <w:t>Methods</w:t>
      </w:r>
    </w:p>
    <w:p w14:paraId="375A8679" w14:textId="77777777" w:rsidR="00650ABB" w:rsidRDefault="00000000">
      <w:pPr>
        <w:pStyle w:val="FirstParagraph"/>
      </w:pPr>
      <w:r>
        <w:t xml:space="preserve">Inspired by the transfer learning paradigm, we presented scPerb, a generative model that can learn the “content”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of the cell types from both the control and stimulus datasets, where </w:t>
      </w:r>
      <m:oMath>
        <m:r>
          <w:rPr>
            <w:rFonts w:ascii="Cambria Math" w:hAnsi="Cambria Math"/>
          </w:rPr>
          <m:t>c</m:t>
        </m:r>
      </m:oMath>
      <w:r>
        <w:t xml:space="preserve"> represented the “content features” of the cell types, and transfer the style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from the control dataset to the stimulation dataset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 where </w:t>
      </w:r>
      <m:oMath>
        <m:r>
          <w:rPr>
            <w:rFonts w:ascii="Cambria Math" w:hAnsi="Cambria Math"/>
          </w:rPr>
          <m:t>s</m:t>
        </m:r>
      </m:oMath>
      <w:r>
        <w:t xml:space="preserve"> represented the “dataset styles”.</w:t>
      </w:r>
    </w:p>
    <w:p w14:paraId="26E59F4F" w14:textId="23BC1071" w:rsidR="00650ABB" w:rsidRDefault="00000000">
      <w:pPr>
        <w:pStyle w:val="a0"/>
      </w:pPr>
      <w:r>
        <w:t>scPerb is inspired by Var</w:t>
      </w:r>
      <w:r w:rsidR="00193D4B">
        <w:t>ia</w:t>
      </w:r>
      <w:r>
        <w:t>tional Auto-Encoder (VAE)</w:t>
      </w:r>
      <w:r w:rsidR="00FE2E36">
        <w:fldChar w:fldCharType="begin"/>
      </w:r>
      <w:r w:rsidR="00FE2E36">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FE2E36">
        <w:fldChar w:fldCharType="separate"/>
      </w:r>
      <w:r w:rsidR="00FE2E36">
        <w:rPr>
          <w:noProof/>
        </w:rPr>
        <w:t>[1]</w:t>
      </w:r>
      <w:r w:rsidR="00FE2E36">
        <w:fldChar w:fldCharType="end"/>
      </w:r>
      <w:r>
        <w:t xml:space="preserve"> and the style-transfer GAN (stGAN)</w:t>
      </w:r>
      <w:r w:rsidR="0028156B">
        <w:fldChar w:fldCharType="begin"/>
      </w:r>
      <w:r w:rsidR="0028156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8156B">
        <w:fldChar w:fldCharType="separate"/>
      </w:r>
      <w:r w:rsidR="0028156B">
        <w:rPr>
          <w:noProof/>
        </w:rPr>
        <w:t>[2]</w:t>
      </w:r>
      <w:r w:rsidR="0028156B">
        <w:fldChar w:fldCharType="end"/>
      </w:r>
      <w:r>
        <w:t xml:space="preserve">. We used the variational inference to estimate the distribution </w:t>
      </w:r>
      <m:oMath>
        <m:r>
          <w:rPr>
            <w:rFonts w:ascii="Cambria Math" w:hAnsi="Cambria Math"/>
          </w:rPr>
          <m:t>μ</m:t>
        </m:r>
      </m:oMath>
      <w:r>
        <w:t xml:space="preserve"> and </w:t>
      </w:r>
      <m:oMath>
        <m:r>
          <w:rPr>
            <w:rFonts w:ascii="Cambria Math" w:hAnsi="Cambria Math"/>
          </w:rPr>
          <m:t>σ</m:t>
        </m:r>
      </m:oMath>
      <w:r>
        <w:t xml:space="preserve"> of the “content features” </w:t>
      </w:r>
      <m:oMath>
        <m:r>
          <w:rPr>
            <w:rFonts w:ascii="Cambria Math" w:hAnsi="Cambria Math"/>
          </w:rPr>
          <m:t>c</m:t>
        </m:r>
      </m:oMath>
      <w:r>
        <w:t xml:space="preserve"> in the latent space, and project style input vector </w:t>
      </w:r>
      <m:oMath>
        <m:r>
          <w:rPr>
            <w:rFonts w:ascii="Cambria Math" w:hAnsi="Cambria Math"/>
          </w:rPr>
          <m:t>r</m:t>
        </m:r>
      </m:oMath>
      <w:r>
        <w:t xml:space="preserve"> into the latent space and learn the transformation </w:t>
      </w:r>
      <m:oMath>
        <m:r>
          <w:rPr>
            <w:rFonts w:ascii="Cambria Math" w:hAnsi="Cambria Math"/>
          </w:rPr>
          <m:t>s</m:t>
        </m:r>
      </m:oMath>
      <w:r>
        <w:t xml:space="preserv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to the stimulation dataset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For the rest of the descriptions, we denote </w:t>
      </w:r>
      <m:oMath>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as a content encoder to learn the cell-type awareness features,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to project the random-style input vectors to the latent space, </w:t>
      </w:r>
      <m:oMath>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and </w:t>
      </w:r>
      <m:oMath>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represented to the </w:t>
      </w:r>
      <m:oMath>
        <m:r>
          <w:rPr>
            <w:rFonts w:ascii="Cambria Math" w:hAnsi="Cambria Math"/>
          </w:rPr>
          <m:t>μ</m:t>
        </m:r>
      </m:oMath>
      <w:r>
        <w:t xml:space="preserve"> and </w:t>
      </w:r>
      <m:oMath>
        <m:r>
          <w:rPr>
            <w:rFonts w:ascii="Cambria Math" w:hAnsi="Cambria Math"/>
          </w:rPr>
          <m:t>σ</m:t>
        </m:r>
      </m:oMath>
      <w:r>
        <w:t xml:space="preserve"> estimation for the distribution of </w:t>
      </w:r>
      <m:oMath>
        <m:r>
          <w:rPr>
            <w:rFonts w:ascii="Cambria Math" w:hAnsi="Cambria Math"/>
          </w:rPr>
          <m:t>c</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r>
              <m:rPr>
                <m:sty m:val="p"/>
              </m:rPr>
              <w:rPr>
                <w:rFonts w:ascii="Cambria Math" w:hAnsi="Cambria Math"/>
              </w:rPr>
              <m:t>.</m:t>
            </m:r>
          </m:e>
        </m:d>
      </m:oMath>
      <w:r>
        <w:t xml:space="preserve"> for the decoder to generate the stimulation data from the latent variables </w:t>
      </w:r>
      <m:oMath>
        <m:r>
          <w:rPr>
            <w:rFonts w:ascii="Cambria Math" w:hAnsi="Cambria Math"/>
          </w:rPr>
          <m:t>c</m:t>
        </m:r>
      </m:oMath>
      <w:r>
        <w:t xml:space="preserve"> and </w:t>
      </w:r>
      <m:oMath>
        <m:r>
          <w:rPr>
            <w:rFonts w:ascii="Cambria Math" w:hAnsi="Cambria Math"/>
          </w:rPr>
          <m:t>s</m:t>
        </m:r>
      </m:oMath>
      <w:r>
        <w:t>.</w:t>
      </w:r>
    </w:p>
    <w:p w14:paraId="5DE7242D" w14:textId="77777777" w:rsidR="00FE2E36" w:rsidRDefault="00000000" w:rsidP="00FE2E36">
      <w:pPr>
        <w:pStyle w:val="a0"/>
      </w:pPr>
      <w:r>
        <w:t xml:space="preserve">In the inference stage, given a specific cell type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scPerb will extract the cell type-related features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get the generated the pseudo-stimulus cell type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oMath>
      <w:r>
        <w:t xml:space="preserve"> based on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oMath>
      <w:r>
        <w:t xml:space="preserve">, a result of a neuro-network, learning the difference between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w:t>
      </w:r>
      <w:bookmarkStart w:id="1" w:name="encoders"/>
    </w:p>
    <w:p w14:paraId="4B34915A" w14:textId="7A712988" w:rsidR="00650ABB" w:rsidRPr="00FE2E36" w:rsidRDefault="00000000" w:rsidP="00FE2E36">
      <w:pPr>
        <w:pStyle w:val="a0"/>
        <w:numPr>
          <w:ilvl w:val="1"/>
          <w:numId w:val="9"/>
        </w:numPr>
        <w:rPr>
          <w:sz w:val="32"/>
          <w:szCs w:val="32"/>
        </w:rPr>
      </w:pPr>
      <w:r w:rsidRPr="00FE2E36">
        <w:rPr>
          <w:sz w:val="32"/>
          <w:szCs w:val="32"/>
        </w:rPr>
        <w:t>Encoders</w:t>
      </w:r>
      <w:bookmarkEnd w:id="1"/>
    </w:p>
    <w:p w14:paraId="3AB91033" w14:textId="77777777" w:rsidR="00650ABB" w:rsidRDefault="00000000">
      <w:pPr>
        <w:pStyle w:val="FirstParagraph"/>
      </w:pPr>
      <w:r>
        <w:t xml:space="preserve">We assumed the observations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from the control and stimulation datasets had two independent latent features: a cell type-related latent feature, denoted as “content” </w:t>
      </w:r>
      <m:oMath>
        <m:r>
          <w:rPr>
            <w:rFonts w:ascii="Cambria Math" w:hAnsi="Cambria Math"/>
          </w:rPr>
          <m:t>c</m:t>
        </m:r>
      </m:oMath>
      <w:r>
        <w:t xml:space="preserve"> , and a dataset-specific feature, denoted as “style” </w:t>
      </w:r>
      <m:oMath>
        <m:r>
          <w:rPr>
            <w:rFonts w:ascii="Cambria Math" w:hAnsi="Cambria Math"/>
          </w:rPr>
          <m:t>s</m:t>
        </m:r>
      </m:oMath>
      <w:r>
        <w:t xml:space="preserve">. To extract the common cell type content feature, we first project the inputs into the latent space, then estimate the </w:t>
      </w:r>
      <m:oMath>
        <m:r>
          <w:rPr>
            <w:rFonts w:ascii="Cambria Math" w:hAnsi="Cambria Math"/>
          </w:rPr>
          <m:t>μ</m:t>
        </m:r>
        <m:r>
          <m:rPr>
            <m:sty m:val="p"/>
          </m:rPr>
          <w:rPr>
            <w:rFonts w:ascii="Cambria Math" w:hAnsi="Cambria Math"/>
          </w:rPr>
          <m:t>,</m:t>
        </m:r>
        <m:r>
          <w:rPr>
            <w:rFonts w:ascii="Cambria Math" w:hAnsi="Cambria Math"/>
          </w:rPr>
          <m:t>σ</m:t>
        </m:r>
      </m:oMath>
      <w:r>
        <w:t xml:space="preserve"> to represent the normal distribution of </w:t>
      </w:r>
      <m:oMath>
        <m:r>
          <w:rPr>
            <w:rFonts w:ascii="Cambria Math" w:hAnsi="Cambria Math"/>
          </w:rPr>
          <m:t>c</m:t>
        </m:r>
      </m:oMath>
      <w:r>
        <w:t xml:space="preserve">, and resample the latent variable </w:t>
      </w:r>
      <m:oMath>
        <m:r>
          <w:rPr>
            <w:rFonts w:ascii="Cambria Math" w:hAnsi="Cambria Math"/>
          </w:rPr>
          <m:t>Z</m:t>
        </m:r>
      </m:oMath>
      <w:r>
        <w:t xml:space="preserve"> based on the generated distribution:</w:t>
      </w:r>
    </w:p>
    <w:p w14:paraId="68AF3A95" w14:textId="77777777" w:rsidR="00650ABB" w:rsidRDefault="00000000">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25675FF7" w14:textId="77777777" w:rsidR="00650ABB" w:rsidRDefault="00000000">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09D9478C" w14:textId="77777777" w:rsidR="00650ABB" w:rsidRDefault="00000000">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6F9A7DE7" w14:textId="77777777" w:rsidR="00650ABB" w:rsidRDefault="00000000">
      <w:pPr>
        <w:pStyle w:val="FirstParagraph"/>
      </w:pPr>
      <w:r>
        <w:t xml:space="preserve">We shared the projection weights between the two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 and therefore we can have the latent representation of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as:</w:t>
      </w:r>
    </w:p>
    <w:p w14:paraId="14DD0207" w14:textId="77777777" w:rsidR="00650ABB" w:rsidRDefault="00000000">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7DA38ACD" w14:textId="77777777" w:rsidR="00650ABB" w:rsidRDefault="00000000">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0610C686" w14:textId="77777777" w:rsidR="00650ABB" w:rsidRDefault="00000000">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4C9CB375" w14:textId="6FC9CB3A" w:rsidR="00650ABB" w:rsidRDefault="00000000">
      <w:pPr>
        <w:pStyle w:val="FirstParagraph"/>
      </w:pPr>
      <w:r>
        <w:lastRenderedPageBreak/>
        <w:t xml:space="preserve">In this manuscript,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rPr>
          <m:t>s</m:t>
        </m:r>
      </m:oMath>
      <w:r>
        <w:t xml:space="preserve"> in the latent space. Our idea was inspired by the style transfer learnings</w:t>
      </w:r>
      <w:r w:rsidR="00193D4B">
        <w:fldChar w:fldCharType="begin"/>
      </w:r>
      <w:r w:rsidR="00193D4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193D4B">
        <w:fldChar w:fldCharType="separate"/>
      </w:r>
      <w:r w:rsidR="00193D4B">
        <w:rPr>
          <w:noProof/>
        </w:rPr>
        <w:t>[2]</w:t>
      </w:r>
      <w:r w:rsidR="00193D4B">
        <w:fldChar w:fldCharType="end"/>
      </w:r>
      <w:r>
        <w:t xml:space="preserve">, where randomly sampled a noise </w:t>
      </w:r>
      <m:oMath>
        <m:r>
          <w:rPr>
            <w:rFonts w:ascii="Cambria Math" w:hAnsi="Cambria Math"/>
          </w:rPr>
          <m:t>r</m:t>
        </m:r>
      </m:oMath>
      <w:r>
        <w:t xml:space="preserve"> and project the latent space as the styles. In ScPerb, we applied a style encoder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which can project the </w:t>
      </w:r>
      <m:oMath>
        <m:r>
          <w:rPr>
            <w:rFonts w:ascii="Cambria Math" w:hAnsi="Cambria Math"/>
          </w:rPr>
          <m:t>r</m:t>
        </m:r>
      </m:oMath>
      <w:r>
        <w:t xml:space="preserve"> into the latent space as the transformation variable to convert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to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w:t>
      </w:r>
    </w:p>
    <w:p w14:paraId="329D72DC" w14:textId="77777777" w:rsidR="00650ABB" w:rsidRDefault="00000000">
      <w:pPr>
        <w:pStyle w:val="a0"/>
      </w:pPr>
      <m:oMathPara>
        <m:oMathParaPr>
          <m:jc m:val="center"/>
        </m:oMathParaP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w:rPr>
                  <w:rFonts w:ascii="Cambria Math" w:hAnsi="Cambria Math"/>
                </w:rPr>
                <m:t>r</m:t>
              </m:r>
            </m:e>
          </m:d>
        </m:oMath>
      </m:oMathPara>
    </w:p>
    <w:p w14:paraId="5D4C3637" w14:textId="77777777" w:rsidR="00650ABB" w:rsidRDefault="00000000">
      <w:pPr>
        <w:pStyle w:val="FirstParagraph"/>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oMath>
      </m:oMathPara>
    </w:p>
    <w:p w14:paraId="4FC8C315" w14:textId="77777777" w:rsidR="00650ABB" w:rsidRDefault="00000000">
      <w:pPr>
        <w:pStyle w:val="FirstParagraph"/>
      </w:pPr>
      <w:r>
        <w:t>And therefore we have the following style loss and the KL regulations:</w:t>
      </w:r>
    </w:p>
    <w:p w14:paraId="63F0D411" w14:textId="77777777" w:rsidR="00650ABB" w:rsidRDefault="00000000">
      <w:pPr>
        <w:pStyle w:val="a0"/>
      </w:pPr>
      <m:oMathPara>
        <m:oMathParaPr>
          <m:jc m:val="center"/>
        </m:oMathParaPr>
        <m:oMath>
          <m:r>
            <w:rPr>
              <w:rFonts w:ascii="Cambria Math" w:hAnsi="Cambria Math"/>
            </w:rPr>
            <m:t>StyleLoss</m:t>
          </m:r>
          <m:r>
            <m:rPr>
              <m:sty m:val="p"/>
            </m:rPr>
            <w:rPr>
              <w:rFonts w:ascii="Cambria Math" w:hAnsi="Cambria Math"/>
            </w:rPr>
            <m:t>=</m:t>
          </m:r>
          <m:r>
            <w:rPr>
              <w:rFonts w:ascii="Cambria Math" w:hAnsi="Cambria Math"/>
            </w:rPr>
            <m:t>SmoothL1Loss</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e>
          </m:d>
        </m:oMath>
      </m:oMathPara>
    </w:p>
    <w:p w14:paraId="29048F68" w14:textId="77777777" w:rsidR="00650ABB" w:rsidRDefault="00000000">
      <w:pPr>
        <w:pStyle w:val="FirstParagraph"/>
      </w:pPr>
      <m:oMathPara>
        <m:oMathParaPr>
          <m:jc m:val="center"/>
        </m:oMathParaPr>
        <m:oMath>
          <m:r>
            <w:rPr>
              <w:rFonts w:ascii="Cambria Math" w:hAnsi="Cambria Math"/>
            </w:rPr>
            <m:t>KLLoss</m:t>
          </m:r>
          <m:r>
            <m:rPr>
              <m:sty m:val="p"/>
            </m:rPr>
            <w:rPr>
              <w:rFonts w:ascii="Cambria Math" w:hAnsi="Cambria Math"/>
            </w:rPr>
            <m:t>=</m:t>
          </m:r>
          <m:r>
            <w:rPr>
              <w:rFonts w:ascii="Cambria Math" w:hAnsi="Cambria Math"/>
            </w:rPr>
            <m:t>KL</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d>
        </m:oMath>
      </m:oMathPara>
    </w:p>
    <w:p w14:paraId="2EFE4C98" w14:textId="77777777" w:rsidR="00650ABB" w:rsidRDefault="00000000">
      <w:pPr>
        <w:pStyle w:val="FirstParagraph"/>
      </w:pPr>
      <w:r>
        <w:t>Where SmoothL1Loss and KL divergence are:</w:t>
      </w:r>
    </w:p>
    <w:p w14:paraId="6CCD2574" w14:textId="77777777" w:rsidR="00650ABB" w:rsidRDefault="00000000">
      <w:pPr>
        <w:pStyle w:val="a0"/>
      </w:pPr>
      <m:oMathPara>
        <m:oMathParaPr>
          <m:jc m:val="center"/>
        </m:oMathParaPr>
        <m:oMath>
          <m:r>
            <w:rPr>
              <w:rFonts w:ascii="Cambria Math" w:hAnsi="Cambria Math"/>
            </w:rPr>
            <m:t>SmoothL1loss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w:rPr>
                        <w:rFonts w:ascii="Cambria Math" w:hAnsi="Cambria Math"/>
                      </w:rPr>
                      <m:t>0.5</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2</m:t>
                        </m:r>
                      </m:sup>
                    </m:sSup>
                    <m:r>
                      <m:rPr>
                        <m:sty m:val="p"/>
                      </m:rPr>
                      <w:rPr>
                        <w:rFonts w:ascii="Cambria Math" w:hAnsi="Cambria Math"/>
                      </w:rPr>
                      <m:t>/</m:t>
                    </m:r>
                    <m:r>
                      <w:rPr>
                        <w:rFonts w:ascii="Cambria Math" w:hAnsi="Cambria Math"/>
                      </w:rPr>
                      <m:t>β</m:t>
                    </m:r>
                  </m:e>
                  <m:e>
                    <m:r>
                      <m:rPr>
                        <m:nor/>
                      </m:rPr>
                      <m:t xml:space="preserve"> if </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β</m:t>
                    </m:r>
                  </m:e>
                </m:mr>
                <m:m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0.5β</m:t>
                    </m:r>
                  </m:e>
                  <m:e>
                    <m:r>
                      <m:rPr>
                        <m:nor/>
                      </m:rPr>
                      <m:t xml:space="preserve"> otherwise</m:t>
                    </m:r>
                  </m:e>
                </m:mr>
              </m:m>
            </m:e>
          </m:d>
        </m:oMath>
      </m:oMathPara>
    </w:p>
    <w:p w14:paraId="2D43D2A4" w14:textId="77777777" w:rsidR="00FE2E36" w:rsidRPr="00FE2E36" w:rsidRDefault="00000000" w:rsidP="00FE2E36">
      <w:pPr>
        <w:pStyle w:val="FirstParagraph"/>
      </w:pPr>
      <m:oMathPara>
        <m:oMath>
          <m:r>
            <w:rPr>
              <w:rFonts w:ascii="Cambria Math" w:hAnsi="Cambria Math"/>
            </w:rPr>
            <m:t>KL</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e>
                  </m:d>
                </m:num>
                <m:den>
                  <m:r>
                    <w:rPr>
                      <w:rFonts w:ascii="Cambria Math" w:hAnsi="Cambria Math"/>
                    </w:rPr>
                    <m:t>Q</m:t>
                  </m:r>
                  <m:d>
                    <m:dPr>
                      <m:ctrlPr>
                        <w:rPr>
                          <w:rFonts w:ascii="Cambria Math" w:hAnsi="Cambria Math"/>
                        </w:rPr>
                      </m:ctrlPr>
                    </m:dPr>
                    <m:e>
                      <m:r>
                        <w:rPr>
                          <w:rFonts w:ascii="Cambria Math" w:hAnsi="Cambria Math"/>
                        </w:rPr>
                        <m:t>x</m:t>
                      </m:r>
                    </m:e>
                  </m:d>
                </m:den>
              </m:f>
            </m:e>
          </m:d>
        </m:oMath>
      </m:oMathPara>
      <w:bookmarkStart w:id="2" w:name="decoder"/>
    </w:p>
    <w:p w14:paraId="719A452A" w14:textId="3B59E467" w:rsidR="00650ABB" w:rsidRPr="00FE2E36" w:rsidRDefault="00000000" w:rsidP="00FE2E36">
      <w:pPr>
        <w:pStyle w:val="FirstParagraph"/>
        <w:numPr>
          <w:ilvl w:val="1"/>
          <w:numId w:val="9"/>
        </w:numPr>
        <w:rPr>
          <w:sz w:val="32"/>
          <w:szCs w:val="32"/>
        </w:rPr>
      </w:pPr>
      <w:r w:rsidRPr="00FE2E36">
        <w:rPr>
          <w:sz w:val="32"/>
          <w:szCs w:val="32"/>
        </w:rPr>
        <w:t>Decoder</w:t>
      </w:r>
      <w:bookmarkEnd w:id="2"/>
    </w:p>
    <w:p w14:paraId="465C54E4" w14:textId="77777777" w:rsidR="00650ABB" w:rsidRDefault="00000000">
      <w:pPr>
        <w:pStyle w:val="FirstParagraph"/>
      </w:pPr>
      <w:r>
        <w:t xml:space="preserve">We applied a decoder to generate the observations from the latent variables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Accordingly, the generated samples were denoted as:</w:t>
      </w:r>
    </w:p>
    <w:p w14:paraId="5F3199C0" w14:textId="77777777" w:rsidR="00650ABB" w:rsidRDefault="00000000">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e>
                </m:d>
              </m:e>
            </m:mr>
            <m:mr>
              <m:e/>
            </m:mr>
          </m:m>
        </m:oMath>
      </m:oMathPara>
    </w:p>
    <w:p w14:paraId="0CE43C4F" w14:textId="77777777" w:rsidR="00650ABB" w:rsidRDefault="00000000">
      <w:pPr>
        <w:pStyle w:val="FirstParagraph"/>
      </w:pPr>
      <w:r>
        <w:t xml:space="preserve">Note that our task was to perturb the cell types from the control dataset to the stimulus dataset, instead of generating the samples from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we use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Therefore, our Generated Loss is:</w:t>
      </w:r>
    </w:p>
    <w:p w14:paraId="2AEA6935" w14:textId="77777777" w:rsidR="00650ABB" w:rsidRDefault="00000000">
      <w:pPr>
        <w:pStyle w:val="a0"/>
      </w:pPr>
      <m:oMathPara>
        <m:oMathParaPr>
          <m:jc m:val="center"/>
        </m:oMathParaPr>
        <m:oMath>
          <m:r>
            <w:rPr>
              <w:rFonts w:ascii="Cambria Math" w:hAnsi="Cambria Math"/>
            </w:rPr>
            <m:t>GenLoss</m:t>
          </m:r>
          <m:r>
            <m:rPr>
              <m:sty m:val="p"/>
            </m:rPr>
            <w:rPr>
              <w:rFonts w:ascii="Cambria Math" w:hAnsi="Cambria Math"/>
            </w:rPr>
            <m:t>=</m:t>
          </m:r>
          <m:r>
            <w:rPr>
              <w:rFonts w:ascii="Cambria Math" w:hAnsi="Cambria Math"/>
            </w:rPr>
            <m:t>SmoothL1loss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e>
          </m:d>
        </m:oMath>
      </m:oMathPara>
    </w:p>
    <w:p w14:paraId="6DEFCEC2" w14:textId="72AE5BD2" w:rsidR="00FE2E36" w:rsidRPr="00FE2E36" w:rsidRDefault="00FE2E36" w:rsidP="00FE2E36">
      <w:pPr>
        <w:pStyle w:val="af"/>
        <w:numPr>
          <w:ilvl w:val="1"/>
          <w:numId w:val="9"/>
        </w:numPr>
        <w:ind w:firstLineChars="0"/>
        <w:rPr>
          <w:sz w:val="32"/>
          <w:szCs w:val="32"/>
        </w:rPr>
      </w:pPr>
      <w:bookmarkStart w:id="3" w:name="loss-function"/>
      <w:r w:rsidRPr="00FE2E36">
        <w:rPr>
          <w:sz w:val="32"/>
          <w:szCs w:val="32"/>
        </w:rPr>
        <w:t>Loss function</w:t>
      </w:r>
      <w:bookmarkEnd w:id="3"/>
    </w:p>
    <w:p w14:paraId="1FE17F70" w14:textId="666FE6A2" w:rsidR="00650ABB" w:rsidRDefault="00000000">
      <w:pPr>
        <w:pStyle w:val="FirstParagraph"/>
      </w:pPr>
      <w:r>
        <w:t>The objective functions will be combined with the Generated loss, Style Loss, and the KL regulation terms.</w:t>
      </w:r>
    </w:p>
    <w:p w14:paraId="7E65D4B6" w14:textId="77777777" w:rsidR="00FE2E36" w:rsidRPr="00FE2E36" w:rsidRDefault="00000000" w:rsidP="00FE2E36">
      <w:pPr>
        <w:pStyle w:val="a0"/>
      </w:pPr>
      <m:oMathPara>
        <m:oMath>
          <m:r>
            <w:rPr>
              <w:rFonts w:ascii="Cambria Math" w:hAnsi="Cambria Math"/>
            </w:rPr>
            <m:t>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StyleLoss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KLLoss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GenLoss</m:t>
          </m:r>
        </m:oMath>
      </m:oMathPara>
      <w:bookmarkStart w:id="4" w:name="datasets-and-preprocess"/>
      <w:bookmarkEnd w:id="0"/>
    </w:p>
    <w:p w14:paraId="0AC6DB44" w14:textId="77777777" w:rsidR="00FE2E36" w:rsidRDefault="00FE2E36" w:rsidP="00FE2E36">
      <w:pPr>
        <w:pStyle w:val="a0"/>
        <w:rPr>
          <w:b/>
          <w:bCs/>
          <w:sz w:val="44"/>
          <w:szCs w:val="44"/>
        </w:rPr>
      </w:pPr>
    </w:p>
    <w:p w14:paraId="1A095409" w14:textId="10C24F8D" w:rsidR="00650ABB" w:rsidRPr="00FE2E36" w:rsidRDefault="00000000" w:rsidP="00FE2E36">
      <w:pPr>
        <w:pStyle w:val="a0"/>
        <w:numPr>
          <w:ilvl w:val="0"/>
          <w:numId w:val="9"/>
        </w:numPr>
        <w:rPr>
          <w:b/>
          <w:bCs/>
          <w:sz w:val="44"/>
          <w:szCs w:val="44"/>
        </w:rPr>
      </w:pPr>
      <w:r w:rsidRPr="00FE2E36">
        <w:rPr>
          <w:b/>
          <w:bCs/>
          <w:sz w:val="44"/>
          <w:szCs w:val="44"/>
        </w:rPr>
        <w:lastRenderedPageBreak/>
        <w:t>Datasets and preprocess</w:t>
      </w:r>
    </w:p>
    <w:p w14:paraId="72E994CA" w14:textId="1EA395A8" w:rsidR="00650ABB" w:rsidRDefault="00000000">
      <w:pPr>
        <w:pStyle w:val="FirstParagraph"/>
      </w:pPr>
      <w:r>
        <w:t>Mohammad et al. </w:t>
      </w:r>
      <w:r w:rsidR="00FE2E36">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FE2E36">
        <w:fldChar w:fldCharType="separate"/>
      </w:r>
      <w:r w:rsidR="0028156B">
        <w:rPr>
          <w:noProof/>
        </w:rPr>
        <w:t>[3]</w:t>
      </w:r>
      <w:r w:rsidR="00FE2E36">
        <w:fldChar w:fldCharType="end"/>
      </w:r>
      <w:r>
        <w:t xml:space="preserve"> included three groups of control and stimulated cells: two groups of PBMC cells, and a group of HPOLY cells. Mohammad et al. preprocessed the data by removing megakaryocytic cells, filtering the cells with a minimum of 500 expressing cells, extracting the top 6998 cells, and log-transforming the original data. All the data are available on</w:t>
      </w:r>
      <w:r w:rsidR="00E26705">
        <w:t xml:space="preserve"> </w:t>
      </w:r>
      <w:hyperlink r:id="rId7" w:history="1">
        <w:r w:rsidR="00E26705" w:rsidRPr="00197E9D">
          <w:rPr>
            <w:rStyle w:val="ae"/>
          </w:rPr>
          <w:t>https://github.com/tongtongtot/scperb/tree/master/data</w:t>
        </w:r>
      </w:hyperlink>
      <w:r w:rsidR="00E26705">
        <w:t>.</w:t>
      </w:r>
    </w:p>
    <w:p w14:paraId="05FDFA14" w14:textId="6FC7AB35" w:rsidR="00650ABB" w:rsidRDefault="00000000">
      <w:pPr>
        <w:pStyle w:val="a0"/>
      </w:pPr>
      <w:r>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have the same cell type, so the following style transfer process would be valid.</w:t>
      </w:r>
    </w:p>
    <w:p w14:paraId="7B6F8BEE" w14:textId="6A981C2D" w:rsidR="00650ABB" w:rsidRPr="00FE2E36" w:rsidRDefault="00000000" w:rsidP="00FE2E36">
      <w:pPr>
        <w:pStyle w:val="af"/>
        <w:numPr>
          <w:ilvl w:val="0"/>
          <w:numId w:val="9"/>
        </w:numPr>
        <w:ind w:firstLineChars="0"/>
        <w:rPr>
          <w:b/>
          <w:bCs/>
          <w:sz w:val="44"/>
          <w:szCs w:val="44"/>
        </w:rPr>
      </w:pPr>
      <w:bookmarkStart w:id="5" w:name="statistics-and-reproduction"/>
      <w:bookmarkEnd w:id="4"/>
      <w:r w:rsidRPr="00FE2E36">
        <w:rPr>
          <w:b/>
          <w:bCs/>
          <w:sz w:val="44"/>
          <w:szCs w:val="44"/>
        </w:rPr>
        <w:t>Statistics and Reproduction</w:t>
      </w:r>
    </w:p>
    <w:p w14:paraId="01583249" w14:textId="4D8F3845" w:rsidR="00650ABB" w:rsidRDefault="00000000">
      <w:pPr>
        <w:pStyle w:val="FirstParagraph"/>
      </w:pPr>
      <w:r>
        <w:t xml:space="preserve">In </w:t>
      </w:r>
      <w:proofErr w:type="spellStart"/>
      <w:r w:rsidR="00357137">
        <w:t>s</w:t>
      </w:r>
      <w:r>
        <w:t>cPerb</w:t>
      </w:r>
      <w:proofErr w:type="spellEnd"/>
      <w:r>
        <w:t xml:space="preserve">, we evaluated the performance of our model under a fixed seed of 42 by using the square of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value</m:t>
        </m:r>
      </m:oMath>
      <w:r>
        <w:t xml:space="preserve">, which is calculated by the </w:t>
      </w:r>
      <m:oMath>
        <m:r>
          <w:rPr>
            <w:rFonts w:ascii="Cambria Math" w:hAnsi="Cambria Math"/>
          </w:rPr>
          <m:t>scipy</m:t>
        </m:r>
        <m:r>
          <m:rPr>
            <m:sty m:val="p"/>
          </m:rPr>
          <w:rPr>
            <w:rFonts w:ascii="Cambria Math" w:hAnsi="Cambria Math"/>
          </w:rPr>
          <m:t>.</m:t>
        </m:r>
        <m:r>
          <w:rPr>
            <w:rFonts w:ascii="Cambria Math" w:hAnsi="Cambria Math"/>
          </w:rPr>
          <m:t>stats</m:t>
        </m:r>
        <m:r>
          <m:rPr>
            <m:sty m:val="p"/>
          </m:rPr>
          <w:rPr>
            <w:rFonts w:ascii="Cambria Math" w:hAnsi="Cambria Math"/>
          </w:rPr>
          <m:t>.</m:t>
        </m:r>
        <m:r>
          <w:rPr>
            <w:rFonts w:ascii="Cambria Math" w:hAnsi="Cambria Math"/>
          </w:rPr>
          <m:t>linregress</m:t>
        </m:r>
      </m:oMath>
      <w:r>
        <w:t xml:space="preserve"> function</w:t>
      </w:r>
      <w:r w:rsidR="000E480C">
        <w:fldChar w:fldCharType="begin"/>
      </w:r>
      <w:r w:rsidR="000E480C">
        <w:instrText xml:space="preserve"> ADDIN EN.CITE &lt;EndNote&gt;&lt;Cite&gt;&lt;Author&gt;Virtanen&lt;/Author&gt;&lt;Year&gt;2020&lt;/Year&gt;&lt;RecNum&gt;27&lt;/RecNum&gt;&lt;DisplayText&gt;[4]&lt;/DisplayText&gt;&lt;record&gt;&lt;rec-number&gt;27&lt;/rec-number&gt;&lt;foreign-keys&gt;&lt;key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000E480C">
        <w:fldChar w:fldCharType="separate"/>
      </w:r>
      <w:r w:rsidR="000E480C">
        <w:rPr>
          <w:noProof/>
        </w:rPr>
        <w:t>[4]</w:t>
      </w:r>
      <w:r w:rsidR="000E480C">
        <w:fldChar w:fldCharType="end"/>
      </w:r>
      <w:r>
        <w:t xml:space="preserve">. This metric measures the correlation between the generated images and the ground truth data. We computed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C0578">
        <w:t xml:space="preserve"> </w:t>
      </w:r>
      <w:r>
        <w:t>values for all genes’ mean and variance and the top 100 Differentially Expressed Genes (DEGs).</w:t>
      </w:r>
    </w:p>
    <w:p w14:paraId="2F8DC1B5" w14:textId="77777777" w:rsidR="00650ABB" w:rsidRDefault="00000000">
      <w:pPr>
        <w:pStyle w:val="a0"/>
      </w:pPr>
      <w:r>
        <w:t>To understand the model’s results visually, we created scatter plots comparing the generated images to the corresponding ground truth data. This graph allowed us to observe how well the model’s predictions aligned with the actual values.</w:t>
      </w:r>
    </w:p>
    <w:p w14:paraId="6C4D1684" w14:textId="3AC7B439" w:rsidR="00650ABB" w:rsidRDefault="00000000">
      <w:pPr>
        <w:pStyle w:val="a0"/>
      </w:pPr>
      <w:r>
        <w:t xml:space="preserve">Additionally, we investigated the differences between the generated images and the ground truth data for the top DEG using a violin plot. The DEGs were identified using the </w:t>
      </w:r>
      <m:oMath>
        <m:r>
          <w:rPr>
            <w:rFonts w:ascii="Cambria Math" w:hAnsi="Cambria Math"/>
          </w:rPr>
          <m:t>scanpy</m:t>
        </m:r>
        <m:r>
          <m:rPr>
            <m:sty m:val="p"/>
          </m:rPr>
          <w:rPr>
            <w:rFonts w:ascii="Cambria Math" w:hAnsi="Cambria Math"/>
          </w:rPr>
          <m:t>.</m:t>
        </m:r>
        <m:r>
          <w:rPr>
            <w:rFonts w:ascii="Cambria Math" w:hAnsi="Cambria Math"/>
          </w:rPr>
          <m:t>tl</m:t>
        </m:r>
        <m:r>
          <m:rPr>
            <m:sty m:val="p"/>
          </m:rPr>
          <w:rPr>
            <w:rFonts w:ascii="Cambria Math" w:hAnsi="Cambria Math"/>
          </w:rPr>
          <m:t>.</m:t>
        </m:r>
        <m:r>
          <w:rPr>
            <w:rFonts w:ascii="Cambria Math" w:hAnsi="Cambria Math"/>
          </w:rPr>
          <m:t>ran</m:t>
        </m:r>
        <m:sSub>
          <m:sSubPr>
            <m:ctrlPr>
              <w:rPr>
                <w:rFonts w:ascii="Cambria Math" w:hAnsi="Cambria Math"/>
              </w:rPr>
            </m:ctrlPr>
          </m:sSubPr>
          <m:e>
            <m:r>
              <w:rPr>
                <w:rFonts w:ascii="Cambria Math" w:hAnsi="Cambria Math"/>
              </w:rPr>
              <m:t>k</m:t>
            </m:r>
          </m:e>
          <m:sub>
            <m:r>
              <m:rPr>
                <m:sty m:val="p"/>
              </m:rPr>
              <w:rPr>
                <w:rFonts w:ascii="Cambria Math" w:hAnsi="Cambria Math"/>
              </w:rPr>
              <m:t>-</m:t>
            </m:r>
          </m:sub>
        </m:sSub>
        <m:r>
          <w:rPr>
            <w:rFonts w:ascii="Cambria Math" w:hAnsi="Cambria Math"/>
          </w:rPr>
          <m:t>gene</m:t>
        </m:r>
        <m:sSub>
          <m:sSubPr>
            <m:ctrlPr>
              <w:rPr>
                <w:rFonts w:ascii="Cambria Math" w:hAnsi="Cambria Math"/>
              </w:rPr>
            </m:ctrlPr>
          </m:sSubPr>
          <m:e>
            <m:r>
              <w:rPr>
                <w:rFonts w:ascii="Cambria Math" w:hAnsi="Cambria Math"/>
              </w:rPr>
              <m:t>s</m:t>
            </m:r>
          </m:e>
          <m:sub>
            <m:r>
              <m:rPr>
                <m:sty m:val="p"/>
              </m:rPr>
              <w:rPr>
                <w:rFonts w:ascii="Cambria Math" w:hAnsi="Cambria Math"/>
              </w:rPr>
              <m:t>-</m:t>
            </m:r>
          </m:sub>
        </m:sSub>
        <m:r>
          <w:rPr>
            <w:rFonts w:ascii="Cambria Math" w:hAnsi="Cambria Math"/>
          </w:rPr>
          <m:t>groups</m:t>
        </m:r>
      </m:oMath>
      <w:r w:rsidR="00FE2E36">
        <w:fldChar w:fldCharType="begin"/>
      </w:r>
      <w:r w:rsidR="00BE5C4B">
        <w:instrText xml:space="preserve"> ADDIN EN.CITE &lt;EndNote&gt;&lt;Cite&gt;&lt;Author&gt;Wolf&lt;/Author&gt;&lt;Year&gt;2018&lt;/Year&gt;&lt;RecNum&gt;11&lt;/RecNum&gt;&lt;DisplayText&gt;[5]&lt;/DisplayText&gt;&lt;record&gt;&lt;rec-number&gt;11&lt;/rec-number&gt;&lt;foreign-keys&gt;&lt;key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00FE2E36">
        <w:fldChar w:fldCharType="separate"/>
      </w:r>
      <w:r w:rsidR="00BE5C4B">
        <w:rPr>
          <w:noProof/>
        </w:rPr>
        <w:t>[5]</w:t>
      </w:r>
      <w:r w:rsidR="00FE2E36">
        <w:fldChar w:fldCharType="end"/>
      </w:r>
      <w:r w:rsidR="00FE2E36">
        <w:t xml:space="preserve"> </w:t>
      </w:r>
      <w:r>
        <w:t>function, employing the Wilcoxon method</w:t>
      </w:r>
      <w:r w:rsidR="00FE2E36">
        <w:fldChar w:fldCharType="begin"/>
      </w:r>
      <w:r w:rsidR="00BE5C4B">
        <w:instrText xml:space="preserve"> ADDIN EN.CITE &lt;EndNote&gt;&lt;Cite&gt;&lt;Author&gt;Cuzick&lt;/Author&gt;&lt;Year&gt;1985&lt;/Year&gt;&lt;RecNum&gt;16&lt;/RecNum&gt;&lt;DisplayText&gt;[6]&lt;/DisplayText&gt;&lt;record&gt;&lt;rec-number&gt;16&lt;/rec-number&gt;&lt;foreign-keys&gt;&lt;key app="EN" db-id="2sf0rtfskvt02yezrxjx90d4f52xet9pdf2w" timestamp="1691713250"&gt;16&lt;/k</w:instrText>
      </w:r>
      <w:r w:rsidR="00BE5C4B">
        <w:rPr>
          <w:rFonts w:hint="eastAsia"/>
        </w:rPr>
        <w:instrText>ey&gt;&lt;/foreign-keys&gt;&lt;ref-type name="Journal Article"&gt;17&lt;/ref-type&gt;&lt;contributors&gt;&lt;authors&gt;&lt;author&gt;Cuzick, Jack&lt;/author&gt;&lt;/authors&gt;&lt;/contributors&gt;&lt;titles&gt;&lt;title&gt;A Wilcoxon</w:instrText>
      </w:r>
      <w:r w:rsidR="00BE5C4B">
        <w:rPr>
          <w:rFonts w:hint="eastAsia"/>
        </w:rPr>
        <w:instrText>‐</w:instrText>
      </w:r>
      <w:r w:rsidR="00BE5C4B">
        <w:rPr>
          <w:rFonts w:hint="eastAsia"/>
        </w:rPr>
        <w:instrText>type test for trend&lt;/title&gt;&lt;secondary-title&gt;Statistics in medicine&lt;/secondary-title&gt;&lt;/ti</w:instrText>
      </w:r>
      <w:r w:rsidR="00BE5C4B">
        <w:instrText>tles&gt;&lt;periodical&gt;&lt;full-title&gt;Statistics in medicine&lt;/full-title&gt;&lt;/periodical&gt;&lt;pages&gt;87-90&lt;/pages&gt;&lt;volume&gt;4&lt;/volume&gt;&lt;number&gt;1&lt;/number&gt;&lt;dates&gt;&lt;year&gt;1985&lt;/year&gt;&lt;/dates&gt;&lt;isbn&gt;0277-6715&lt;/isbn&gt;&lt;urls&gt;&lt;/urls&gt;&lt;/record&gt;&lt;/Cite&gt;&lt;/EndNote&gt;</w:instrText>
      </w:r>
      <w:r w:rsidR="00FE2E36">
        <w:fldChar w:fldCharType="separate"/>
      </w:r>
      <w:r w:rsidR="00BE5C4B">
        <w:rPr>
          <w:noProof/>
        </w:rPr>
        <w:t>[6]</w:t>
      </w:r>
      <w:r w:rsidR="00FE2E36">
        <w:fldChar w:fldCharType="end"/>
      </w:r>
      <w:r>
        <w:t>.</w:t>
      </w:r>
    </w:p>
    <w:p w14:paraId="39E044D7" w14:textId="594984DC" w:rsidR="00FE2E36" w:rsidRDefault="00000000" w:rsidP="00A95DD1">
      <w:pPr>
        <w:pStyle w:val="a0"/>
      </w:pPr>
      <w:r>
        <w:t>Through these analyses, we aimed to assess the accuracy and performance of our ScPerb model in generating realistic images based on the input gene expression data. The evaluation of</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296FE0">
        <w:t xml:space="preserve"> </w:t>
      </w:r>
      <w:r>
        <w:t>values and the visualization of the scatter and violin plots provided valuable insights into the model’s capabilities and highlighted any discrepancies between the generated and true data for further investigation.</w:t>
      </w:r>
      <w:bookmarkStart w:id="6" w:name="results"/>
      <w:bookmarkEnd w:id="5"/>
      <w:r w:rsidR="00FE2E36">
        <w:t xml:space="preserve"> </w:t>
      </w:r>
    </w:p>
    <w:p w14:paraId="7F1BADC0" w14:textId="77777777" w:rsidR="00FE2E36" w:rsidRDefault="00FE2E36" w:rsidP="00A95DD1">
      <w:pPr>
        <w:pStyle w:val="a0"/>
      </w:pPr>
    </w:p>
    <w:p w14:paraId="77D3EDA1" w14:textId="56868E2D" w:rsidR="00FE2E36" w:rsidRPr="00061C09" w:rsidRDefault="00FE2E36" w:rsidP="00061C09">
      <w:pPr>
        <w:pStyle w:val="a0"/>
        <w:numPr>
          <w:ilvl w:val="0"/>
          <w:numId w:val="9"/>
        </w:numPr>
        <w:rPr>
          <w:b/>
          <w:bCs/>
          <w:sz w:val="44"/>
          <w:szCs w:val="44"/>
        </w:rPr>
      </w:pPr>
      <w:r w:rsidRPr="00061C09">
        <w:rPr>
          <w:rFonts w:hint="eastAsia"/>
          <w:b/>
          <w:bCs/>
          <w:sz w:val="44"/>
          <w:szCs w:val="44"/>
        </w:rPr>
        <w:t>R</w:t>
      </w:r>
      <w:r w:rsidRPr="00061C09">
        <w:rPr>
          <w:b/>
          <w:bCs/>
          <w:sz w:val="44"/>
          <w:szCs w:val="44"/>
        </w:rPr>
        <w:t>esults</w:t>
      </w:r>
    </w:p>
    <w:p w14:paraId="18B6DF06" w14:textId="38B1B152" w:rsidR="00650ABB" w:rsidRDefault="00A95DD1" w:rsidP="00061C09">
      <w:pPr>
        <w:pStyle w:val="a0"/>
      </w:pPr>
      <w:r>
        <w:rPr>
          <w:noProof/>
        </w:rPr>
        <w:lastRenderedPageBreak/>
        <w:drawing>
          <wp:inline distT="0" distB="0" distL="0" distR="0" wp14:anchorId="57173E26" wp14:editId="31B81CA9">
            <wp:extent cx="5334000" cy="2818677"/>
            <wp:effectExtent l="0" t="0" r="0" b="0"/>
            <wp:docPr id="27" name="Picture" descr="image-20230807215714466"/>
            <wp:cNvGraphicFramePr/>
            <a:graphic xmlns:a="http://schemas.openxmlformats.org/drawingml/2006/main">
              <a:graphicData uri="http://schemas.openxmlformats.org/drawingml/2006/picture">
                <pic:pic xmlns:pic="http://schemas.openxmlformats.org/drawingml/2006/picture">
                  <pic:nvPicPr>
                    <pic:cNvPr id="28" name="Picture" descr="/Users/tongtongtot/Library/Application%20Support/typora-user-images/image-20230807215714466.png"/>
                    <pic:cNvPicPr>
                      <a:picLocks noChangeAspect="1" noChangeArrowheads="1"/>
                    </pic:cNvPicPr>
                  </pic:nvPicPr>
                  <pic:blipFill>
                    <a:blip r:embed="rId8"/>
                    <a:stretch>
                      <a:fillRect/>
                    </a:stretch>
                  </pic:blipFill>
                  <pic:spPr bwMode="auto">
                    <a:xfrm>
                      <a:off x="0" y="0"/>
                      <a:ext cx="5334000" cy="2818677"/>
                    </a:xfrm>
                    <a:prstGeom prst="rect">
                      <a:avLst/>
                    </a:prstGeom>
                    <a:noFill/>
                    <a:ln w="9525">
                      <a:noFill/>
                      <a:headEnd/>
                      <a:tailEnd/>
                    </a:ln>
                  </pic:spPr>
                </pic:pic>
              </a:graphicData>
            </a:graphic>
          </wp:inline>
        </w:drawing>
      </w:r>
      <w:r>
        <w:rPr>
          <w:noProof/>
        </w:rPr>
        <w:drawing>
          <wp:inline distT="0" distB="0" distL="0" distR="0" wp14:anchorId="41FA4455" wp14:editId="391C3716">
            <wp:extent cx="5334000" cy="2780835"/>
            <wp:effectExtent l="0" t="0" r="0" b="0"/>
            <wp:docPr id="30" name="Picture" descr="image-20230807215753116"/>
            <wp:cNvGraphicFramePr/>
            <a:graphic xmlns:a="http://schemas.openxmlformats.org/drawingml/2006/main">
              <a:graphicData uri="http://schemas.openxmlformats.org/drawingml/2006/picture">
                <pic:pic xmlns:pic="http://schemas.openxmlformats.org/drawingml/2006/picture">
                  <pic:nvPicPr>
                    <pic:cNvPr id="31" name="Picture" descr="/Users/tongtongtot/Library/Application%20Support/typora-user-images/image-20230807215753116.png"/>
                    <pic:cNvPicPr>
                      <a:picLocks noChangeAspect="1" noChangeArrowheads="1"/>
                    </pic:cNvPicPr>
                  </pic:nvPicPr>
                  <pic:blipFill>
                    <a:blip r:embed="rId9"/>
                    <a:stretch>
                      <a:fillRect/>
                    </a:stretch>
                  </pic:blipFill>
                  <pic:spPr bwMode="auto">
                    <a:xfrm>
                      <a:off x="0" y="0"/>
                      <a:ext cx="5334000" cy="2780835"/>
                    </a:xfrm>
                    <a:prstGeom prst="rect">
                      <a:avLst/>
                    </a:prstGeom>
                    <a:noFill/>
                    <a:ln w="9525">
                      <a:noFill/>
                      <a:headEnd/>
                      <a:tailEnd/>
                    </a:ln>
                  </pic:spPr>
                </pic:pic>
              </a:graphicData>
            </a:graphic>
          </wp:inline>
        </w:drawing>
      </w:r>
      <w:bookmarkStart w:id="7" w:name="X8413851427e63b698c6e4060b7879dd4e97734a"/>
      <w:r w:rsidR="00061C09" w:rsidRPr="00061C09">
        <w:rPr>
          <w:sz w:val="32"/>
          <w:szCs w:val="32"/>
        </w:rPr>
        <w:t xml:space="preserve">4.1 </w:t>
      </w:r>
      <w:r w:rsidRPr="00061C09">
        <w:rPr>
          <w:sz w:val="32"/>
          <w:szCs w:val="32"/>
        </w:rPr>
        <w:t>scPerb is an innovative generative model that can accurately predict single-cell perturbation responses.</w:t>
      </w:r>
    </w:p>
    <w:p w14:paraId="3A96A426" w14:textId="23B30DF1" w:rsidR="00650ABB" w:rsidRDefault="00000000">
      <w:pPr>
        <w:pStyle w:val="FirstParagraph"/>
      </w:pPr>
      <w:r>
        <w:t>The gene expressions from High-dimensional scRNA-seq are highly correlated with the single-cell responses. Traditionally, the algorithms focused on extracting the principle components from the gene expressions, along with the graph-based constraints</w:t>
      </w:r>
      <w:r w:rsidR="00061C09">
        <w:fldChar w:fldCharType="begin"/>
      </w:r>
      <w:r w:rsidR="00BE5C4B">
        <w:instrText xml:space="preserve"> ADDIN EN.CITE &lt;EndNote&gt;&lt;Cite&gt;&lt;Author&gt;Bendall&lt;/Author&gt;&lt;Year&gt;2014&lt;/Year&gt;&lt;RecNum&gt;17&lt;/RecNum&gt;&lt;DisplayText&gt;[7, 8]&lt;/DisplayText&gt;&lt;record&gt;&lt;rec-number&gt;17&lt;/rec-number&gt;&lt;foreign-keys&gt;&lt;key app="EN" db-id="2sf0rtfskvt02yezrxjx90d4f52xet9pdf2w" timestamp="1691713637"&gt;17&lt;/key&gt;&lt;/foreign-keys&gt;&lt;ref-type name="Journal Article"&gt;17&lt;/ref-type&gt;&lt;contributors&gt;&lt;authors&gt;&lt;author&gt;Bendall, Sean C&lt;/author&gt;&lt;author&gt;Davis, Kara L&lt;/author&gt;&lt;author&gt;Amir, El-ad David&lt;/author&gt;&lt;author&gt;Tadmor, Michelle D&lt;/author&gt;&lt;author&gt;Simonds, Erin F&lt;/author&gt;&lt;author&gt;Chen, Tiffany J&lt;/author&gt;&lt;author&gt;Shenfeld, Daniel K&lt;/author&gt;&lt;author&gt;Nolan, Garry P&lt;/author&gt;&lt;author&gt;Pe’er, Dana&lt;/author&gt;&lt;/authors&gt;&lt;/contributors&gt;&lt;titles&gt;&lt;title&gt;Single-cell trajectory detection uncovers progression and regulatory coordination in human B cell development&lt;/title&gt;&lt;secondary-title&gt;Cell&lt;/secondary-title&gt;&lt;/titles&gt;&lt;periodical&gt;&lt;full-title&gt;Cell&lt;/full-title&gt;&lt;/periodical&gt;&lt;pages&gt;714-725&lt;/pages&gt;&lt;volume&gt;157&lt;/volume&gt;&lt;number&gt;3&lt;/number&gt;&lt;dates&gt;&lt;year&gt;2014&lt;/year&gt;&lt;/dates&gt;&lt;isbn&gt;0092-8674&lt;/isbn&gt;&lt;urls&gt;&lt;/urls&gt;&lt;/record&gt;&lt;/Cite&gt;&lt;Cite&gt;&lt;Author&gt;Wolf&lt;/Author&gt;&lt;Year&gt;2019&lt;/Year&gt;&lt;RecNum&gt;18&lt;/RecNum&gt;&lt;record&gt;&lt;rec-number&gt;18&lt;/rec-number&gt;&lt;foreign-keys&gt;&lt;key app="EN" db-id="2sf0rtfskvt02yezrxjx90d4f52xet9pdf2w" timestamp="1691713637"&gt;18&lt;/key&gt;&lt;/foreign-keys&gt;&lt;ref-type name="Journal Article"&gt;17&lt;/ref-type&gt;&lt;contributors&gt;&lt;authors&gt;&lt;author&gt;Wolf, F Alexander&lt;/author&gt;&lt;author&gt;Hamey, Fiona K&lt;/author&gt;&lt;author&gt;Plass, Mireya&lt;/author&gt;&lt;author&gt;Solana, Jordi&lt;/author&gt;&lt;author&gt;Dahlin, Joakim S&lt;/author&gt;&lt;author&gt;Göttgens, Berthold&lt;/author&gt;&lt;author&gt;Rajewsky, Nikolaus&lt;/author&gt;&lt;author&gt;Simon, Lukas&lt;/author&gt;&lt;author&gt;Theis, Fabian J&lt;/author&gt;&lt;/authors&gt;&lt;/contributors&gt;&lt;titles&gt;&lt;title&gt;PAGA: graph abstraction reconciles clustering with trajectory inference through a topology preserving map of single cells&lt;/title&gt;&lt;secondary-title&gt;Genome biology&lt;/secondary-title&gt;&lt;/titles&gt;&lt;periodical&gt;&lt;full-title&gt;Genome biology&lt;/full-title&gt;&lt;/periodical&gt;&lt;pages&gt;1-9&lt;/pages&gt;&lt;volume&gt;20&lt;/volume&gt;&lt;dates&gt;&lt;year&gt;2019&lt;/year&gt;&lt;/dates&gt;&lt;urls&gt;&lt;/urls&gt;&lt;/record&gt;&lt;/Cite&gt;&lt;/EndNote&gt;</w:instrText>
      </w:r>
      <w:r w:rsidR="00061C09">
        <w:fldChar w:fldCharType="separate"/>
      </w:r>
      <w:r w:rsidR="00BE5C4B">
        <w:rPr>
          <w:noProof/>
        </w:rPr>
        <w:t>[7, 8]</w:t>
      </w:r>
      <w:r w:rsidR="00061C09">
        <w:fldChar w:fldCharType="end"/>
      </w:r>
      <w:r>
        <w:t>. Such methods were limited by the poor representation of the limited principle components, which only explore a limited portion of the raw data. More recently, neural networks have shown their potential in projecting the observations from raw data into the high-dimensional manifold, where the latent representations can approximate the real distribution beyond the raw data observations. The neural networks were data-driven methods, and can dynamically assign weights to the dominating features from the raw data. In particular, Variational Auto-Encoder (VAE)</w:t>
      </w:r>
      <w:r w:rsidR="00061C09">
        <w:fldChar w:fldCharType="begin"/>
      </w:r>
      <w:r w:rsidR="00061C09">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061C09">
        <w:fldChar w:fldCharType="separate"/>
      </w:r>
      <w:r w:rsidR="00061C09">
        <w:rPr>
          <w:noProof/>
        </w:rPr>
        <w:t>[1]</w:t>
      </w:r>
      <w:r w:rsidR="00061C09">
        <w:fldChar w:fldCharType="end"/>
      </w:r>
      <w:r>
        <w:t xml:space="preserve"> assumed the raw observation can be sampled </w:t>
      </w:r>
      <w:r>
        <w:lastRenderedPageBreak/>
        <w:t>from a multivariate normal distribution, and used an encoder to estimate the mean and variance of the distribution, resample the latent variables and used the variational inference to generate new data observations from the estimated distribution. Conditional Variational Auto-Encoder (CVAE)</w:t>
      </w:r>
      <w:r w:rsidR="00061C09">
        <w:fldChar w:fldCharType="begin"/>
      </w:r>
      <w:r w:rsidR="00BE5C4B">
        <w:instrText xml:space="preserve"> ADDIN EN.CITE &lt;EndNote&gt;&lt;Cite&gt;&lt;Author&gt;Cortes&lt;/Author&gt;&lt;Year&gt;2015&lt;/Year&gt;&lt;RecNum&gt;7&lt;/RecNum&gt;&lt;DisplayText&gt;[9]&lt;/DisplayText&gt;&lt;record&gt;&lt;rec-number&gt;7&lt;/rec-number&gt;&lt;foreign-keys&gt;&lt;key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061C09">
        <w:fldChar w:fldCharType="separate"/>
      </w:r>
      <w:r w:rsidR="00BE5C4B">
        <w:rPr>
          <w:noProof/>
        </w:rPr>
        <w:t>[9]</w:t>
      </w:r>
      <w:r w:rsidR="00061C09">
        <w:fldChar w:fldCharType="end"/>
      </w:r>
      <w:r>
        <w:t xml:space="preserve"> introduced more constraints to the neural network, allowing the end-users to generate more desired reconstructed samples for customized demands. In particular, scGEN</w:t>
      </w:r>
      <w:r w:rsidR="00061C09">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061C09">
        <w:fldChar w:fldCharType="separate"/>
      </w:r>
      <w:r w:rsidR="0028156B">
        <w:rPr>
          <w:noProof/>
        </w:rPr>
        <w:t>[3]</w:t>
      </w:r>
      <w:r w:rsidR="00061C09">
        <w:fldChar w:fldCharType="end"/>
      </w:r>
      <w:r>
        <w:t xml:space="preserve"> assumed a fixed linear gap between the control cells and the stimulation cells, calculated the latent difference from both datasets</w:t>
      </w:r>
      <w:r w:rsidR="00A0694A">
        <w:t>,</w:t>
      </w:r>
      <w:r>
        <w:t xml:space="preserve"> and predicted the stimulation cell response using latent representation from control cells and the calculated. Meanwhile, </w:t>
      </w:r>
      <w:r w:rsidR="00A0694A">
        <w:t xml:space="preserve">the </w:t>
      </w:r>
      <w:r>
        <w:t>Generative adversarial network (GAN)</w:t>
      </w:r>
      <w:r w:rsidR="00061C09">
        <w:fldChar w:fldCharType="begin"/>
      </w:r>
      <w:r w:rsidR="00BE5C4B">
        <w:instrText xml:space="preserve"> ADDIN EN.CITE &lt;EndNote&gt;&lt;Cite&gt;&lt;Author&gt;Goodfellow&lt;/Author&gt;&lt;Year&gt;2014&lt;/Year&gt;&lt;RecNum&gt;20&lt;/RecNum&gt;&lt;DisplayText&gt;[10]&lt;/DisplayText&gt;&lt;record&gt;&lt;rec-number&gt;20&lt;/rec-number&gt;&lt;foreign-keys&gt;&lt;key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061C09">
        <w:fldChar w:fldCharType="separate"/>
      </w:r>
      <w:r w:rsidR="00BE5C4B">
        <w:rPr>
          <w:noProof/>
        </w:rPr>
        <w:t>[10]</w:t>
      </w:r>
      <w:r w:rsidR="00061C09">
        <w:fldChar w:fldCharType="end"/>
      </w:r>
      <w:r>
        <w:t xml:space="preserve"> introduced a creative but more black-box style in generating the data. GAN trained a “generator” to produce realistic “fake” data samples, while adversarially trained a discriminator to differentiate the “fake” data samples from the “real” data observations. The ultimate goal of GAN was to have a “generator” which can “fool” the discriminators when the loss converged. sc-WGAN</w:t>
      </w:r>
      <w:r w:rsidR="00061C09">
        <w:fldChar w:fldCharType="begin"/>
      </w:r>
      <w:r w:rsidR="00BE5C4B">
        <w:instrText xml:space="preserve"> ADDIN EN.CITE &lt;EndNote&gt;&lt;Cite&gt;&lt;Author&gt;Ghahramani&lt;/Author&gt;&lt;Year&gt;2018&lt;/Year&gt;&lt;RecNum&gt;13&lt;/RecNum&gt;&lt;DisplayText&gt;[11]&lt;/DisplayText&gt;&lt;record&gt;&lt;rec-number&gt;13&lt;/rec-number&gt;&lt;foreign-keys&gt;&lt;key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061C09">
        <w:fldChar w:fldCharType="separate"/>
      </w:r>
      <w:r w:rsidR="00BE5C4B">
        <w:rPr>
          <w:noProof/>
        </w:rPr>
        <w:t>[11]</w:t>
      </w:r>
      <w:r w:rsidR="00061C09">
        <w:fldChar w:fldCharType="end"/>
      </w:r>
      <w:r>
        <w:t xml:space="preserve"> introduced GAN to the scRNA-seq data and obtain a universal representation manifold for different cell types. sc-WGAN</w:t>
      </w:r>
      <w:r w:rsidR="0028156B">
        <w:fldChar w:fldCharType="begin"/>
      </w:r>
      <w:r w:rsidR="00BE5C4B">
        <w:instrText xml:space="preserve"> ADDIN EN.CITE &lt;EndNote&gt;&lt;Cite&gt;&lt;Author&gt;Ghahramani&lt;/Author&gt;&lt;Year&gt;2018&lt;/Year&gt;&lt;RecNum&gt;13&lt;/RecNum&gt;&lt;DisplayText&gt;[11]&lt;/DisplayText&gt;&lt;record&gt;&lt;rec-number&gt;13&lt;/rec-number&gt;&lt;foreign-keys&gt;&lt;key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28156B">
        <w:fldChar w:fldCharType="separate"/>
      </w:r>
      <w:r w:rsidR="00BE5C4B">
        <w:rPr>
          <w:noProof/>
        </w:rPr>
        <w:t>[11]</w:t>
      </w:r>
      <w:r w:rsidR="0028156B">
        <w:fldChar w:fldCharType="end"/>
      </w:r>
      <w:r>
        <w:t xml:space="preserve"> can predict the single-cell perturbation response from the well-trained latent representations. Other researchers also introduced the style-transfer GAN (st-GAN)</w:t>
      </w:r>
      <w:r w:rsidR="0028156B">
        <w:fldChar w:fldCharType="begin"/>
      </w:r>
      <w:r w:rsidR="0028156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8156B">
        <w:fldChar w:fldCharType="separate"/>
      </w:r>
      <w:r w:rsidR="0028156B">
        <w:rPr>
          <w:noProof/>
        </w:rPr>
        <w:t>[2]</w:t>
      </w:r>
      <w:r w:rsidR="0028156B">
        <w:fldChar w:fldCharType="end"/>
      </w:r>
      <w:r>
        <w:t>, which aimed to transfer the dataset-related styles from the control dataset to the stimulation dataset.</w:t>
      </w:r>
    </w:p>
    <w:p w14:paraId="40241DC5" w14:textId="4FDD34E2" w:rsidR="00650ABB" w:rsidRDefault="00000000">
      <w:pPr>
        <w:pStyle w:val="a0"/>
      </w:pPr>
      <w:r>
        <w:t>In our manuscript, we presented a novel tool named “scPerb” (shown Fig.1), which was inspired by the VAE</w:t>
      </w:r>
      <w:r w:rsidR="00296474">
        <w:fldChar w:fldCharType="begin"/>
      </w:r>
      <w:r w:rsidR="00296474">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96474">
        <w:fldChar w:fldCharType="separate"/>
      </w:r>
      <w:r w:rsidR="00296474">
        <w:rPr>
          <w:noProof/>
        </w:rPr>
        <w:t>[1]</w:t>
      </w:r>
      <w:r w:rsidR="00296474">
        <w:fldChar w:fldCharType="end"/>
      </w:r>
      <w:r>
        <w:t xml:space="preserve"> and style-transfer GAN</w:t>
      </w:r>
      <w:r w:rsidR="00296474">
        <w:fldChar w:fldCharType="begin"/>
      </w:r>
      <w:r w:rsidR="00296474">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96474">
        <w:fldChar w:fldCharType="separate"/>
      </w:r>
      <w:r w:rsidR="00296474">
        <w:rPr>
          <w:noProof/>
        </w:rPr>
        <w:t>[2]</w:t>
      </w:r>
      <w:r w:rsidR="00296474">
        <w:fldChar w:fldCharType="end"/>
      </w:r>
      <w:r>
        <w:t xml:space="preserve">. Suppose we have two datasets with different “styles” but the same cell types. We denoted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ctrl</m:t>
            </m:r>
          </m:sup>
        </m:sSubSup>
      </m:oMath>
      <w:r>
        <w:t xml:space="preserve"> to represent the ith cell from the control dataset, and </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stim</m:t>
            </m:r>
          </m:sup>
        </m:sSubSup>
      </m:oMath>
      <w:r>
        <w:t xml:space="preserve"> for the jth cell from the stimulation dataset. scPerb decouples the perturbation task mentioned above into two steps: estimate the latent features of the cell types and a learnable dataset-related style transformation matrix. Inspired by the VAE architectures, scPerb first estimates the multi-variance normal distribution of the latent cell type feature c. Inspired by the style-transfer GAN</w:t>
      </w:r>
      <w:r w:rsidR="0075418D">
        <w:fldChar w:fldCharType="begin"/>
      </w:r>
      <w:r w:rsidR="0075418D">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75418D">
        <w:fldChar w:fldCharType="separate"/>
      </w:r>
      <w:r w:rsidR="0075418D">
        <w:rPr>
          <w:noProof/>
        </w:rPr>
        <w:t>[2]</w:t>
      </w:r>
      <w:r w:rsidR="0075418D">
        <w:fldChar w:fldCharType="end"/>
      </w:r>
      <w:r>
        <w:t xml:space="preserve">, scPerb uses a neural network to learn the style transformation matrix from the dataset. Compared with scGEN, which used a fixed vector </w:t>
      </w:r>
      <m:oMath>
        <m:r>
          <w:rPr>
            <w:rFonts w:ascii="Cambria Math" w:hAnsi="Cambria Math"/>
          </w:rPr>
          <m:t>δ</m:t>
        </m:r>
      </m:oMath>
      <w:r>
        <w:t xml:space="preserve"> to transfer the latent features from the control cells to the stimulation cells, scPerb introduced more learnable parameters and allowed the neural network dynamically assign the weights of the “style-transfer” vector based on the data. Therefore, scPerb can better learn both the style and content difference between the control and stimulation datasets, and output a better prediction compared to </w:t>
      </w:r>
      <w:proofErr w:type="spellStart"/>
      <w:r>
        <w:t>scGEN</w:t>
      </w:r>
      <w:proofErr w:type="spellEnd"/>
      <w:r>
        <w:t>.</w:t>
      </w:r>
    </w:p>
    <w:p w14:paraId="4496F1D9" w14:textId="643F9823" w:rsidR="00650ABB" w:rsidRDefault="00000000">
      <w:pPr>
        <w:pStyle w:val="a0"/>
      </w:pPr>
      <w:r>
        <w:t>To demonstrate the performance of scPerb, we applied it to three datasets. Among these three datasets, two of them are two groups of published human peripheral blood mononuclear cells (PBMC) datasets</w:t>
      </w:r>
      <w:r w:rsidR="00FE137D">
        <w:fldChar w:fldCharType="begin">
          <w:fldData xml:space="preserve">PEVuZE5vdGU+PENpdGU+PEF1dGhvcj5LYW5nPC9BdXRob3I+PFllYXI+MjAxODwvWWVhcj48UmVj
TnVtPjk8L1JlY051bT48RGlzcGxheVRleHQ+WzEyLCAxM108L0Rpc3BsYXlUZXh0PjxyZWNvcmQ+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BE5C4B">
        <w:instrText xml:space="preserve"> ADDIN EN.CITE </w:instrText>
      </w:r>
      <w:r w:rsidR="00BE5C4B">
        <w:fldChar w:fldCharType="begin">
          <w:fldData xml:space="preserve">PEVuZE5vdGU+PENpdGU+PEF1dGhvcj5LYW5nPC9BdXRob3I+PFllYXI+MjAxODwvWWVhcj48UmVj
TnVtPjk8L1JlY051bT48RGlzcGxheVRleHQ+WzEyLCAxM108L0Rpc3BsYXlUZXh0PjxyZWNvcmQ+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BE5C4B">
        <w:instrText xml:space="preserve"> ADDIN EN.CITE.DATA </w:instrText>
      </w:r>
      <w:r w:rsidR="00BE5C4B">
        <w:fldChar w:fldCharType="end"/>
      </w:r>
      <w:r w:rsidR="00FE137D">
        <w:fldChar w:fldCharType="separate"/>
      </w:r>
      <w:r w:rsidR="00BE5C4B">
        <w:rPr>
          <w:noProof/>
        </w:rPr>
        <w:t>[12, 13]</w:t>
      </w:r>
      <w:r w:rsidR="00FE137D">
        <w:fldChar w:fldCharType="end"/>
      </w:r>
      <w:r>
        <w:t xml:space="preserve"> stimulated with interferon (</w:t>
      </w:r>
      <m:oMath>
        <m:r>
          <w:rPr>
            <w:rFonts w:ascii="Cambria Math" w:hAnsi="Cambria Math"/>
          </w:rPr>
          <m:t>IFN</m:t>
        </m:r>
        <m:r>
          <m:rPr>
            <m:sty m:val="p"/>
          </m:rPr>
          <w:rPr>
            <w:rFonts w:ascii="Cambria Math" w:hAnsi="Cambria Math"/>
          </w:rPr>
          <m:t>-</m:t>
        </m:r>
        <m:r>
          <w:rPr>
            <w:rFonts w:ascii="Cambria Math" w:hAnsi="Cambria Math"/>
          </w:rPr>
          <m:t>β</m:t>
        </m:r>
      </m:oMath>
      <w:r>
        <w:t>) methods, and the rest is a group of intestinal epithelial cells fetched by parasitic helminth H.poly cells</w:t>
      </w:r>
      <w:r w:rsidR="00FE137D">
        <w:fldChar w:fldCharType="begin"/>
      </w:r>
      <w:r w:rsidR="00BE5C4B">
        <w:instrText xml:space="preserve"> ADDIN EN.CITE &lt;EndNote&gt;&lt;Cite&gt;&lt;Author&gt;Haber&lt;/Author&gt;&lt;Year&gt;2017&lt;/Year&gt;&lt;RecNum&gt;8&lt;/RecNum&gt;&lt;DisplayText&gt;[14]&lt;/DisplayText&gt;&lt;record&gt;&lt;rec-number&gt;8&lt;/rec-number&gt;&lt;foreign-keys&gt;&lt;key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FE137D">
        <w:fldChar w:fldCharType="separate"/>
      </w:r>
      <w:r w:rsidR="00BE5C4B">
        <w:rPr>
          <w:noProof/>
        </w:rPr>
        <w:t>[14]</w:t>
      </w:r>
      <w:r w:rsidR="00FE137D">
        <w:fldChar w:fldCharType="end"/>
      </w:r>
      <w:r>
        <w:t xml:space="preserve">. We fairly compared our proposed scPerb with other benchmarking papers </w:t>
      </w:r>
      <w:r w:rsidR="0028156B">
        <w:fldChar w:fldCharType="begin">
          <w:fldData xml:space="preserve">PEVuZE5vdGU+PENpdGU+PEF1dGhvcj5Mb3Rmb2xsYWhpPC9BdXRob3I+PFllYXI+MjAxOTwvWWVh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cmVzb3VyY2UtbnVtPjwvcmVjb3JkPjwvQ2l0ZT48Q2l0ZT48QXV0aG9yPkthcnJhczwvQXV0aG9y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BE5C4B">
        <w:instrText xml:space="preserve"> ADDIN EN.CITE </w:instrText>
      </w:r>
      <w:r w:rsidR="00BE5C4B">
        <w:fldChar w:fldCharType="begin">
          <w:fldData xml:space="preserve">PEVuZE5vdGU+PENpdGU+PEF1dGhvcj5Mb3Rmb2xsYWhpPC9BdXRob3I+PFllYXI+MjAxOTwvWWVh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cmVzb3VyY2UtbnVtPjwvcmVjb3JkPjwvQ2l0ZT48Q2l0ZT48QXV0aG9yPkthcnJhczwvQXV0aG9y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BE5C4B">
        <w:instrText xml:space="preserve"> ADDIN EN.CITE.DATA </w:instrText>
      </w:r>
      <w:r w:rsidR="00BE5C4B">
        <w:fldChar w:fldCharType="end"/>
      </w:r>
      <w:r w:rsidR="0028156B">
        <w:fldChar w:fldCharType="separate"/>
      </w:r>
      <w:r w:rsidR="00BE5C4B">
        <w:rPr>
          <w:noProof/>
        </w:rPr>
        <w:t>[2, 3, 9, 11]</w:t>
      </w:r>
      <w:r w:rsidR="0028156B">
        <w:fldChar w:fldCharType="end"/>
      </w:r>
      <w:r>
        <w:t xml:space="preserve">. In this process, we first run all the cell types of one dataset in each model and combine the results for further processing. Then, we compare the prediction of all the methods with the ground truth, and the stimulation cells in the dataset, and get a final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Compared to all the other </w:t>
      </w:r>
      <w:r>
        <w:lastRenderedPageBreak/>
        <w:t>methods including scGEN, CVAE, style-transfer GAN</w:t>
      </w:r>
      <w:r w:rsidR="0075418D">
        <w:t>,</w:t>
      </w:r>
      <w:r>
        <w:t xml:space="preserve"> and sc-WGAN, the predictions of scPerb are the most correlated with the cell types in the </w:t>
      </w:r>
      <w:r w:rsidR="009470BF">
        <w:rPr>
          <w:rFonts w:hint="eastAsia"/>
          <w:lang w:eastAsia="zh-CN"/>
        </w:rPr>
        <w:t>simulation</w:t>
      </w:r>
      <w:r>
        <w:t xml:space="preserve"> dataset. In the published human peripheral blood mononuclear cells (PBMC) dataset, scPerb gain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0.98, while scGEN and CVAE only achieved 0.9</w:t>
      </w:r>
      <w:r w:rsidR="009470BF">
        <w:t>4</w:t>
      </w:r>
      <w:r>
        <w:t xml:space="preserve"> and 0.9</w:t>
      </w:r>
      <w:r w:rsidR="009470BF">
        <w:t>3</w:t>
      </w:r>
      <w:r>
        <w:t xml:space="preserve"> respectively. Moreover, both GAN-based methods style-transfer GAN and sc-WGAN poorly predicted the perturbation response, resulting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of 0.</w:t>
      </w:r>
      <w:r w:rsidR="009470BF">
        <w:t>39</w:t>
      </w:r>
      <w:r>
        <w:t xml:space="preserve"> and 0.1</w:t>
      </w:r>
      <w:r w:rsidR="009470BF">
        <w:t>0</w:t>
      </w:r>
      <w:r>
        <w:t xml:space="preserve"> accordingly. In conclusion, scPerb best correlates the stimulation cells among all the other benchmarking methods.</w:t>
      </w:r>
    </w:p>
    <w:p w14:paraId="6DC8DF28" w14:textId="68C6576D" w:rsidR="00650ABB" w:rsidRPr="00D422EB" w:rsidRDefault="00D422EB" w:rsidP="00D422EB">
      <w:pPr>
        <w:rPr>
          <w:sz w:val="32"/>
          <w:szCs w:val="32"/>
        </w:rPr>
      </w:pPr>
      <w:bookmarkStart w:id="8" w:name="scperb-outperforms-other-benchmarkers"/>
      <w:bookmarkEnd w:id="7"/>
      <w:r>
        <w:rPr>
          <w:sz w:val="32"/>
          <w:szCs w:val="32"/>
        </w:rPr>
        <w:t xml:space="preserve">4.2 </w:t>
      </w:r>
      <w:r w:rsidRPr="00D422EB">
        <w:rPr>
          <w:sz w:val="32"/>
          <w:szCs w:val="32"/>
        </w:rPr>
        <w:t>scPerb outperforms other benchmarks</w:t>
      </w:r>
    </w:p>
    <w:p w14:paraId="4E25ECC1" w14:textId="2CE8C444" w:rsidR="00650ABB" w:rsidRDefault="00000000">
      <w:pPr>
        <w:pStyle w:val="FirstParagraph"/>
      </w:pPr>
      <w:r>
        <w:t xml:space="preserve">In the </w:t>
      </w:r>
      <w:r w:rsidRPr="005F447C">
        <w:rPr>
          <w:color w:val="FF0000"/>
        </w:rPr>
        <w:t>Stud</w:t>
      </w:r>
      <w:r w:rsidR="005F447C">
        <w:rPr>
          <w:rFonts w:hint="eastAsia"/>
          <w:color w:val="FF0000"/>
          <w:lang w:eastAsia="zh-CN"/>
        </w:rPr>
        <w:t>y</w:t>
      </w:r>
      <w:r w:rsidR="005F447C">
        <w:rPr>
          <w:color w:val="FF0000"/>
        </w:rPr>
        <w:t>“</w:t>
      </w:r>
      <w:r w:rsidR="005F447C">
        <w:rPr>
          <w:rFonts w:hint="eastAsia"/>
          <w:color w:val="FF0000"/>
          <w:lang w:eastAsia="zh-CN"/>
        </w:rPr>
        <w:t>命名有问题</w:t>
      </w:r>
      <w:r w:rsidR="005F447C">
        <w:rPr>
          <w:color w:val="FF0000"/>
        </w:rPr>
        <w:t>”</w:t>
      </w:r>
      <w:r>
        <w:t xml:space="preserve"> dataset (Fig2 (a)), we measure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all cell types. Each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reflected the specific correlation score between the prediction and the real stimulation cell type. scPerb achieved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0.98, which is higher than the </w:t>
      </w:r>
      <w:r w:rsidR="00193D4B">
        <w:t>second-best</w:t>
      </w:r>
      <w:r>
        <w:t xml:space="preserve"> benchmarking scGEN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m:t>
        </m:r>
      </m:oMath>
      <w:r>
        <w:t xml:space="preserve">) and the third best </w:t>
      </w:r>
      <w:r w:rsidR="00D422EB">
        <w:rPr>
          <w:rFonts w:hint="eastAsia"/>
          <w:lang w:eastAsia="zh-CN"/>
        </w:rPr>
        <w:t>benchmarking</w:t>
      </w:r>
      <w:r>
        <w:t xml:space="preserve"> </w:t>
      </w:r>
      <w:r w:rsidR="00193D4B">
        <w:t>C</w:t>
      </w:r>
      <w:r>
        <w:t>VAE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0.93</m:t>
        </m:r>
      </m:oMath>
      <w:r>
        <w:t xml:space="preserve">). Surprisingly, the GAN based methods had much worse performance. The stGAN and sc-WGAN only have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m:t>
        </m:r>
        <m:r>
          <w:rPr>
            <w:rFonts w:ascii="Cambria Math" w:hAnsi="Cambria Math"/>
          </w:rPr>
          <m:t>39</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0.10</m:t>
        </m:r>
      </m:oMath>
      <w:r>
        <w:t xml:space="preserve"> accordingly. When compared the perfomance with a specific cell type </w:t>
      </w:r>
      <m:oMath>
        <m:r>
          <w:rPr>
            <w:rFonts w:ascii="Cambria Math" w:hAnsi="Cambria Math"/>
          </w:rPr>
          <m:t>CD4T</m:t>
        </m:r>
      </m:oMath>
      <w:r>
        <w:t xml:space="preserve">, scPerb achieved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=0.99, followed by scGEN and CVAE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0.95</m:t>
        </m:r>
      </m:oMath>
      <w:r>
        <w:t xml:space="preserve">. stGAN and sc-wGAN had poor performance,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m:t>
        </m:r>
        <m:r>
          <w:rPr>
            <w:rFonts w:ascii="Cambria Math" w:hAnsi="Cambria Math"/>
          </w:rPr>
          <m:t>16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0.09</m:t>
        </m:r>
      </m:oMath>
      <w:r>
        <w:t>.</w:t>
      </w:r>
    </w:p>
    <w:p w14:paraId="1FF87F42" w14:textId="572DCCA1" w:rsidR="00650ABB" w:rsidRDefault="00000000">
      <w:pPr>
        <w:pStyle w:val="a0"/>
      </w:pPr>
      <w:r>
        <w:t xml:space="preserve">Moreover, we inspected the correlation of a specific gene expression among the benchmarking papers. </w:t>
      </w:r>
      <m:oMath>
        <m:r>
          <w:rPr>
            <w:rFonts w:ascii="Cambria Math" w:hAnsi="Cambria Math"/>
          </w:rPr>
          <m:t>FTL</m:t>
        </m:r>
      </m:oMath>
      <w:r>
        <w:t xml:space="preserve"> is </w:t>
      </w:r>
      <w:r w:rsidR="00E673AA">
        <w:rPr>
          <w:b/>
          <w:bCs/>
        </w:rPr>
        <w:t>“</w:t>
      </w:r>
      <w:r w:rsidRPr="00AA26B1">
        <w:rPr>
          <w:b/>
          <w:bCs/>
          <w:color w:val="FF0000"/>
        </w:rPr>
        <w:t>the relation between FTL and CD4T, need refers</w:t>
      </w:r>
      <w:r w:rsidR="00AA26B1">
        <w:rPr>
          <w:rFonts w:hint="eastAsia"/>
          <w:b/>
          <w:bCs/>
          <w:color w:val="FF0000"/>
          <w:lang w:eastAsia="zh-CN"/>
        </w:rPr>
        <w:t xml:space="preserve"> </w:t>
      </w:r>
      <w:r w:rsidR="00AA26B1">
        <w:rPr>
          <w:rFonts w:hint="eastAsia"/>
          <w:b/>
          <w:bCs/>
          <w:color w:val="FF0000"/>
          <w:lang w:eastAsia="zh-CN"/>
        </w:rPr>
        <w:t>需要</w:t>
      </w:r>
      <w:r w:rsidR="00AA26B1">
        <w:rPr>
          <w:rFonts w:hint="eastAsia"/>
          <w:b/>
          <w:bCs/>
          <w:color w:val="FF0000"/>
          <w:lang w:eastAsia="zh-CN"/>
        </w:rPr>
        <w:t>F</w:t>
      </w:r>
      <w:r w:rsidR="00AA26B1">
        <w:rPr>
          <w:b/>
          <w:bCs/>
          <w:color w:val="FF0000"/>
          <w:lang w:eastAsia="zh-CN"/>
        </w:rPr>
        <w:t>TL</w:t>
      </w:r>
      <w:r w:rsidR="00AA26B1">
        <w:rPr>
          <w:rFonts w:hint="eastAsia"/>
          <w:b/>
          <w:bCs/>
          <w:color w:val="FF0000"/>
          <w:lang w:eastAsia="zh-CN"/>
        </w:rPr>
        <w:t>和</w:t>
      </w:r>
      <w:r w:rsidR="00AA26B1">
        <w:rPr>
          <w:rFonts w:hint="eastAsia"/>
          <w:b/>
          <w:bCs/>
          <w:color w:val="FF0000"/>
          <w:lang w:eastAsia="zh-CN"/>
        </w:rPr>
        <w:t>C</w:t>
      </w:r>
      <w:r w:rsidR="00AA26B1">
        <w:rPr>
          <w:b/>
          <w:bCs/>
          <w:color w:val="FF0000"/>
          <w:lang w:eastAsia="zh-CN"/>
        </w:rPr>
        <w:t>D4T</w:t>
      </w:r>
      <w:r w:rsidR="00AA26B1">
        <w:rPr>
          <w:rFonts w:hint="eastAsia"/>
          <w:b/>
          <w:bCs/>
          <w:color w:val="FF0000"/>
          <w:lang w:eastAsia="zh-CN"/>
        </w:rPr>
        <w:t>对应的参考文献</w:t>
      </w:r>
      <w:r w:rsidR="00E673AA">
        <w:rPr>
          <w:rFonts w:hint="eastAsia"/>
          <w:b/>
          <w:bCs/>
          <w:lang w:eastAsia="zh-CN"/>
        </w:rPr>
        <w:t>”</w:t>
      </w:r>
      <w:r>
        <w:t xml:space="preserve">. In our dataset, the gene expression of FTL in the control dataset is similar to the stimulation dataset. In this case, our scPerb focused on the mean of the gene expression in the real dataset and had a few high expressions. In contrast, scGEN, CVAE were more similar to the gene expression in the control dataset, while st-GAN and sc-WGAN had relatively smaller gene expression. To support our observation, we also inspect another gene expression </w:t>
      </w:r>
      <m:oMath>
        <m:r>
          <w:rPr>
            <w:rFonts w:ascii="Cambria Math" w:hAnsi="Cambria Math"/>
          </w:rPr>
          <m:t>IFIT2</m:t>
        </m:r>
      </m:oMath>
      <w:r>
        <w:t xml:space="preserve"> in the same </w:t>
      </w:r>
      <m:oMath>
        <m:r>
          <w:rPr>
            <w:rFonts w:ascii="Cambria Math" w:hAnsi="Cambria Math"/>
          </w:rPr>
          <m:t>CD4T</m:t>
        </m:r>
      </m:oMath>
      <w:r>
        <w:t xml:space="preserve"> cell type</w:t>
      </w:r>
      <w:r w:rsidR="0061706C">
        <w:t xml:space="preserve"> “</w:t>
      </w:r>
      <w:r w:rsidR="0061706C" w:rsidRPr="0061706C">
        <w:rPr>
          <w:rFonts w:hint="eastAsia"/>
          <w:color w:val="FF0000"/>
          <w:lang w:eastAsia="zh-CN"/>
        </w:rPr>
        <w:t>这里需要</w:t>
      </w:r>
      <w:r w:rsidR="0061706C" w:rsidRPr="0061706C">
        <w:rPr>
          <w:color w:val="FF0000"/>
          <w:lang w:eastAsia="zh-CN"/>
        </w:rPr>
        <w:t>IFIT2</w:t>
      </w:r>
      <w:r w:rsidR="0061706C" w:rsidRPr="0061706C">
        <w:rPr>
          <w:rFonts w:hint="eastAsia"/>
          <w:color w:val="FF0000"/>
          <w:lang w:eastAsia="zh-CN"/>
        </w:rPr>
        <w:t>和</w:t>
      </w:r>
      <w:r w:rsidR="0061706C" w:rsidRPr="0061706C">
        <w:rPr>
          <w:rFonts w:hint="eastAsia"/>
          <w:color w:val="FF0000"/>
          <w:lang w:eastAsia="zh-CN"/>
        </w:rPr>
        <w:t>C</w:t>
      </w:r>
      <w:r w:rsidR="0061706C" w:rsidRPr="0061706C">
        <w:rPr>
          <w:color w:val="FF0000"/>
          <w:lang w:eastAsia="zh-CN"/>
        </w:rPr>
        <w:t>D4T</w:t>
      </w:r>
      <w:r w:rsidR="0061706C" w:rsidRPr="0061706C">
        <w:rPr>
          <w:rFonts w:hint="eastAsia"/>
          <w:color w:val="FF0000"/>
          <w:lang w:eastAsia="zh-CN"/>
        </w:rPr>
        <w:t>对应的参考文献</w:t>
      </w:r>
      <w:r w:rsidR="0061706C">
        <w:rPr>
          <w:rFonts w:hint="eastAsia"/>
          <w:lang w:eastAsia="zh-CN"/>
        </w:rPr>
        <w:t>”</w:t>
      </w:r>
      <w:r>
        <w:t xml:space="preserve">. The gene expression of </w:t>
      </w:r>
      <m:oMath>
        <m:r>
          <w:rPr>
            <w:rFonts w:ascii="Cambria Math" w:hAnsi="Cambria Math"/>
          </w:rPr>
          <m:t>IFIT2</m:t>
        </m:r>
      </m:oMath>
      <w:r>
        <w:t xml:space="preserve"> from control dataset are full of zero values, while the gene expressions of </w:t>
      </w:r>
      <m:oMath>
        <m:r>
          <w:rPr>
            <w:rFonts w:ascii="Cambria Math" w:hAnsi="Cambria Math"/>
          </w:rPr>
          <m:t>IFIT2</m:t>
        </m:r>
      </m:oMath>
      <w:r>
        <w:t xml:space="preserve"> in the stimulation dataset had higher values. In this case, scPerb, scgen and sc-WGAN can reflect the dataset difference, while CVAE and stGAN failed to transfer the gene expression from the control dataset to the stimulation dataset. Furthermore, we applied a wilcoxon test to examine whether the prediction and the real stimulation gene expression had significant difference. The pvalues showed that scPerb had 0.1763 in the prediction of </w:t>
      </w:r>
      <m:oMath>
        <m:r>
          <w:rPr>
            <w:rFonts w:ascii="Cambria Math" w:hAnsi="Cambria Math"/>
          </w:rPr>
          <m:t>FTL</m:t>
        </m:r>
      </m:oMath>
      <w:r>
        <w:t xml:space="preserve"> and 0.0742 in the prediction of </w:t>
      </w:r>
      <m:oMath>
        <m:r>
          <w:rPr>
            <w:rFonts w:ascii="Cambria Math" w:hAnsi="Cambria Math"/>
          </w:rPr>
          <m:t>IFIT2</m:t>
        </m:r>
      </m:oMath>
      <w:r>
        <w:t xml:space="preserve">, which failed to reject the hypothesis that the prediction and the real stimulation gene expression had signficiantly difference. Meanwhile, in the rest of the benchmarkings, the pvalues of scGEN was </w:t>
      </w:r>
      <m:oMath>
        <m:r>
          <w:rPr>
            <w:rFonts w:ascii="Cambria Math" w:hAnsi="Cambria Math"/>
          </w:rPr>
          <m:t>6.2987</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15</m:t>
            </m:r>
          </m:sup>
        </m:sSup>
      </m:oMath>
      <w:r>
        <w:t xml:space="preserve">and </w:t>
      </w:r>
      <m:oMath>
        <m:r>
          <w:rPr>
            <w:rFonts w:ascii="Cambria Math" w:hAnsi="Cambria Math"/>
          </w:rPr>
          <m:t>3.3282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CVAE (pvalue=0.0307 for FTL and pvalue&lt;0.0001</w:t>
      </w:r>
      <w:r w:rsidR="00193D4B">
        <w:t xml:space="preserve"> for IFIT2)</w:t>
      </w:r>
      <w:r>
        <w:t xml:space="preserve">. For the GAN-base methods, </w:t>
      </w:r>
      <w:r w:rsidR="00193D4B">
        <w:t xml:space="preserve">all of </w:t>
      </w:r>
      <w:r>
        <w:t>the pvalues were smaller than 0.0001. Consequently, the pvalues from the benchmarking papers reject the hypothesis and indicating a significant difference between the prediction and real stimulation gene expressions.</w:t>
      </w:r>
    </w:p>
    <w:p w14:paraId="1B36C3F9" w14:textId="399C2283" w:rsidR="00650ABB" w:rsidRPr="003419A3" w:rsidRDefault="003419A3" w:rsidP="003419A3">
      <w:pPr>
        <w:rPr>
          <w:sz w:val="32"/>
          <w:szCs w:val="32"/>
        </w:rPr>
      </w:pPr>
      <w:bookmarkStart w:id="9" w:name="X0f860db57c69307004e1ad1675050c652cd5a10"/>
      <w:bookmarkEnd w:id="8"/>
      <w:r>
        <w:rPr>
          <w:sz w:val="32"/>
          <w:szCs w:val="32"/>
        </w:rPr>
        <w:t xml:space="preserve">4.3 </w:t>
      </w:r>
      <w:r w:rsidRPr="003419A3">
        <w:rPr>
          <w:sz w:val="32"/>
          <w:szCs w:val="32"/>
        </w:rPr>
        <w:t>scPerb can accurately predict the perturbation of cells</w:t>
      </w:r>
    </w:p>
    <w:p w14:paraId="1F08D564" w14:textId="77777777" w:rsidR="00650ABB" w:rsidRDefault="00000000">
      <w:pPr>
        <w:pStyle w:val="FirstParagraph"/>
      </w:pPr>
      <w:r>
        <w:lastRenderedPageBreak/>
        <w:t xml:space="preserve">We then explored the performance of scPerb in larger range of genes in more cell types. Figure3 (a) showed the scatter plot of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all genes and the top 100 DEG genes. The mean of the prediction gene expression achieved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0.9905</m:t>
        </m:r>
      </m:oMath>
      <w:r>
        <w:t xml:space="preserve"> among all genes,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0.9935</m:t>
        </m:r>
      </m:oMath>
      <w:r>
        <w:t xml:space="preserve"> among the top 100 DEG genes. In particular, we found that top 5 genes were </w:t>
      </w:r>
      <m:oMath>
        <m:r>
          <w:rPr>
            <w:rFonts w:ascii="Cambria Math" w:hAnsi="Cambria Math"/>
          </w:rPr>
          <m:t>IFIT1</m:t>
        </m:r>
        <m:r>
          <m:rPr>
            <m:sty m:val="p"/>
          </m:rPr>
          <w:rPr>
            <w:rFonts w:ascii="Cambria Math" w:hAnsi="Cambria Math"/>
          </w:rPr>
          <m:t>,</m:t>
        </m:r>
        <m:r>
          <w:rPr>
            <w:rFonts w:ascii="Cambria Math" w:hAnsi="Cambria Math"/>
          </w:rPr>
          <m:t>IFIT3</m:t>
        </m:r>
        <m:r>
          <m:rPr>
            <m:sty m:val="p"/>
          </m:rPr>
          <w:rPr>
            <w:rFonts w:ascii="Cambria Math" w:hAnsi="Cambria Math"/>
          </w:rPr>
          <m:t>,</m:t>
        </m:r>
        <m:r>
          <w:rPr>
            <w:rFonts w:ascii="Cambria Math" w:hAnsi="Cambria Math"/>
          </w:rPr>
          <m:t>IF16</m:t>
        </m:r>
        <m:r>
          <m:rPr>
            <m:sty m:val="p"/>
          </m:rPr>
          <w:rPr>
            <w:rFonts w:ascii="Cambria Math" w:hAnsi="Cambria Math"/>
          </w:rPr>
          <m:t>,</m:t>
        </m:r>
        <m:r>
          <w:rPr>
            <w:rFonts w:ascii="Cambria Math" w:hAnsi="Cambria Math"/>
          </w:rPr>
          <m:t>ISG20</m:t>
        </m:r>
        <m:r>
          <m:rPr>
            <m:sty m:val="p"/>
          </m:rPr>
          <w:rPr>
            <w:rFonts w:ascii="Cambria Math" w:hAnsi="Cambria Math"/>
          </w:rPr>
          <m:t>,</m:t>
        </m:r>
        <m:r>
          <w:rPr>
            <w:rFonts w:ascii="Cambria Math" w:hAnsi="Cambria Math"/>
          </w:rPr>
          <m:t>ISG15</m:t>
        </m:r>
      </m:oMath>
      <w:r>
        <w:t>.</w:t>
      </w:r>
    </w:p>
    <w:p w14:paraId="30EF1E11" w14:textId="642D7A6D" w:rsidR="00650ABB" w:rsidRDefault="00000000">
      <w:pPr>
        <w:pStyle w:val="a0"/>
      </w:pPr>
      <w:r>
        <w:t xml:space="preserve">Figure3 (b) explored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difference cell types. </w:t>
      </w:r>
      <w:r w:rsidR="00EA629A">
        <w:t>S</w:t>
      </w:r>
      <w:r w:rsidR="00EA629A" w:rsidRPr="00EA629A">
        <w:t>pecifically</w:t>
      </w:r>
      <w:r w:rsidR="00EA629A">
        <w:t xml:space="preserve"> in this study, we examined</w:t>
      </w:r>
      <w:r w:rsidR="00EA629A" w:rsidRPr="00EA629A">
        <w:t xml:space="preserve"> B cells, CD4-T cells, CD8-T cells, CD14 + Mono cell</w:t>
      </w:r>
      <w:r w:rsidR="001B28E2">
        <w:t>s</w:t>
      </w:r>
      <w:r w:rsidR="00EA629A" w:rsidRPr="00EA629A">
        <w:t>, dendritic cells, FCGR3A+Mono cel</w:t>
      </w:r>
      <w:r w:rsidR="001B28E2">
        <w:t>ls</w:t>
      </w:r>
      <w:r w:rsidR="00EA629A" w:rsidRPr="00EA629A">
        <w:t>, and NK cells. Remarkably, when considering all genes, B cells displayed an exceptional R² of 0.99, with the top 100 differentially expressed genes (DEGs) yielding a slightly lower yet highly significant value of 0.98. Similarly, CD4-T cells showcased an impressive consistency in prediction accuracy with R² scores of 0.99 and 0.99</w:t>
      </w:r>
      <w:r w:rsidR="00A76276">
        <w:t xml:space="preserve"> </w:t>
      </w:r>
      <w:r w:rsidR="00A76276">
        <w:rPr>
          <w:rFonts w:hint="eastAsia"/>
          <w:lang w:eastAsia="zh-CN"/>
        </w:rPr>
        <w:t>for</w:t>
      </w:r>
      <w:r w:rsidR="00A76276">
        <w:rPr>
          <w:lang w:eastAsia="zh-CN"/>
        </w:rPr>
        <w:t xml:space="preserve"> all genes and top 100 DEGs</w:t>
      </w:r>
      <w:r w:rsidR="00EA629A" w:rsidRPr="00EA629A">
        <w:t>, while CD8-T cells demonstrated strong predictive power with R² values of 0.96 and 0.94. Moreover, NK cells exhibited robust R² scores of 0.9</w:t>
      </w:r>
      <w:r w:rsidR="00A06A34">
        <w:t>7</w:t>
      </w:r>
      <w:r w:rsidR="00EA629A" w:rsidRPr="00EA629A">
        <w:t xml:space="preserve"> and 0.9</w:t>
      </w:r>
      <w:r w:rsidR="00A06A34">
        <w:t>8</w:t>
      </w:r>
      <w:r w:rsidR="00EA629A" w:rsidRPr="00EA629A">
        <w:t>. Notably, CD14+Mono cell</w:t>
      </w:r>
      <w:r w:rsidR="001B28E2">
        <w:t>s</w:t>
      </w:r>
      <w:r w:rsidR="00EA629A" w:rsidRPr="00EA629A">
        <w:t>, dendritic cells, and FCGR3A+Mono cell</w:t>
      </w:r>
      <w:r w:rsidR="001B28E2">
        <w:t>s</w:t>
      </w:r>
      <w:r w:rsidR="00EA629A" w:rsidRPr="00EA629A">
        <w:t xml:space="preserve"> collectively exhibited outstanding R² values of 0.99 and 0.99, further underscoring the reliability of predictions. This comprehensive evaluation delineates the remarkable predictive performance of the model across various cell types, shedding light on the intricacies of gene expression patterns and offering insights of potential significance in diverse biological contexts.</w:t>
      </w:r>
    </w:p>
    <w:p w14:paraId="44A109FF" w14:textId="21AD6398" w:rsidR="00A23827" w:rsidRDefault="006E4328" w:rsidP="006E4328">
      <w:pPr>
        <w:pStyle w:val="a0"/>
      </w:pPr>
      <w:bookmarkStart w:id="10" w:name="Xe159c561f844c24d91ff19397e5810e9fc9cae3"/>
      <w:r>
        <w:t>Finally, t</w:t>
      </w:r>
      <w:r w:rsidR="00000000">
        <w:t xml:space="preserve">he resilience of </w:t>
      </w:r>
      <w:proofErr w:type="spellStart"/>
      <w:r w:rsidR="00000000">
        <w:t>scPerb</w:t>
      </w:r>
      <w:proofErr w:type="spellEnd"/>
      <w:r w:rsidR="00000000">
        <w:t xml:space="preserve"> was evidenced in scenarios where the mean expression of control differed from the stimulated type. The dot plot in Figure 3 demonstrates whether the mean expression of control cells is less (such as in genes IFIT1, IFIT2, and IFIT3), equal (such as in genes RPL3 and RPL13A), or greater than (such as in genes FTL, and ACTB) the perturbed cells, scPerb’s prediction remained close to the ground truth.</w:t>
      </w:r>
      <w:bookmarkEnd w:id="6"/>
      <w:bookmarkEnd w:id="9"/>
      <w:bookmarkEnd w:id="10"/>
    </w:p>
    <w:p w14:paraId="684A4D84" w14:textId="77777777" w:rsidR="00A23827" w:rsidRDefault="00A23827">
      <w:r>
        <w:br w:type="page"/>
      </w:r>
    </w:p>
    <w:p w14:paraId="42EDE44B" w14:textId="7DCF3C4F" w:rsidR="00FE2E36" w:rsidRPr="00A23827" w:rsidRDefault="00C55C8C" w:rsidP="00A23827">
      <w:pPr>
        <w:rPr>
          <w:rFonts w:hint="eastAsia"/>
          <w:b/>
          <w:bCs/>
          <w:sz w:val="44"/>
          <w:szCs w:val="44"/>
          <w:lang w:eastAsia="zh-CN"/>
        </w:rPr>
      </w:pPr>
      <w:r w:rsidRPr="00A23827">
        <w:rPr>
          <w:rFonts w:hint="eastAsia"/>
          <w:b/>
          <w:bCs/>
          <w:sz w:val="44"/>
          <w:szCs w:val="44"/>
          <w:lang w:eastAsia="zh-CN"/>
        </w:rPr>
        <w:lastRenderedPageBreak/>
        <w:t>Re</w:t>
      </w:r>
      <w:r w:rsidRPr="00A23827">
        <w:rPr>
          <w:b/>
          <w:bCs/>
          <w:sz w:val="44"/>
          <w:szCs w:val="44"/>
          <w:lang w:eastAsia="zh-CN"/>
        </w:rPr>
        <w:t>ference</w:t>
      </w:r>
    </w:p>
    <w:p w14:paraId="34915AEF" w14:textId="77777777" w:rsidR="009470BF" w:rsidRPr="009470BF" w:rsidRDefault="00FE2E36" w:rsidP="009470BF">
      <w:pPr>
        <w:pStyle w:val="EndNoteBibliography"/>
        <w:spacing w:after="0"/>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9470BF" w:rsidRPr="009470BF">
        <w:rPr>
          <w:noProof/>
        </w:rPr>
        <w:t>1.</w:t>
      </w:r>
      <w:r w:rsidR="009470BF" w:rsidRPr="009470BF">
        <w:rPr>
          <w:noProof/>
        </w:rPr>
        <w:tab/>
        <w:t xml:space="preserve">Kingma, D.P. and M. Welling, </w:t>
      </w:r>
      <w:r w:rsidR="009470BF" w:rsidRPr="009470BF">
        <w:rPr>
          <w:i/>
          <w:noProof/>
        </w:rPr>
        <w:t>Auto-encoding variational bayes.</w:t>
      </w:r>
      <w:r w:rsidR="009470BF" w:rsidRPr="009470BF">
        <w:rPr>
          <w:noProof/>
        </w:rPr>
        <w:t xml:space="preserve"> arXiv preprint arXiv:1312.6114, 2013.</w:t>
      </w:r>
    </w:p>
    <w:p w14:paraId="7FA97A4E" w14:textId="77777777" w:rsidR="009470BF" w:rsidRPr="009470BF" w:rsidRDefault="009470BF" w:rsidP="009470BF">
      <w:pPr>
        <w:pStyle w:val="EndNoteBibliography"/>
        <w:spacing w:after="0"/>
        <w:ind w:left="720" w:hanging="720"/>
        <w:rPr>
          <w:noProof/>
        </w:rPr>
      </w:pPr>
      <w:r w:rsidRPr="009470BF">
        <w:rPr>
          <w:noProof/>
        </w:rPr>
        <w:t>2.</w:t>
      </w:r>
      <w:r w:rsidRPr="009470BF">
        <w:rPr>
          <w:noProof/>
        </w:rPr>
        <w:tab/>
        <w:t xml:space="preserve">Karras, T., S. Laine, and T. Aila. </w:t>
      </w:r>
      <w:r w:rsidRPr="009470BF">
        <w:rPr>
          <w:i/>
          <w:noProof/>
        </w:rPr>
        <w:t>A style-based generator architecture for generative adversarial networks</w:t>
      </w:r>
      <w:r w:rsidRPr="009470BF">
        <w:rPr>
          <w:noProof/>
        </w:rPr>
        <w:t xml:space="preserve">. in </w:t>
      </w:r>
      <w:r w:rsidRPr="009470BF">
        <w:rPr>
          <w:i/>
          <w:noProof/>
        </w:rPr>
        <w:t>Proceedings of the IEEE/CVF conference on computer vision and pattern recognition</w:t>
      </w:r>
      <w:r w:rsidRPr="009470BF">
        <w:rPr>
          <w:noProof/>
        </w:rPr>
        <w:t>. 2019.</w:t>
      </w:r>
    </w:p>
    <w:p w14:paraId="7E7EB853" w14:textId="77777777" w:rsidR="009470BF" w:rsidRPr="009470BF" w:rsidRDefault="009470BF" w:rsidP="009470BF">
      <w:pPr>
        <w:pStyle w:val="EndNoteBibliography"/>
        <w:spacing w:after="0"/>
        <w:ind w:left="720" w:hanging="720"/>
        <w:rPr>
          <w:noProof/>
        </w:rPr>
      </w:pPr>
      <w:r w:rsidRPr="009470BF">
        <w:rPr>
          <w:noProof/>
        </w:rPr>
        <w:t>3.</w:t>
      </w:r>
      <w:r w:rsidRPr="009470BF">
        <w:rPr>
          <w:noProof/>
        </w:rPr>
        <w:tab/>
        <w:t xml:space="preserve">Lotfollahi, M., F.A. Wolf, and F.J. Theis, </w:t>
      </w:r>
      <w:r w:rsidRPr="009470BF">
        <w:rPr>
          <w:i/>
          <w:noProof/>
        </w:rPr>
        <w:t>scGen predicts single-cell perturbation responses.</w:t>
      </w:r>
      <w:r w:rsidRPr="009470BF">
        <w:rPr>
          <w:noProof/>
        </w:rPr>
        <w:t xml:space="preserve"> Nature Methods, 2019. </w:t>
      </w:r>
      <w:r w:rsidRPr="009470BF">
        <w:rPr>
          <w:b/>
          <w:noProof/>
        </w:rPr>
        <w:t>16</w:t>
      </w:r>
      <w:r w:rsidRPr="009470BF">
        <w:rPr>
          <w:noProof/>
        </w:rPr>
        <w:t>(8): p. 715-721.</w:t>
      </w:r>
    </w:p>
    <w:p w14:paraId="591E0FBC" w14:textId="77777777" w:rsidR="009470BF" w:rsidRPr="009470BF" w:rsidRDefault="009470BF" w:rsidP="009470BF">
      <w:pPr>
        <w:pStyle w:val="EndNoteBibliography"/>
        <w:spacing w:after="0"/>
        <w:ind w:left="720" w:hanging="720"/>
        <w:rPr>
          <w:noProof/>
        </w:rPr>
      </w:pPr>
      <w:r w:rsidRPr="009470BF">
        <w:rPr>
          <w:noProof/>
        </w:rPr>
        <w:t>4.</w:t>
      </w:r>
      <w:r w:rsidRPr="009470BF">
        <w:rPr>
          <w:noProof/>
        </w:rPr>
        <w:tab/>
        <w:t xml:space="preserve">Virtanen, P., et al., </w:t>
      </w:r>
      <w:r w:rsidRPr="009470BF">
        <w:rPr>
          <w:i/>
          <w:noProof/>
        </w:rPr>
        <w:t>SciPy 1.0: fundamental algorithms for scientific computing in Python.</w:t>
      </w:r>
      <w:r w:rsidRPr="009470BF">
        <w:rPr>
          <w:noProof/>
        </w:rPr>
        <w:t xml:space="preserve"> Nature methods, 2020. </w:t>
      </w:r>
      <w:r w:rsidRPr="009470BF">
        <w:rPr>
          <w:b/>
          <w:noProof/>
        </w:rPr>
        <w:t>17</w:t>
      </w:r>
      <w:r w:rsidRPr="009470BF">
        <w:rPr>
          <w:noProof/>
        </w:rPr>
        <w:t>(3): p. 261-272.</w:t>
      </w:r>
    </w:p>
    <w:p w14:paraId="69E34CE3" w14:textId="77777777" w:rsidR="009470BF" w:rsidRPr="009470BF" w:rsidRDefault="009470BF" w:rsidP="009470BF">
      <w:pPr>
        <w:pStyle w:val="EndNoteBibliography"/>
        <w:spacing w:after="0"/>
        <w:ind w:left="720" w:hanging="720"/>
        <w:rPr>
          <w:noProof/>
        </w:rPr>
      </w:pPr>
      <w:r w:rsidRPr="009470BF">
        <w:rPr>
          <w:noProof/>
        </w:rPr>
        <w:t>5.</w:t>
      </w:r>
      <w:r w:rsidRPr="009470BF">
        <w:rPr>
          <w:noProof/>
        </w:rPr>
        <w:tab/>
        <w:t xml:space="preserve">Wolf, F.A., P. Angerer, and F.J. Theis, </w:t>
      </w:r>
      <w:r w:rsidRPr="009470BF">
        <w:rPr>
          <w:i/>
          <w:noProof/>
        </w:rPr>
        <w:t>SCANPY: large-scale single-cell gene expression data analysis.</w:t>
      </w:r>
      <w:r w:rsidRPr="009470BF">
        <w:rPr>
          <w:noProof/>
        </w:rPr>
        <w:t xml:space="preserve"> Genome biology, 2018. </w:t>
      </w:r>
      <w:r w:rsidRPr="009470BF">
        <w:rPr>
          <w:b/>
          <w:noProof/>
        </w:rPr>
        <w:t>19</w:t>
      </w:r>
      <w:r w:rsidRPr="009470BF">
        <w:rPr>
          <w:noProof/>
        </w:rPr>
        <w:t>: p. 1-5.</w:t>
      </w:r>
    </w:p>
    <w:p w14:paraId="31917DDF" w14:textId="77777777" w:rsidR="009470BF" w:rsidRPr="009470BF" w:rsidRDefault="009470BF" w:rsidP="009470BF">
      <w:pPr>
        <w:pStyle w:val="EndNoteBibliography"/>
        <w:spacing w:after="0"/>
        <w:ind w:left="720" w:hanging="720"/>
        <w:rPr>
          <w:noProof/>
        </w:rPr>
      </w:pPr>
      <w:r w:rsidRPr="009470BF">
        <w:rPr>
          <w:rFonts w:hint="eastAsia"/>
          <w:noProof/>
        </w:rPr>
        <w:t>6.</w:t>
      </w:r>
      <w:r w:rsidRPr="009470BF">
        <w:rPr>
          <w:rFonts w:hint="eastAsia"/>
          <w:noProof/>
        </w:rPr>
        <w:tab/>
        <w:t xml:space="preserve">Cuzick, J., </w:t>
      </w:r>
      <w:r w:rsidRPr="009470BF">
        <w:rPr>
          <w:rFonts w:hint="eastAsia"/>
          <w:i/>
          <w:noProof/>
        </w:rPr>
        <w:t>A Wilcoxon</w:t>
      </w:r>
      <w:r w:rsidRPr="009470BF">
        <w:rPr>
          <w:rFonts w:hint="eastAsia"/>
          <w:i/>
          <w:noProof/>
        </w:rPr>
        <w:t>‐</w:t>
      </w:r>
      <w:r w:rsidRPr="009470BF">
        <w:rPr>
          <w:rFonts w:hint="eastAsia"/>
          <w:i/>
          <w:noProof/>
        </w:rPr>
        <w:t>type test for tren</w:t>
      </w:r>
      <w:r w:rsidRPr="009470BF">
        <w:rPr>
          <w:i/>
          <w:noProof/>
        </w:rPr>
        <w:t>d.</w:t>
      </w:r>
      <w:r w:rsidRPr="009470BF">
        <w:rPr>
          <w:noProof/>
        </w:rPr>
        <w:t xml:space="preserve"> Statistics in medicine, 1985. </w:t>
      </w:r>
      <w:r w:rsidRPr="009470BF">
        <w:rPr>
          <w:b/>
          <w:noProof/>
        </w:rPr>
        <w:t>4</w:t>
      </w:r>
      <w:r w:rsidRPr="009470BF">
        <w:rPr>
          <w:noProof/>
        </w:rPr>
        <w:t>(1): p. 87-90.</w:t>
      </w:r>
    </w:p>
    <w:p w14:paraId="6F64C3B4" w14:textId="77777777" w:rsidR="009470BF" w:rsidRPr="009470BF" w:rsidRDefault="009470BF" w:rsidP="009470BF">
      <w:pPr>
        <w:pStyle w:val="EndNoteBibliography"/>
        <w:spacing w:after="0"/>
        <w:ind w:left="720" w:hanging="720"/>
        <w:rPr>
          <w:noProof/>
        </w:rPr>
      </w:pPr>
      <w:r w:rsidRPr="009470BF">
        <w:rPr>
          <w:noProof/>
        </w:rPr>
        <w:t>7.</w:t>
      </w:r>
      <w:r w:rsidRPr="009470BF">
        <w:rPr>
          <w:noProof/>
        </w:rPr>
        <w:tab/>
        <w:t xml:space="preserve">Bendall, S.C., et al., </w:t>
      </w:r>
      <w:r w:rsidRPr="009470BF">
        <w:rPr>
          <w:i/>
          <w:noProof/>
        </w:rPr>
        <w:t>Single-cell trajectory detection uncovers progression and regulatory coordination in human B cell development.</w:t>
      </w:r>
      <w:r w:rsidRPr="009470BF">
        <w:rPr>
          <w:noProof/>
        </w:rPr>
        <w:t xml:space="preserve"> Cell, 2014. </w:t>
      </w:r>
      <w:r w:rsidRPr="009470BF">
        <w:rPr>
          <w:b/>
          <w:noProof/>
        </w:rPr>
        <w:t>157</w:t>
      </w:r>
      <w:r w:rsidRPr="009470BF">
        <w:rPr>
          <w:noProof/>
        </w:rPr>
        <w:t>(3): p. 714-725.</w:t>
      </w:r>
    </w:p>
    <w:p w14:paraId="5356AEEF" w14:textId="77777777" w:rsidR="009470BF" w:rsidRPr="009470BF" w:rsidRDefault="009470BF" w:rsidP="009470BF">
      <w:pPr>
        <w:pStyle w:val="EndNoteBibliography"/>
        <w:spacing w:after="0"/>
        <w:ind w:left="720" w:hanging="720"/>
        <w:rPr>
          <w:noProof/>
        </w:rPr>
      </w:pPr>
      <w:r w:rsidRPr="009470BF">
        <w:rPr>
          <w:noProof/>
        </w:rPr>
        <w:t>8.</w:t>
      </w:r>
      <w:r w:rsidRPr="009470BF">
        <w:rPr>
          <w:noProof/>
        </w:rPr>
        <w:tab/>
        <w:t xml:space="preserve">Wolf, F.A., et al., </w:t>
      </w:r>
      <w:r w:rsidRPr="009470BF">
        <w:rPr>
          <w:i/>
          <w:noProof/>
        </w:rPr>
        <w:t>PAGA: graph abstraction reconciles clustering with trajectory inference through a topology preserving map of single cells.</w:t>
      </w:r>
      <w:r w:rsidRPr="009470BF">
        <w:rPr>
          <w:noProof/>
        </w:rPr>
        <w:t xml:space="preserve"> Genome biology, 2019. </w:t>
      </w:r>
      <w:r w:rsidRPr="009470BF">
        <w:rPr>
          <w:b/>
          <w:noProof/>
        </w:rPr>
        <w:t>20</w:t>
      </w:r>
      <w:r w:rsidRPr="009470BF">
        <w:rPr>
          <w:noProof/>
        </w:rPr>
        <w:t>: p. 1-9.</w:t>
      </w:r>
    </w:p>
    <w:p w14:paraId="43A71E41" w14:textId="77777777" w:rsidR="009470BF" w:rsidRPr="009470BF" w:rsidRDefault="009470BF" w:rsidP="009470BF">
      <w:pPr>
        <w:pStyle w:val="EndNoteBibliography"/>
        <w:spacing w:after="0"/>
        <w:ind w:left="720" w:hanging="720"/>
        <w:rPr>
          <w:noProof/>
        </w:rPr>
      </w:pPr>
      <w:r w:rsidRPr="009470BF">
        <w:rPr>
          <w:noProof/>
        </w:rPr>
        <w:t>9.</w:t>
      </w:r>
      <w:r w:rsidRPr="009470BF">
        <w:rPr>
          <w:noProof/>
        </w:rPr>
        <w:tab/>
        <w:t xml:space="preserve">Cortes, C., et al. </w:t>
      </w:r>
      <w:r w:rsidRPr="009470BF">
        <w:rPr>
          <w:i/>
          <w:noProof/>
        </w:rPr>
        <w:t>Advances in neural information processing systems 28</w:t>
      </w:r>
      <w:r w:rsidRPr="009470BF">
        <w:rPr>
          <w:noProof/>
        </w:rPr>
        <w:t xml:space="preserve">. in </w:t>
      </w:r>
      <w:r w:rsidRPr="009470BF">
        <w:rPr>
          <w:i/>
          <w:noProof/>
        </w:rPr>
        <w:t>Proceedings of the 29th Annual Conference on Neural Information Processing Systems</w:t>
      </w:r>
      <w:r w:rsidRPr="009470BF">
        <w:rPr>
          <w:noProof/>
        </w:rPr>
        <w:t>. 2015.</w:t>
      </w:r>
    </w:p>
    <w:p w14:paraId="2F16916F" w14:textId="77777777" w:rsidR="009470BF" w:rsidRPr="009470BF" w:rsidRDefault="009470BF" w:rsidP="009470BF">
      <w:pPr>
        <w:pStyle w:val="EndNoteBibliography"/>
        <w:spacing w:after="0"/>
        <w:ind w:left="720" w:hanging="720"/>
        <w:rPr>
          <w:noProof/>
        </w:rPr>
      </w:pPr>
      <w:r w:rsidRPr="009470BF">
        <w:rPr>
          <w:noProof/>
        </w:rPr>
        <w:t>10.</w:t>
      </w:r>
      <w:r w:rsidRPr="009470BF">
        <w:rPr>
          <w:noProof/>
        </w:rPr>
        <w:tab/>
        <w:t xml:space="preserve">Goodfellow, I., et al., </w:t>
      </w:r>
      <w:r w:rsidRPr="009470BF">
        <w:rPr>
          <w:i/>
          <w:noProof/>
        </w:rPr>
        <w:t>Generative adversarial nets.</w:t>
      </w:r>
      <w:r w:rsidRPr="009470BF">
        <w:rPr>
          <w:noProof/>
        </w:rPr>
        <w:t xml:space="preserve"> Advances in neural information processing systems, 2014. </w:t>
      </w:r>
      <w:r w:rsidRPr="009470BF">
        <w:rPr>
          <w:b/>
          <w:noProof/>
        </w:rPr>
        <w:t>27</w:t>
      </w:r>
      <w:r w:rsidRPr="009470BF">
        <w:rPr>
          <w:noProof/>
        </w:rPr>
        <w:t>.</w:t>
      </w:r>
    </w:p>
    <w:p w14:paraId="40CB42A7" w14:textId="77777777" w:rsidR="009470BF" w:rsidRPr="009470BF" w:rsidRDefault="009470BF" w:rsidP="009470BF">
      <w:pPr>
        <w:pStyle w:val="EndNoteBibliography"/>
        <w:spacing w:after="0"/>
        <w:ind w:left="720" w:hanging="720"/>
        <w:rPr>
          <w:noProof/>
        </w:rPr>
      </w:pPr>
      <w:r w:rsidRPr="009470BF">
        <w:rPr>
          <w:noProof/>
        </w:rPr>
        <w:t>11.</w:t>
      </w:r>
      <w:r w:rsidRPr="009470BF">
        <w:rPr>
          <w:noProof/>
        </w:rPr>
        <w:tab/>
        <w:t xml:space="preserve">Ghahramani, A., F.M. Watt, and N.M. Luscombe, </w:t>
      </w:r>
      <w:r w:rsidRPr="009470BF">
        <w:rPr>
          <w:i/>
          <w:noProof/>
        </w:rPr>
        <w:t>Generative adversarial networks uncover epidermal regulators and predict single cell perturbations.</w:t>
      </w:r>
      <w:r w:rsidRPr="009470BF">
        <w:rPr>
          <w:noProof/>
        </w:rPr>
        <w:t xml:space="preserve"> bioRxiv, 2018: p. 262501.</w:t>
      </w:r>
    </w:p>
    <w:p w14:paraId="46B544E7" w14:textId="77777777" w:rsidR="009470BF" w:rsidRPr="009470BF" w:rsidRDefault="009470BF" w:rsidP="009470BF">
      <w:pPr>
        <w:pStyle w:val="EndNoteBibliography"/>
        <w:spacing w:after="0"/>
        <w:ind w:left="720" w:hanging="720"/>
        <w:rPr>
          <w:noProof/>
        </w:rPr>
      </w:pPr>
      <w:r w:rsidRPr="009470BF">
        <w:rPr>
          <w:noProof/>
        </w:rPr>
        <w:t>12.</w:t>
      </w:r>
      <w:r w:rsidRPr="009470BF">
        <w:rPr>
          <w:noProof/>
        </w:rPr>
        <w:tab/>
        <w:t xml:space="preserve">Kang, H.M., et al., </w:t>
      </w:r>
      <w:r w:rsidRPr="009470BF">
        <w:rPr>
          <w:i/>
          <w:noProof/>
        </w:rPr>
        <w:t>Multiplexed droplet single-cell RNA-sequencing using natural genetic variation.</w:t>
      </w:r>
      <w:r w:rsidRPr="009470BF">
        <w:rPr>
          <w:noProof/>
        </w:rPr>
        <w:t xml:space="preserve"> Nature biotechnology, 2018. </w:t>
      </w:r>
      <w:r w:rsidRPr="009470BF">
        <w:rPr>
          <w:b/>
          <w:noProof/>
        </w:rPr>
        <w:t>36</w:t>
      </w:r>
      <w:r w:rsidRPr="009470BF">
        <w:rPr>
          <w:noProof/>
        </w:rPr>
        <w:t>(1): p. 89-94.</w:t>
      </w:r>
    </w:p>
    <w:p w14:paraId="59C219FF" w14:textId="77777777" w:rsidR="009470BF" w:rsidRPr="009470BF" w:rsidRDefault="009470BF" w:rsidP="009470BF">
      <w:pPr>
        <w:pStyle w:val="EndNoteBibliography"/>
        <w:spacing w:after="0"/>
        <w:ind w:left="720" w:hanging="720"/>
        <w:rPr>
          <w:noProof/>
        </w:rPr>
      </w:pPr>
      <w:r w:rsidRPr="009470BF">
        <w:rPr>
          <w:noProof/>
        </w:rPr>
        <w:t>13.</w:t>
      </w:r>
      <w:r w:rsidRPr="009470BF">
        <w:rPr>
          <w:noProof/>
        </w:rPr>
        <w:tab/>
        <w:t xml:space="preserve">Zheng, G.X., et al., </w:t>
      </w:r>
      <w:r w:rsidRPr="009470BF">
        <w:rPr>
          <w:i/>
          <w:noProof/>
        </w:rPr>
        <w:t>Massively parallel digital transcriptional profiling of single cells.</w:t>
      </w:r>
      <w:r w:rsidRPr="009470BF">
        <w:rPr>
          <w:noProof/>
        </w:rPr>
        <w:t xml:space="preserve"> Nature communications, 2017. </w:t>
      </w:r>
      <w:r w:rsidRPr="009470BF">
        <w:rPr>
          <w:b/>
          <w:noProof/>
        </w:rPr>
        <w:t>8</w:t>
      </w:r>
      <w:r w:rsidRPr="009470BF">
        <w:rPr>
          <w:noProof/>
        </w:rPr>
        <w:t>(1): p. 14049.</w:t>
      </w:r>
    </w:p>
    <w:p w14:paraId="01CEDDFE" w14:textId="77777777" w:rsidR="009470BF" w:rsidRPr="009470BF" w:rsidRDefault="009470BF" w:rsidP="009470BF">
      <w:pPr>
        <w:pStyle w:val="EndNoteBibliography"/>
        <w:ind w:left="720" w:hanging="720"/>
        <w:rPr>
          <w:noProof/>
        </w:rPr>
      </w:pPr>
      <w:r w:rsidRPr="009470BF">
        <w:rPr>
          <w:noProof/>
        </w:rPr>
        <w:t>14.</w:t>
      </w:r>
      <w:r w:rsidRPr="009470BF">
        <w:rPr>
          <w:noProof/>
        </w:rPr>
        <w:tab/>
        <w:t xml:space="preserve">Haber, A.L., et al., </w:t>
      </w:r>
      <w:r w:rsidRPr="009470BF">
        <w:rPr>
          <w:i/>
          <w:noProof/>
        </w:rPr>
        <w:t>A single-cell survey of the small intestinal epithelium.</w:t>
      </w:r>
      <w:r w:rsidRPr="009470BF">
        <w:rPr>
          <w:noProof/>
        </w:rPr>
        <w:t xml:space="preserve"> Nature, 2017. </w:t>
      </w:r>
      <w:r w:rsidRPr="009470BF">
        <w:rPr>
          <w:b/>
          <w:noProof/>
        </w:rPr>
        <w:t>551</w:t>
      </w:r>
      <w:r w:rsidRPr="009470BF">
        <w:rPr>
          <w:noProof/>
        </w:rPr>
        <w:t>(7680): p. 333-339.</w:t>
      </w:r>
    </w:p>
    <w:p w14:paraId="4B8C66C2" w14:textId="066C3F8E" w:rsidR="00193D4B" w:rsidRDefault="00FE2E36">
      <w:pPr>
        <w:rPr>
          <w:rFonts w:hint="eastAsia"/>
          <w:lang w:eastAsia="zh-CN"/>
        </w:rPr>
      </w:pPr>
      <w:r>
        <w:rPr>
          <w:lang w:eastAsia="zh-CN"/>
        </w:rPr>
        <w:fldChar w:fldCharType="end"/>
      </w:r>
    </w:p>
    <w:sectPr w:rsidR="00193D4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574DA" w14:textId="77777777" w:rsidR="003E5699" w:rsidRDefault="003E5699">
      <w:pPr>
        <w:spacing w:after="0"/>
      </w:pPr>
      <w:r>
        <w:separator/>
      </w:r>
    </w:p>
  </w:endnote>
  <w:endnote w:type="continuationSeparator" w:id="0">
    <w:p w14:paraId="4F22AE0F" w14:textId="77777777" w:rsidR="003E5699" w:rsidRDefault="003E56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E7C62" w14:textId="77777777" w:rsidR="003E5699" w:rsidRDefault="003E5699">
      <w:r>
        <w:separator/>
      </w:r>
    </w:p>
  </w:footnote>
  <w:footnote w:type="continuationSeparator" w:id="0">
    <w:p w14:paraId="3C758AC2" w14:textId="77777777" w:rsidR="003E5699" w:rsidRDefault="003E5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7"/>
  </w:num>
  <w:num w:numId="9" w16cid:durableId="994453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1"/>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17&lt;/item&gt;&lt;item&gt;18&lt;/item&gt;&lt;item&gt;20&lt;/item&gt;&lt;item&gt;21&lt;/item&gt;&lt;item&gt;27&lt;/item&gt;&lt;/record-ids&gt;&lt;/item&gt;&lt;/Libraries&gt;"/>
  </w:docVars>
  <w:rsids>
    <w:rsidRoot w:val="00650ABB"/>
    <w:rsid w:val="0000366F"/>
    <w:rsid w:val="00024E34"/>
    <w:rsid w:val="00055648"/>
    <w:rsid w:val="00061C09"/>
    <w:rsid w:val="000E480C"/>
    <w:rsid w:val="00193D4B"/>
    <w:rsid w:val="001B28E2"/>
    <w:rsid w:val="0028156B"/>
    <w:rsid w:val="00296474"/>
    <w:rsid w:val="00296FE0"/>
    <w:rsid w:val="003419A3"/>
    <w:rsid w:val="00357137"/>
    <w:rsid w:val="003808A4"/>
    <w:rsid w:val="003E5699"/>
    <w:rsid w:val="005F447C"/>
    <w:rsid w:val="0061706C"/>
    <w:rsid w:val="00650ABB"/>
    <w:rsid w:val="006E4328"/>
    <w:rsid w:val="006F5943"/>
    <w:rsid w:val="0075418D"/>
    <w:rsid w:val="007D5E9B"/>
    <w:rsid w:val="00801E61"/>
    <w:rsid w:val="009470BF"/>
    <w:rsid w:val="00A0694A"/>
    <w:rsid w:val="00A06A34"/>
    <w:rsid w:val="00A23827"/>
    <w:rsid w:val="00A76276"/>
    <w:rsid w:val="00A95DD1"/>
    <w:rsid w:val="00AA26B1"/>
    <w:rsid w:val="00B91BF1"/>
    <w:rsid w:val="00BE5C4B"/>
    <w:rsid w:val="00C55C8C"/>
    <w:rsid w:val="00CA3EEE"/>
    <w:rsid w:val="00D422EB"/>
    <w:rsid w:val="00DC0578"/>
    <w:rsid w:val="00E26705"/>
    <w:rsid w:val="00E673AA"/>
    <w:rsid w:val="00EA629A"/>
    <w:rsid w:val="00FE137D"/>
    <w:rsid w:val="00FE2E3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71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tongtongtot/scperb/tree/master/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5388</Words>
  <Characters>30715</Characters>
  <Application>Microsoft Office Word</Application>
  <DocSecurity>0</DocSecurity>
  <Lines>255</Lines>
  <Paragraphs>72</Paragraphs>
  <ScaleCrop>false</ScaleCrop>
  <Company/>
  <LinksUpToDate>false</LinksUpToDate>
  <CharactersWithSpaces>36031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 zijia</cp:lastModifiedBy>
  <cp:revision>28</cp:revision>
  <dcterms:created xsi:type="dcterms:W3CDTF">2023-08-10T17:20:00Z</dcterms:created>
  <dcterms:modified xsi:type="dcterms:W3CDTF">2023-08-11T04:56:00Z</dcterms:modified>
</cp:coreProperties>
</file>