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20"/>
      </w:pPr>
      <w:r>
        <w:rPr>
          <w:rFonts w:ascii="Arial" w:hAnsi="Arial" w:eastAsia="宋体"/>
          <w:color w:val="4B6995"/>
          <w:sz w:val="24"/>
        </w:rPr>
        <w:t>天元 EPM  /  中文本机演示版</w:t>
      </w:r>
    </w:p>
    <w:p>
      <w:pPr>
        <w:spacing w:before="240" w:after="280"/>
      </w:pPr>
      <w:r>
        <w:rPr>
          <w:rFonts w:ascii="Arial" w:hAnsi="Arial" w:eastAsia="宋体"/>
          <w:b/>
          <w:color w:val="173F6E"/>
          <w:sz w:val="50"/>
        </w:rPr>
        <w:t>产品说明书（含演示案例）</w:t>
      </w:r>
    </w:p>
    <w:p>
      <w:r>
        <w:rPr>
          <w:rFonts w:ascii="Arial" w:hAnsi="Arial" w:eastAsia="宋体"/>
          <w:sz w:val="30"/>
        </w:rPr>
        <w:t>杭州天元宠物用品有限公司</w:t>
      </w:r>
    </w:p>
    <w:p>
      <w:r>
        <w:rPr>
          <w:rFonts w:ascii="Arial" w:hAnsi="Arial" w:eastAsia="宋体"/>
          <w:color w:val="66758D"/>
          <w:sz w:val="22"/>
        </w:rPr>
        <w:t>产品模块 · 业务联动 · 演示案例 · 预期结果</w:t>
      </w:r>
    </w:p>
    <w:p/>
    <w:tbl>
      <w:tblPr>
        <w:tblStyle w:val="TableGrid"/>
        <w:tblW w:type="auto" w:w="0"/>
        <w:jc w:val="center"/>
        <w:tblLayout w:type="fixed"/>
        <w:tblLook w:firstColumn="1" w:firstRow="1" w:lastColumn="0" w:lastRow="0" w:noHBand="0" w:noVBand="1" w:val="04A0"/>
      </w:tblPr>
      <w:tblGrid>
        <w:gridCol w:w="2939"/>
        <w:gridCol w:w="6699"/>
      </w:tblGrid>
      <w:tr>
        <w:trPr>
          <w:cantSplit/>
          <w:tblHeader w:val="true"/>
        </w:trPr>
        <w:tc>
          <w:tcPr>
            <w:tcW w:type="dxa" w:w="293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文档控制项</w:t>
            </w:r>
          </w:p>
        </w:tc>
        <w:tc>
          <w:tcPr>
            <w:tcW w:type="dxa" w:w="669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w:t>
            </w:r>
          </w:p>
        </w:tc>
      </w:tr>
      <w:tr>
        <w:trPr>
          <w:cantSplit/>
        </w:trPr>
        <w:tc>
          <w:tcPr>
            <w:tcW w:type="dxa" w:w="2939"/>
            <w:vAlign w:val="top"/>
            <w:tcMar>
              <w:top w:w="65" w:type="dxa"/>
              <w:bottom w:w="65" w:type="dxa"/>
              <w:left w:w="65" w:type="dxa"/>
              <w:right w:w="65" w:type="dxa"/>
            </w:tcMar>
          </w:tcPr>
          <w:p>
            <w:pPr>
              <w:spacing w:before="30" w:after="30" w:line="252" w:lineRule="auto"/>
            </w:pPr>
            <w:r>
              <w:rPr>
                <w:rFonts w:ascii="Arial" w:hAnsi="Arial" w:eastAsia="宋体"/>
                <w:b w:val="0"/>
                <w:i w:val="0"/>
                <w:sz w:val="19"/>
              </w:rPr>
              <w:t>文档编号</w:t>
            </w:r>
          </w:p>
        </w:tc>
        <w:tc>
          <w:tcPr>
            <w:tcW w:type="dxa" w:w="6699"/>
            <w:vAlign w:val="top"/>
            <w:tcMar>
              <w:top w:w="65" w:type="dxa"/>
              <w:bottom w:w="65" w:type="dxa"/>
              <w:left w:w="65" w:type="dxa"/>
              <w:right w:w="65" w:type="dxa"/>
            </w:tcMar>
          </w:tcPr>
          <w:p>
            <w:pPr>
              <w:spacing w:before="30" w:after="30" w:line="252" w:lineRule="auto"/>
            </w:pPr>
            <w:r>
              <w:rPr>
                <w:rFonts w:ascii="Arial" w:hAnsi="Arial" w:eastAsia="宋体"/>
                <w:b w:val="0"/>
                <w:i w:val="0"/>
                <w:sz w:val="19"/>
              </w:rPr>
              <w:t>TY-EPM-PROD-001</w:t>
            </w:r>
          </w:p>
        </w:tc>
      </w:tr>
      <w:tr>
        <w:trPr>
          <w:cantSplit/>
        </w:trPr>
        <w:tc>
          <w:tcPr>
            <w:tcW w:type="dxa" w:w="2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文档版本 / 日期</w:t>
            </w:r>
          </w:p>
        </w:tc>
        <w:tc>
          <w:tcPr>
            <w:tcW w:type="dxa" w:w="66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V1.0 / 2026年10月20日</w:t>
            </w:r>
          </w:p>
        </w:tc>
      </w:tr>
      <w:tr>
        <w:trPr>
          <w:cantSplit/>
        </w:trPr>
        <w:tc>
          <w:tcPr>
            <w:tcW w:type="dxa" w:w="2939"/>
            <w:vAlign w:val="top"/>
            <w:tcMar>
              <w:top w:w="65" w:type="dxa"/>
              <w:bottom w:w="65" w:type="dxa"/>
              <w:left w:w="65" w:type="dxa"/>
              <w:right w:w="65" w:type="dxa"/>
            </w:tcMar>
          </w:tcPr>
          <w:p>
            <w:pPr>
              <w:spacing w:before="30" w:after="30" w:line="252" w:lineRule="auto"/>
            </w:pPr>
            <w:r>
              <w:rPr>
                <w:rFonts w:ascii="Arial" w:hAnsi="Arial" w:eastAsia="宋体"/>
                <w:b w:val="0"/>
                <w:i w:val="0"/>
                <w:sz w:val="19"/>
              </w:rPr>
              <w:t>适配软件版本</w:t>
            </w:r>
          </w:p>
        </w:tc>
        <w:tc>
          <w:tcPr>
            <w:tcW w:type="dxa" w:w="6699"/>
            <w:vAlign w:val="top"/>
            <w:tcMar>
              <w:top w:w="65" w:type="dxa"/>
              <w:bottom w:w="65" w:type="dxa"/>
              <w:left w:w="65" w:type="dxa"/>
              <w:right w:w="65" w:type="dxa"/>
            </w:tcMar>
          </w:tcPr>
          <w:p>
            <w:pPr>
              <w:spacing w:before="30" w:after="30" w:line="252" w:lineRule="auto"/>
            </w:pPr>
            <w:r>
              <w:rPr>
                <w:rFonts w:ascii="Arial" w:hAnsi="Arial" w:eastAsia="宋体"/>
                <w:b w:val="0"/>
                <w:i w:val="0"/>
                <w:sz w:val="19"/>
              </w:rPr>
              <w:t>20261020-cn-demo1 · 已交付全中文持久化 Demo</w:t>
            </w:r>
          </w:p>
        </w:tc>
      </w:tr>
      <w:tr>
        <w:trPr>
          <w:cantSplit/>
        </w:trPr>
        <w:tc>
          <w:tcPr>
            <w:tcW w:type="dxa" w:w="2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适用读者</w:t>
            </w:r>
          </w:p>
        </w:tc>
        <w:tc>
          <w:tcPr>
            <w:tcW w:type="dxa" w:w="66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产品负责人、财务负责人及演示评审人员</w:t>
            </w:r>
          </w:p>
        </w:tc>
      </w:tr>
      <w:tr>
        <w:trPr>
          <w:cantSplit/>
        </w:trPr>
        <w:tc>
          <w:tcPr>
            <w:tcW w:type="dxa" w:w="2939"/>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数据说明</w:t>
            </w:r>
          </w:p>
        </w:tc>
        <w:tc>
          <w:tcPr>
            <w:tcW w:type="dxa" w:w="6699"/>
            <w:vAlign w:val="top"/>
            <w:tcMar>
              <w:top w:w="65" w:type="dxa"/>
              <w:bottom w:w="65" w:type="dxa"/>
              <w:left w:w="65" w:type="dxa"/>
              <w:right w:w="65" w:type="dxa"/>
            </w:tcMar>
          </w:tcPr>
          <w:p>
            <w:pPr>
              <w:spacing w:before="30" w:after="30" w:line="252" w:lineRule="auto"/>
            </w:pPr>
            <w:r>
              <w:rPr>
                <w:rFonts w:ascii="Arial" w:hAnsi="Arial" w:eastAsia="宋体"/>
                <w:b w:val="0"/>
                <w:i w:val="0"/>
                <w:sz w:val="19"/>
              </w:rPr>
              <w:t>主公司名称由用户提供；演示子法人、人员、交易与金额均为虚构。</w:t>
            </w:r>
          </w:p>
        </w:tc>
      </w:tr>
    </w:tbl>
    <w:p>
      <w:pPr>
        <w:spacing w:after="40"/>
      </w:pPr>
    </w:p>
    <w:p>
      <w:pPr>
        <w:spacing w:before="200"/>
        <w:shd w:fill="F0F5FC"/>
      </w:pPr>
      <w:r>
        <w:t>本套说明依据实际交付源码、接口与验收结果整理，明确区分可操作功能、演示计算口径及后续研发建议。</w:t>
      </w:r>
    </w:p>
    <w:p>
      <w:r>
        <w:br w:type="page"/>
      </w:r>
    </w:p>
    <w:p>
      <w:pPr>
        <w:pStyle w:val="Heading1"/>
      </w:pPr>
      <w:r>
        <w:t>阅读导航</w:t>
      </w:r>
    </w:p>
    <w:p>
      <w:r>
        <w:t>点击下列章节可跳转。Word/WPS 的标题样式也可用于导航及生成自动目录。</w:t>
      </w:r>
    </w:p>
    <w:p>
      <w:pPr>
        <w:spacing w:after="80"/>
      </w:pPr>
      <w:hyperlink w:anchor="epm_1">
        <w:r>
          <w:rPr>
            <w:color w:val="245CA8"/>
            <w:rFonts w:ascii="Arial" w:eastAsia="宋体"/>
            <w:sz w:val="21"/>
          </w:rPr>
          <w:t xml:space="preserve">1. 产品定位与阅读方法</w:t>
        </w:r>
      </w:hyperlink>
    </w:p>
    <w:p>
      <w:pPr>
        <w:spacing w:after="80"/>
      </w:pPr>
      <w:hyperlink w:anchor="epm_5">
        <w:r>
          <w:rPr>
            <w:color w:val="245CA8"/>
            <w:rFonts w:ascii="Arial" w:eastAsia="宋体"/>
            <w:sz w:val="21"/>
          </w:rPr>
          <w:t xml:space="preserve">2. 业务地图与产品价值</w:t>
        </w:r>
      </w:hyperlink>
    </w:p>
    <w:p>
      <w:pPr>
        <w:spacing w:after="80"/>
      </w:pPr>
      <w:hyperlink w:anchor="epm_9">
        <w:r>
          <w:rPr>
            <w:color w:val="245CA8"/>
            <w:rFonts w:ascii="Arial" w:eastAsia="宋体"/>
            <w:sz w:val="21"/>
          </w:rPr>
          <w:t xml:space="preserve">3. 页面、模块与职责</w:t>
        </w:r>
      </w:hyperlink>
    </w:p>
    <w:p>
      <w:pPr>
        <w:spacing w:after="80"/>
      </w:pPr>
      <w:hyperlink w:anchor="epm_13">
        <w:r>
          <w:rPr>
            <w:color w:val="245CA8"/>
            <w:rFonts w:ascii="Arial" w:eastAsia="宋体"/>
            <w:sz w:val="21"/>
          </w:rPr>
          <w:t xml:space="preserve">4. 数据口径、角色与共同规则</w:t>
        </w:r>
      </w:hyperlink>
    </w:p>
    <w:p>
      <w:pPr>
        <w:spacing w:after="80"/>
      </w:pPr>
      <w:hyperlink w:anchor="epm_18">
        <w:r>
          <w:rPr>
            <w:color w:val="245CA8"/>
            <w:rFonts w:ascii="Arial" w:eastAsia="宋体"/>
            <w:sz w:val="21"/>
          </w:rPr>
          <w:t xml:space="preserve">5. 产品演示的准备与组织</w:t>
        </w:r>
      </w:hyperlink>
    </w:p>
    <w:p>
      <w:pPr>
        <w:spacing w:after="80"/>
      </w:pPr>
      <w:hyperlink w:anchor="epm_21">
        <w:r>
          <w:rPr>
            <w:color w:val="245CA8"/>
            <w:rFonts w:ascii="Arial" w:eastAsia="宋体"/>
            <w:sz w:val="21"/>
          </w:rPr>
          <w:t xml:space="preserve">6. 可照做的演示案例</w:t>
        </w:r>
      </w:hyperlink>
    </w:p>
    <w:p>
      <w:pPr>
        <w:spacing w:after="80"/>
      </w:pPr>
      <w:hyperlink w:anchor="epm_30">
        <w:r>
          <w:rPr>
            <w:color w:val="245CA8"/>
            <w:rFonts w:ascii="Arial" w:eastAsia="宋体"/>
            <w:sz w:val="21"/>
          </w:rPr>
          <w:t xml:space="preserve">7. 演示评审记录与验收建议</w:t>
        </w:r>
      </w:hyperlink>
    </w:p>
    <w:p>
      <w:pPr>
        <w:spacing w:after="80"/>
      </w:pPr>
      <w:hyperlink w:anchor="epm_33">
        <w:r>
          <w:rPr>
            <w:color w:val="245CA8"/>
            <w:rFonts w:ascii="Arial" w:eastAsia="宋体"/>
            <w:sz w:val="21"/>
          </w:rPr>
          <w:t xml:space="preserve">8. 当前产品边界与正式研发方向</w:t>
        </w:r>
      </w:hyperlink>
    </w:p>
    <w:p>
      <w:pPr>
        <w:spacing w:after="80"/>
      </w:pPr>
      <w:hyperlink w:anchor="epm_37">
        <w:r>
          <w:rPr>
            <w:color w:val="245CA8"/>
            <w:rFonts w:ascii="Arial" w:eastAsia="宋体"/>
            <w:sz w:val="21"/>
          </w:rPr>
          <w:t xml:space="preserve">9. 常用术语与沟通口径</w:t>
        </w:r>
      </w:hyperlink>
    </w:p>
    <w:p>
      <w:r>
        <w:br w:type="page"/>
      </w:r>
    </w:p>
    <w:p>
      <w:r>
        <w:rPr>
          <w:rFonts w:ascii="Arial" w:hAnsi="Arial" w:eastAsia="宋体"/>
          <w:b w:val="0"/>
          <w:i w:val="0"/>
        </w:rPr>
        <w:t>适用产品：天元 EPM 中文本机演示环境</w:t>
      </w:r>
      <w:r>
        <w:br/>
      </w:r>
      <w:r>
        <w:rPr>
          <w:rFonts w:ascii="Arial" w:hAnsi="Arial" w:eastAsia="宋体"/>
          <w:b w:val="0"/>
          <w:i w:val="0"/>
        </w:rPr>
        <w:t>公司名称：杭州天元宠物用品有限公司</w:t>
      </w:r>
      <w:r>
        <w:br/>
      </w:r>
      <w:r>
        <w:rPr>
          <w:rFonts w:ascii="Arial" w:hAnsi="Arial" w:eastAsia="宋体"/>
          <w:b w:val="0"/>
          <w:i w:val="0"/>
        </w:rPr>
        <w:t>文档版本：V1.0，2026年10月20日</w:t>
      </w:r>
      <w:r>
        <w:br/>
      </w:r>
      <w:r>
        <w:rPr>
          <w:rFonts w:ascii="Arial" w:hAnsi="Arial" w:eastAsia="宋体"/>
          <w:b w:val="0"/>
          <w:i w:val="0"/>
        </w:rPr>
        <w:t>适用对象：集团财务负责人、预算负责人、经营分析人员、产品经理与研发团队</w:t>
      </w:r>
      <w:r>
        <w:br/>
      </w:r>
      <w:r>
        <w:rPr>
          <w:rFonts w:ascii="Arial" w:hAnsi="Arial" w:eastAsia="宋体"/>
          <w:b w:val="0"/>
          <w:i w:val="0"/>
        </w:rPr>
        <w:t>对应交付：TianyuanEPMDemo-Windows-x64.zip，20261020-cn-demo1</w:t>
      </w:r>
    </w:p>
    <w:p>
      <w:pPr>
        <w:pStyle w:val="Heading1"/>
      </w:pPr>
      <w:bookmarkStart w:id="1" w:name="epm_1"/>
      <w:r>
        <w:rPr>
          <w:rFonts w:ascii="Arial" w:hAnsi="Arial" w:eastAsia="宋体"/>
          <w:b w:val="0"/>
          <w:i w:val="0"/>
        </w:rPr>
        <w:t>1. 产品定位与阅读方法</w:t>
      </w:r>
      <w:bookmarkEnd w:id="1"/>
    </w:p>
    <w:p>
      <w:pPr>
        <w:pStyle w:val="Heading2"/>
      </w:pPr>
      <w:bookmarkStart w:id="2" w:name="epm_2"/>
      <w:r>
        <w:rPr>
          <w:rFonts w:ascii="Arial" w:hAnsi="Arial" w:eastAsia="宋体"/>
          <w:b w:val="0"/>
          <w:i w:val="0"/>
        </w:rPr>
        <w:t>1.1 本产品要解决什么问题</w:t>
      </w:r>
      <w:bookmarkEnd w:id="2"/>
    </w:p>
    <w:p>
      <w:r>
        <w:rPr>
          <w:rFonts w:ascii="Arial" w:hAnsi="Arial" w:eastAsia="宋体"/>
          <w:b w:val="0"/>
          <w:i w:val="0"/>
        </w:rPr>
        <w:t>集团管理既需要回答“合起来赚了多少、资产和现金是否可信”，也需要回答“目标怎么定、为什么没有完成、接下来怎样调整”。本产品将集团财务合并、全面预算和经营分析放入同一个中文工作台，以相同集团、法人、期间和币种口径组织数据，让报送、校验、凭证、预算版本、分析说明和签核之间形成可以操作的演示闭环。</w:t>
      </w:r>
    </w:p>
    <w:p>
      <w:r>
        <w:rPr>
          <w:rFonts w:ascii="Arial" w:hAnsi="Arial" w:eastAsia="宋体"/>
          <w:b w:val="0"/>
          <w:i w:val="0"/>
        </w:rPr>
        <w:t>当前交付用于产品评审、需求确认和自有系统研发验证。它依据完整产品原型实现了20项导航，并提供本机数据库、输入校验及服务端业务动作。用户可以修改并保存预算、导入试算余额、新建及审批调整凭证、完成期间签核，然后通过刷新或完整重启检验数据是否保留。因此，本说明书中的“可用”指能在当前演示环境中实际完成并保存的操作。</w:t>
      </w:r>
    </w:p>
    <w:p>
      <w:r>
        <w:rPr>
          <w:rFonts w:ascii="Arial" w:hAnsi="Arial" w:eastAsia="宋体"/>
          <w:b w:val="0"/>
          <w:i w:val="0"/>
        </w:rPr>
        <w:t>主公司名称由用户指定。预置的天元制造、天元科技、天元贸易等法人、责任人、交易和全部金额均为虚构数据，不能据此判断真实公司的经营表现。产品未连接杭州天元宠物用品有限公司的财务账套、银行、ERP或其他实际业务系统。</w:t>
      </w:r>
    </w:p>
    <w:p>
      <w:pPr>
        <w:pStyle w:val="Heading2"/>
      </w:pPr>
      <w:bookmarkStart w:id="3" w:name="epm_3"/>
      <w:r>
        <w:rPr>
          <w:rFonts w:ascii="Arial" w:hAnsi="Arial" w:eastAsia="宋体"/>
          <w:b w:val="0"/>
          <w:i w:val="0"/>
        </w:rPr>
        <w:t>1.2 与已研究软件及完整产品目标的关系</w:t>
      </w:r>
      <w:bookmarkEnd w:id="3"/>
    </w:p>
    <w:p>
      <w:r>
        <w:rPr>
          <w:rFonts w:ascii="Arial" w:hAnsi="Arial" w:eastAsia="宋体"/>
          <w:b w:val="0"/>
          <w:i w:val="0"/>
        </w:rPr>
        <w:t>项目早期研究了Konsolidat等开源EPM软件的业务组织方式，同时整理了完整产品原型和研发需求。当前运行包是依据完整原型建立的独立中文Demo。它采用新的本机运行结构和独立数据库，便于直接启动、演示交互和验证持久化流程；此前平台的业务数据不会自动进入本环境。</w:t>
      </w:r>
    </w:p>
    <w:p>
      <w:r>
        <w:rPr>
          <w:rFonts w:ascii="Arial" w:hAnsi="Arial" w:eastAsia="宋体"/>
          <w:b w:val="0"/>
          <w:i w:val="0"/>
        </w:rPr>
        <w:t>完整产品目标包含集团合并、全面预算、经营分析及治理能力。本Demo对其中的部分规则做了可运行实现，对复杂会计政策、真实持股链、完整预算三表模型和生产组织隔离明确保留研发边界。评审时应同时检查“能否操作”和“计算采用什么口径”，不能仅凭菜单名称判定完整生产能力已经具备。</w:t>
      </w:r>
    </w:p>
    <w:p>
      <w:pPr>
        <w:pStyle w:val="Heading2"/>
      </w:pPr>
      <w:bookmarkStart w:id="4" w:name="epm_4"/>
      <w:r>
        <w:rPr>
          <w:rFonts w:ascii="Arial" w:hAnsi="Arial" w:eastAsia="宋体"/>
          <w:b w:val="0"/>
          <w:i w:val="0"/>
        </w:rPr>
        <w:t>1.3 三类内容如何区分</w:t>
      </w:r>
      <w:bookmarkEnd w:id="4"/>
    </w:p>
    <w:tbl>
      <w:tblPr>
        <w:tblStyle w:val="TableGrid"/>
        <w:tblW w:type="auto" w:w="0"/>
        <w:jc w:val="center"/>
        <w:tblLayout w:type="fixed"/>
        <w:tblLook w:firstColumn="1" w:firstRow="1" w:lastColumn="0" w:lastRow="0" w:noHBand="0" w:noVBand="1" w:val="04A0"/>
      </w:tblPr>
      <w:tblGrid>
        <w:gridCol w:w="1878"/>
        <w:gridCol w:w="3797"/>
        <w:gridCol w:w="3963"/>
      </w:tblGrid>
      <w:tr>
        <w:trPr>
          <w:cantSplit/>
          <w:tblHeader w:val="true"/>
        </w:trPr>
        <w:tc>
          <w:tcPr>
            <w:tcW w:type="dxa" w:w="18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说明分类</w:t>
            </w:r>
          </w:p>
        </w:tc>
        <w:tc>
          <w:tcPr>
            <w:tcW w:type="dxa" w:w="379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本说明书的含义</w:t>
            </w:r>
          </w:p>
        </w:tc>
        <w:tc>
          <w:tcPr>
            <w:tcW w:type="dxa" w:w="396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典型例子</w:t>
            </w:r>
          </w:p>
        </w:tc>
      </w:tr>
      <w:tr>
        <w:trPr>
          <w:cantSplit/>
        </w:trPr>
        <w:tc>
          <w:tcPr>
            <w:tcW w:type="dxa" w:w="1878"/>
            <w:vAlign w:val="top"/>
            <w:tcMar>
              <w:top w:w="65" w:type="dxa"/>
              <w:bottom w:w="65" w:type="dxa"/>
              <w:left w:w="65" w:type="dxa"/>
              <w:right w:w="65" w:type="dxa"/>
            </w:tcMar>
          </w:tcPr>
          <w:p>
            <w:pPr>
              <w:spacing w:before="30" w:after="30" w:line="252" w:lineRule="auto"/>
            </w:pPr>
            <w:r>
              <w:rPr>
                <w:rFonts w:ascii="Arial" w:hAnsi="Arial" w:eastAsia="宋体"/>
                <w:b w:val="0"/>
                <w:i w:val="0"/>
                <w:sz w:val="19"/>
              </w:rPr>
              <w:t>已实现的演示能力</w:t>
            </w:r>
          </w:p>
        </w:tc>
        <w:tc>
          <w:tcPr>
            <w:tcW w:type="dxa" w:w="3797"/>
            <w:vAlign w:val="top"/>
            <w:tcMar>
              <w:top w:w="65" w:type="dxa"/>
              <w:bottom w:w="65" w:type="dxa"/>
              <w:left w:w="65" w:type="dxa"/>
              <w:right w:w="65" w:type="dxa"/>
            </w:tcMar>
          </w:tcPr>
          <w:p>
            <w:pPr>
              <w:spacing w:before="30" w:after="30" w:line="252" w:lineRule="auto"/>
            </w:pPr>
            <w:r>
              <w:rPr>
                <w:rFonts w:ascii="Arial" w:hAnsi="Arial" w:eastAsia="宋体"/>
                <w:b w:val="0"/>
                <w:i w:val="0"/>
                <w:sz w:val="19"/>
              </w:rPr>
              <w:t>能通过当前界面操作，服务端检查并保存，重新进入可读取结果</w:t>
            </w:r>
          </w:p>
        </w:tc>
        <w:tc>
          <w:tcPr>
            <w:tcW w:type="dxa" w:w="3963"/>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预算审批锁定、CSV整批导入、凭证审批、期间签核</w:t>
            </w:r>
          </w:p>
        </w:tc>
      </w:tr>
      <w:tr>
        <w:trPr>
          <w:cantSplit/>
        </w:trPr>
        <w:tc>
          <w:tcPr>
            <w:tcW w:type="dxa" w:w="18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演示数据或比较基准</w:t>
            </w:r>
          </w:p>
        </w:tc>
        <w:tc>
          <w:tcPr>
            <w:tcW w:type="dxa" w:w="37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已在当前界面展示并参与演示计算，但不代表真实企业业务模型</w:t>
            </w:r>
          </w:p>
        </w:tc>
        <w:tc>
          <w:tcPr>
            <w:tcW w:type="dxa" w:w="39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固定成本费用预算比较基准、初始化财务样例</w:t>
            </w:r>
          </w:p>
        </w:tc>
      </w:tr>
      <w:tr>
        <w:trPr>
          <w:cantSplit/>
        </w:trPr>
        <w:tc>
          <w:tcPr>
            <w:tcW w:type="dxa" w:w="1878"/>
            <w:vAlign w:val="top"/>
            <w:tcMar>
              <w:top w:w="65" w:type="dxa"/>
              <w:bottom w:w="65" w:type="dxa"/>
              <w:left w:w="65" w:type="dxa"/>
              <w:right w:w="65" w:type="dxa"/>
            </w:tcMar>
          </w:tcPr>
          <w:p>
            <w:pPr>
              <w:spacing w:before="30" w:after="30" w:line="252" w:lineRule="auto"/>
            </w:pPr>
            <w:r>
              <w:rPr>
                <w:rFonts w:ascii="Arial" w:hAnsi="Arial" w:eastAsia="宋体"/>
                <w:b w:val="0"/>
                <w:i w:val="0"/>
                <w:sz w:val="19"/>
              </w:rPr>
              <w:t>正式研发扩展项</w:t>
            </w:r>
          </w:p>
        </w:tc>
        <w:tc>
          <w:tcPr>
            <w:tcW w:type="dxa" w:w="3797"/>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当前交付没有完成，不能用界面存在代替实现</w:t>
            </w:r>
          </w:p>
        </w:tc>
        <w:tc>
          <w:tcPr>
            <w:tcW w:type="dxa" w:w="3963"/>
            <w:vAlign w:val="top"/>
            <w:tcMar>
              <w:top w:w="65" w:type="dxa"/>
              <w:bottom w:w="65" w:type="dxa"/>
              <w:left w:w="65" w:type="dxa"/>
              <w:right w:w="65" w:type="dxa"/>
            </w:tcMar>
          </w:tcPr>
          <w:p>
            <w:pPr>
              <w:spacing w:before="30" w:after="30" w:line="252" w:lineRule="auto"/>
            </w:pPr>
            <w:r>
              <w:rPr>
                <w:rFonts w:ascii="Arial" w:hAnsi="Arial" w:eastAsia="宋体"/>
                <w:b w:val="0"/>
                <w:i w:val="0"/>
                <w:sz w:val="19"/>
              </w:rPr>
              <w:t>ERP连接、真实用户身份认证、复杂股权变更、完整自动预算三表</w:t>
            </w:r>
          </w:p>
        </w:tc>
      </w:tr>
    </w:tbl>
    <w:p>
      <w:pPr>
        <w:spacing w:after="40"/>
      </w:pPr>
    </w:p>
    <w:p>
      <w:r>
        <w:rPr>
          <w:rFonts w:ascii="Arial" w:hAnsi="Arial" w:eastAsia="宋体"/>
          <w:b w:val="0"/>
          <w:i w:val="0"/>
        </w:rPr>
        <w:t>建议业务评审者先阅读第2至5章了解全貌，再按第6章完成案例；研发人员再结合《系统研发与交互说明书》核对接口、数据结构与扩展方案。日常操作人员可同时使用三件套中的《用户操作手册》。</w:t>
      </w:r>
    </w:p>
    <w:p>
      <w:pPr>
        <w:pStyle w:val="Heading1"/>
      </w:pPr>
      <w:bookmarkStart w:id="5" w:name="epm_5"/>
      <w:r>
        <w:rPr>
          <w:rFonts w:ascii="Arial" w:hAnsi="Arial" w:eastAsia="宋体"/>
          <w:b w:val="0"/>
          <w:i w:val="0"/>
        </w:rPr>
        <w:t>2. 业务地图与产品价值</w:t>
      </w:r>
      <w:bookmarkEnd w:id="5"/>
    </w:p>
    <w:p>
      <w:pPr>
        <w:pStyle w:val="Heading2"/>
      </w:pPr>
      <w:bookmarkStart w:id="6" w:name="epm_6"/>
      <w:r>
        <w:rPr>
          <w:rFonts w:ascii="Arial" w:hAnsi="Arial" w:eastAsia="宋体"/>
          <w:b w:val="0"/>
          <w:i w:val="0"/>
        </w:rPr>
        <w:t>2.1 从报送到经营行动的完整链路</w:t>
      </w:r>
      <w:bookmarkEnd w:id="6"/>
    </w:p>
    <w:p>
      <w:r>
        <w:rPr>
          <w:rFonts w:ascii="Arial" w:hAnsi="Arial" w:eastAsia="宋体"/>
          <w:b w:val="0"/>
          <w:i w:val="0"/>
        </w:rPr>
        <w:t>产品的主业务链路为：维护法人和集团科目，按当前期间导入累计试算余额，检查法人及集团财务关系，通过已审批的抵销和调整形成合并报表，再将实际结果与当前预算版本比较，记录经营说明，最后由负责人签核本期。若签核后确需补录数据，应先填写原因重新打开期间，修改后重新校验和签核。</w:t>
      </w:r>
    </w:p>
    <w:p>
      <w:r>
        <w:rPr>
          <w:rFonts w:ascii="Arial" w:hAnsi="Arial" w:eastAsia="宋体"/>
          <w:b w:val="0"/>
          <w:i w:val="0"/>
        </w:rPr>
        <w:t>预算使用另一条相连的链路：复制草稿版本，维护四层销售收入目标、量价和业务预算明细，选择全年分摊方案，提交审批并锁定。锁定后通过独立调整申请形成新版本，原版本继续保留。当前活跃预算版本作为预实比较依据，因此预算版本切换会改变分析基准，不会改写已报送的实际数。</w:t>
      </w:r>
    </w:p>
    <w:tbl>
      <w:tblPr>
        <w:tblStyle w:val="TableGrid"/>
        <w:tblW w:type="auto" w:w="0"/>
        <w:jc w:val="center"/>
        <w:tblLayout w:type="fixed"/>
        <w:tblLook w:firstColumn="1" w:firstRow="1" w:lastColumn="0" w:lastRow="0" w:noHBand="0" w:noVBand="1" w:val="04A0"/>
      </w:tblPr>
      <w:tblGrid>
        <w:gridCol w:w="1455"/>
        <w:gridCol w:w="2889"/>
        <w:gridCol w:w="2597"/>
        <w:gridCol w:w="2697"/>
      </w:tblGrid>
      <w:tr>
        <w:trPr>
          <w:cantSplit/>
          <w:tblHeader w:val="true"/>
        </w:trPr>
        <w:tc>
          <w:tcPr>
            <w:tcW w:type="dxa" w:w="145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业务阶段</w:t>
            </w:r>
          </w:p>
        </w:tc>
        <w:tc>
          <w:tcPr>
            <w:tcW w:type="dxa" w:w="288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主要输入</w:t>
            </w:r>
          </w:p>
        </w:tc>
        <w:tc>
          <w:tcPr>
            <w:tcW w:type="dxa" w:w="259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形成的业务结果</w:t>
            </w:r>
          </w:p>
        </w:tc>
        <w:tc>
          <w:tcPr>
            <w:tcW w:type="dxa" w:w="269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下一步联动</w:t>
            </w:r>
          </w:p>
        </w:tc>
      </w:tr>
      <w:tr>
        <w:trPr>
          <w:cantSplit/>
        </w:trPr>
        <w:tc>
          <w:tcPr>
            <w:tcW w:type="dxa" w:w="1455"/>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集团建模</w:t>
            </w:r>
          </w:p>
        </w:tc>
        <w:tc>
          <w:tcPr>
            <w:tcW w:type="dxa" w:w="2889"/>
            <w:vAlign w:val="top"/>
            <w:tcMar>
              <w:top w:w="65" w:type="dxa"/>
              <w:bottom w:w="65" w:type="dxa"/>
              <w:left w:w="65" w:type="dxa"/>
              <w:right w:w="65" w:type="dxa"/>
            </w:tcMar>
          </w:tcPr>
          <w:p>
            <w:pPr>
              <w:spacing w:before="30" w:after="30" w:line="252" w:lineRule="auto"/>
            </w:pPr>
            <w:r>
              <w:rPr>
                <w:rFonts w:ascii="Arial" w:hAnsi="Arial" w:eastAsia="宋体"/>
                <w:b w:val="0"/>
                <w:i w:val="0"/>
                <w:sz w:val="18"/>
              </w:rPr>
              <w:t>法人档案、集团科目、演示展示汇率</w:t>
            </w:r>
          </w:p>
        </w:tc>
        <w:tc>
          <w:tcPr>
            <w:tcW w:type="dxa" w:w="2597"/>
            <w:vAlign w:val="top"/>
            <w:tcMar>
              <w:top w:w="65" w:type="dxa"/>
              <w:bottom w:w="65" w:type="dxa"/>
              <w:left w:w="65" w:type="dxa"/>
              <w:right w:w="65" w:type="dxa"/>
            </w:tcMar>
          </w:tcPr>
          <w:p>
            <w:pPr>
              <w:spacing w:before="30" w:after="30" w:line="252" w:lineRule="auto"/>
            </w:pPr>
            <w:r>
              <w:rPr>
                <w:rFonts w:ascii="Arial" w:hAnsi="Arial" w:eastAsia="宋体"/>
                <w:b w:val="0"/>
                <w:i w:val="0"/>
                <w:sz w:val="18"/>
              </w:rPr>
              <w:t>组织及报表映射基础</w:t>
            </w:r>
          </w:p>
        </w:tc>
        <w:tc>
          <w:tcPr>
            <w:tcW w:type="dxa" w:w="2697"/>
            <w:vAlign w:val="top"/>
            <w:tcMar>
              <w:top w:w="65" w:type="dxa"/>
              <w:bottom w:w="65" w:type="dxa"/>
              <w:left w:w="65" w:type="dxa"/>
              <w:right w:w="65" w:type="dxa"/>
            </w:tcMar>
          </w:tcPr>
          <w:p>
            <w:pPr>
              <w:spacing w:before="30" w:after="30" w:line="252" w:lineRule="auto"/>
            </w:pPr>
            <w:r>
              <w:rPr>
                <w:rFonts w:ascii="Arial" w:hAnsi="Arial" w:eastAsia="宋体"/>
                <w:b w:val="0"/>
                <w:i w:val="0"/>
                <w:sz w:val="18"/>
              </w:rPr>
              <w:t>导入检查、法人筛选、报表展示</w:t>
            </w:r>
          </w:p>
        </w:tc>
      </w:tr>
      <w:tr>
        <w:trPr>
          <w:cantSplit/>
        </w:trPr>
        <w:tc>
          <w:tcPr>
            <w:tcW w:type="dxa" w:w="14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数据报送</w:t>
            </w:r>
          </w:p>
        </w:tc>
        <w:tc>
          <w:tcPr>
            <w:tcW w:type="dxa" w:w="28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当前法人的整套累计试算余额CSV</w:t>
            </w:r>
          </w:p>
        </w:tc>
        <w:tc>
          <w:tcPr>
            <w:tcW w:type="dxa" w:w="25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有来源名称、期间、行数的导入批次</w:t>
            </w:r>
          </w:p>
        </w:tc>
        <w:tc>
          <w:tcPr>
            <w:tcW w:type="dxa" w:w="26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财务报表重算、报送确认与旧校验失效</w:t>
            </w:r>
          </w:p>
        </w:tc>
      </w:tr>
      <w:tr>
        <w:trPr>
          <w:cantSplit/>
        </w:trPr>
        <w:tc>
          <w:tcPr>
            <w:tcW w:type="dxa" w:w="1455"/>
            <w:vAlign w:val="top"/>
            <w:tcMar>
              <w:top w:w="65" w:type="dxa"/>
              <w:bottom w:w="65" w:type="dxa"/>
              <w:left w:w="65" w:type="dxa"/>
              <w:right w:w="65" w:type="dxa"/>
            </w:tcMar>
          </w:tcPr>
          <w:p>
            <w:pPr>
              <w:spacing w:before="30" w:after="30" w:line="252" w:lineRule="auto"/>
            </w:pPr>
            <w:r>
              <w:rPr>
                <w:rFonts w:ascii="Arial" w:hAnsi="Arial" w:eastAsia="宋体"/>
                <w:b w:val="0"/>
                <w:i w:val="0"/>
                <w:sz w:val="18"/>
              </w:rPr>
              <w:t>合并处理</w:t>
            </w:r>
          </w:p>
        </w:tc>
        <w:tc>
          <w:tcPr>
            <w:tcW w:type="dxa" w:w="2889"/>
            <w:vAlign w:val="top"/>
            <w:tcMar>
              <w:top w:w="65" w:type="dxa"/>
              <w:bottom w:w="65" w:type="dxa"/>
              <w:left w:w="65" w:type="dxa"/>
              <w:right w:w="65" w:type="dxa"/>
            </w:tcMar>
          </w:tcPr>
          <w:p>
            <w:pPr>
              <w:spacing w:before="30" w:after="30" w:line="252" w:lineRule="auto"/>
            </w:pPr>
            <w:r>
              <w:rPr>
                <w:rFonts w:ascii="Arial" w:hAnsi="Arial" w:eastAsia="宋体"/>
                <w:b w:val="0"/>
                <w:i w:val="0"/>
                <w:sz w:val="18"/>
              </w:rPr>
              <w:t>预置抵销、用户新增的平衡凭证</w:t>
            </w:r>
          </w:p>
        </w:tc>
        <w:tc>
          <w:tcPr>
            <w:tcW w:type="dxa" w:w="2597"/>
            <w:vAlign w:val="top"/>
            <w:tcMar>
              <w:top w:w="65" w:type="dxa"/>
              <w:bottom w:w="65" w:type="dxa"/>
              <w:left w:w="65" w:type="dxa"/>
              <w:right w:w="65" w:type="dxa"/>
            </w:tcMar>
          </w:tcPr>
          <w:p>
            <w:pPr>
              <w:spacing w:before="30" w:after="30" w:line="252" w:lineRule="auto"/>
            </w:pPr>
            <w:r>
              <w:rPr>
                <w:rFonts w:ascii="Arial" w:hAnsi="Arial" w:eastAsia="宋体"/>
                <w:b w:val="0"/>
                <w:i w:val="0"/>
                <w:sz w:val="18"/>
              </w:rPr>
              <w:t>草稿及已审批凭证</w:t>
            </w:r>
          </w:p>
        </w:tc>
        <w:tc>
          <w:tcPr>
            <w:tcW w:type="dxa" w:w="2697"/>
            <w:vAlign w:val="top"/>
            <w:tcMar>
              <w:top w:w="65" w:type="dxa"/>
              <w:bottom w:w="65" w:type="dxa"/>
              <w:left w:w="65" w:type="dxa"/>
              <w:right w:w="65" w:type="dxa"/>
            </w:tcMar>
          </w:tcPr>
          <w:p>
            <w:pPr>
              <w:spacing w:before="30" w:after="30" w:line="252" w:lineRule="auto"/>
            </w:pPr>
            <w:r>
              <w:rPr>
                <w:rFonts w:ascii="Arial" w:hAnsi="Arial" w:eastAsia="宋体"/>
                <w:b w:val="0"/>
                <w:i w:val="0"/>
                <w:sz w:val="18"/>
              </w:rPr>
              <w:t>审批后的影响进入当前期间报表</w:t>
            </w:r>
          </w:p>
        </w:tc>
      </w:tr>
      <w:tr>
        <w:trPr>
          <w:cantSplit/>
        </w:trPr>
        <w:tc>
          <w:tcPr>
            <w:tcW w:type="dxa" w:w="14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关账治理</w:t>
            </w:r>
          </w:p>
        </w:tc>
        <w:tc>
          <w:tcPr>
            <w:tcW w:type="dxa" w:w="28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报送复核、财务校验、内部核对和经营说明</w:t>
            </w:r>
          </w:p>
        </w:tc>
        <w:tc>
          <w:tcPr>
            <w:tcW w:type="dxa" w:w="25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期间签核与保护状态</w:t>
            </w:r>
          </w:p>
        </w:tc>
        <w:tc>
          <w:tcPr>
            <w:tcW w:type="dxa" w:w="26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限制后续修改，保留审计轨迹</w:t>
            </w:r>
          </w:p>
        </w:tc>
      </w:tr>
      <w:tr>
        <w:trPr>
          <w:cantSplit/>
        </w:trPr>
        <w:tc>
          <w:tcPr>
            <w:tcW w:type="dxa" w:w="1455"/>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预算管理</w:t>
            </w:r>
          </w:p>
        </w:tc>
        <w:tc>
          <w:tcPr>
            <w:tcW w:type="dxa" w:w="2889"/>
            <w:vAlign w:val="top"/>
            <w:tcMar>
              <w:top w:w="65" w:type="dxa"/>
              <w:bottom w:w="65" w:type="dxa"/>
              <w:left w:w="65" w:type="dxa"/>
              <w:right w:w="65" w:type="dxa"/>
            </w:tcMar>
          </w:tcPr>
          <w:p>
            <w:pPr>
              <w:spacing w:before="30" w:after="30" w:line="252" w:lineRule="auto"/>
            </w:pPr>
            <w:r>
              <w:rPr>
                <w:rFonts w:ascii="Arial" w:hAnsi="Arial" w:eastAsia="宋体"/>
                <w:b w:val="0"/>
                <w:i w:val="0"/>
                <w:sz w:val="18"/>
              </w:rPr>
              <w:t>目标分层、量价、分摊、业务明细</w:t>
            </w:r>
          </w:p>
        </w:tc>
        <w:tc>
          <w:tcPr>
            <w:tcW w:type="dxa" w:w="2597"/>
            <w:vAlign w:val="top"/>
            <w:tcMar>
              <w:top w:w="65" w:type="dxa"/>
              <w:bottom w:w="65" w:type="dxa"/>
              <w:left w:w="65" w:type="dxa"/>
              <w:right w:w="65" w:type="dxa"/>
            </w:tcMar>
          </w:tcPr>
          <w:p>
            <w:pPr>
              <w:spacing w:before="30" w:after="30" w:line="252" w:lineRule="auto"/>
            </w:pPr>
            <w:r>
              <w:rPr>
                <w:rFonts w:ascii="Arial" w:hAnsi="Arial" w:eastAsia="宋体"/>
                <w:b w:val="0"/>
                <w:i w:val="0"/>
                <w:sz w:val="18"/>
              </w:rPr>
              <w:t>独立预算版本及审批状态</w:t>
            </w:r>
          </w:p>
        </w:tc>
        <w:tc>
          <w:tcPr>
            <w:tcW w:type="dxa" w:w="2697"/>
            <w:vAlign w:val="top"/>
            <w:tcMar>
              <w:top w:w="65" w:type="dxa"/>
              <w:bottom w:w="65" w:type="dxa"/>
              <w:left w:w="65" w:type="dxa"/>
              <w:right w:w="65" w:type="dxa"/>
            </w:tcMar>
          </w:tcPr>
          <w:p>
            <w:pPr>
              <w:spacing w:before="30" w:after="30" w:line="252" w:lineRule="auto"/>
            </w:pPr>
            <w:r>
              <w:rPr>
                <w:rFonts w:ascii="Arial" w:hAnsi="Arial" w:eastAsia="宋体"/>
                <w:b w:val="0"/>
                <w:i w:val="0"/>
                <w:sz w:val="18"/>
              </w:rPr>
              <w:t>预实分析及版本比较</w:t>
            </w:r>
          </w:p>
        </w:tc>
      </w:tr>
      <w:tr>
        <w:trPr>
          <w:cantSplit/>
        </w:trPr>
        <w:tc>
          <w:tcPr>
            <w:tcW w:type="dxa" w:w="14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经营分析</w:t>
            </w:r>
          </w:p>
        </w:tc>
        <w:tc>
          <w:tcPr>
            <w:tcW w:type="dxa" w:w="288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实际报表、当前预算版本、范围和币种</w:t>
            </w:r>
          </w:p>
        </w:tc>
        <w:tc>
          <w:tcPr>
            <w:tcW w:type="dxa" w:w="25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利润差异桥、法人贡献与报表导出</w:t>
            </w:r>
          </w:p>
        </w:tc>
        <w:tc>
          <w:tcPr>
            <w:tcW w:type="dxa" w:w="26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形成可追溯的管理讨论依据</w:t>
            </w:r>
          </w:p>
        </w:tc>
      </w:tr>
    </w:tbl>
    <w:p>
      <w:pPr>
        <w:spacing w:after="40"/>
      </w:pPr>
    </w:p>
    <w:p>
      <w:pPr>
        <w:pStyle w:val="Heading2"/>
      </w:pPr>
      <w:bookmarkStart w:id="7" w:name="epm_7"/>
      <w:r>
        <w:rPr>
          <w:rFonts w:ascii="Arial" w:hAnsi="Arial" w:eastAsia="宋体"/>
          <w:b w:val="0"/>
          <w:i w:val="0"/>
        </w:rPr>
        <w:t>2.2 三类使用者分别获得什么</w:t>
      </w:r>
      <w:bookmarkEnd w:id="7"/>
    </w:p>
    <w:p>
      <w:r>
        <w:rPr>
          <w:rFonts w:ascii="Arial" w:hAnsi="Arial" w:eastAsia="宋体"/>
          <w:b w:val="0"/>
          <w:i w:val="0"/>
        </w:rPr>
        <w:t>集团财务负责人主要评审集团口径、调整依据、三表勾稽和签核保护。预算负责人主要评审目标形成、分摊、审批、锁定及调整版本之间的关系。经营分析人员主要评审指标是否能追溯到法人和调整，预算变化后差异如何变化，说明是否保存在正确的期间。</w:t>
      </w:r>
    </w:p>
    <w:p>
      <w:r>
        <w:rPr>
          <w:rFonts w:ascii="Arial" w:hAnsi="Arial" w:eastAsia="宋体"/>
          <w:b w:val="0"/>
          <w:i w:val="0"/>
        </w:rPr>
        <w:t>研发团队则可以用同一组案例确认前后端职责：界面负责收集输入、显示中文规则和结果；服务端负责金额及状态校验、事务保存、权限拒绝和报表重算。只有收到成功结果，界面才应将操作视为已保存。</w:t>
      </w:r>
    </w:p>
    <w:p>
      <w:pPr>
        <w:pStyle w:val="Heading2"/>
      </w:pPr>
      <w:bookmarkStart w:id="8" w:name="epm_8"/>
      <w:r>
        <w:rPr>
          <w:rFonts w:ascii="Arial" w:hAnsi="Arial" w:eastAsia="宋体"/>
          <w:b w:val="0"/>
          <w:i w:val="0"/>
        </w:rPr>
        <w:t>2.3 当前产品的可演示价值</w:t>
      </w:r>
      <w:bookmarkEnd w:id="8"/>
    </w:p>
    <w:p>
      <w:r>
        <w:rPr>
          <w:rFonts w:ascii="Arial" w:hAnsi="Arial" w:eastAsia="宋体"/>
          <w:b w:val="0"/>
          <w:i w:val="0"/>
        </w:rPr>
        <w:t>本产品将过去分散的原型页面串成同一份可保存的数据。预算层修改后，年度汇总和预实差异会更新；凭证保存为草稿时不影响报表，审批后才改变报表；数据修改后，关账检查不能沿用过期的“通过”；签核后，未经重新开启不能继续修改相应财务数据。这些行为是演示验收的重点，能够帮助业务和开发讨论流程是否完整，而不只评审页面排版。</w:t>
      </w:r>
    </w:p>
    <w:p>
      <w:r>
        <w:rPr>
          <w:rFonts w:ascii="Arial" w:hAnsi="Arial" w:eastAsia="宋体"/>
          <w:b w:val="0"/>
          <w:i w:val="0"/>
        </w:rPr>
        <w:t>本机运行还降低了产品沟通的准备成本。Windows用户完整解压后双击EXE，即可进入中文工作台，不需要另行安装Python、Docker、WSL或虚拟机，不需要通过Google邮箱登录。数据保存在用户本机的独立目录中，重新解压程序与清除业务数据是两回事。</w:t>
      </w:r>
    </w:p>
    <w:p>
      <w:pPr>
        <w:pStyle w:val="Heading1"/>
      </w:pPr>
      <w:bookmarkStart w:id="9" w:name="epm_9"/>
      <w:r>
        <w:rPr>
          <w:rFonts w:ascii="Arial" w:hAnsi="Arial" w:eastAsia="宋体"/>
          <w:b w:val="0"/>
          <w:i w:val="0"/>
        </w:rPr>
        <w:t>3. 页面、模块与职责</w:t>
      </w:r>
      <w:bookmarkEnd w:id="9"/>
    </w:p>
    <w:p>
      <w:pPr>
        <w:pStyle w:val="Heading2"/>
      </w:pPr>
      <w:bookmarkStart w:id="10" w:name="epm_10"/>
      <w:r>
        <w:rPr>
          <w:rFonts w:ascii="Arial" w:hAnsi="Arial" w:eastAsia="宋体"/>
          <w:b w:val="0"/>
          <w:i w:val="0"/>
        </w:rPr>
        <w:t>3.1 工作台布局</w:t>
      </w:r>
      <w:bookmarkEnd w:id="10"/>
    </w:p>
    <w:p>
      <w:r>
        <w:rPr>
          <w:rFonts w:ascii="Arial" w:hAnsi="Arial" w:eastAsia="宋体"/>
          <w:b w:val="0"/>
          <w:i w:val="0"/>
        </w:rPr>
        <w:t>左侧是分组导航，顶部是集团、财务期间和报表币种，右上角提供本机环境及演示角色入口。中间工作区按菜单显示指标卡、表格、趋势图和操作按钮。页面中的“演示环境·本机保存”用于提醒用户正在操作本地样例。</w:t>
      </w:r>
    </w:p>
    <w:p>
      <w:pPr>
        <w:keepNext/>
        <w:jc w:val="center"/>
      </w:pPr>
      <w:r>
        <w:drawing>
          <wp:inline xmlns:a="http://schemas.openxmlformats.org/drawingml/2006/main" xmlns:pic="http://schemas.openxmlformats.org/drawingml/2006/picture">
            <wp:extent cx="6048000" cy="5038740"/>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048000" cy="5038740"/>
                    </a:xfrm>
                    <a:prstGeom prst="rect"/>
                  </pic:spPr>
                </pic:pic>
              </a:graphicData>
            </a:graphic>
          </wp:inline>
        </w:drawing>
      </w:r>
    </w:p>
    <w:p>
      <w:pPr>
        <w:jc w:val="center"/>
      </w:pPr>
      <w:r>
        <w:rPr>
          <w:rFonts w:ascii="Arial" w:hAnsi="Arial" w:eastAsia="宋体"/>
          <w:color w:val="66758D"/>
          <w:sz w:val="18"/>
        </w:rPr>
        <w:t>图 1  集团经营总览</w:t>
      </w:r>
    </w:p>
    <w:p>
      <w:r>
        <w:rPr>
          <w:rFonts w:ascii="Arial" w:hAnsi="Arial" w:eastAsia="宋体"/>
          <w:b w:val="0"/>
          <w:i w:val="0"/>
        </w:rPr>
        <w:t>页面中的保存状态与数据版本用于判断当前显示是否已经从服务端读取。业务操作失败时，应阅读中文原因并修正输入；不要仅凭对话框已经关闭或页面曾显示旧数据认定本次写入成功。多个标签页同时修改时，可能出现版本冲突，此时应先读取最新内容再决定是否保存。</w:t>
      </w:r>
    </w:p>
    <w:p>
      <w:pPr>
        <w:pStyle w:val="Heading2"/>
      </w:pPr>
      <w:bookmarkStart w:id="11" w:name="epm_11"/>
      <w:r>
        <w:rPr>
          <w:rFonts w:ascii="Arial" w:hAnsi="Arial" w:eastAsia="宋体"/>
          <w:b w:val="0"/>
          <w:i w:val="0"/>
        </w:rPr>
        <w:t>3.2 完整20项导航功能矩阵</w:t>
      </w:r>
      <w:bookmarkEnd w:id="11"/>
    </w:p>
    <w:tbl>
      <w:tblPr>
        <w:tblStyle w:val="TableGrid"/>
        <w:tblW w:type="auto" w:w="0"/>
        <w:jc w:val="center"/>
        <w:tblLayout w:type="fixed"/>
        <w:tblLook w:firstColumn="1" w:firstRow="1" w:lastColumn="0" w:lastRow="0" w:noHBand="0" w:noVBand="1" w:val="04A0"/>
      </w:tblPr>
      <w:tblGrid>
        <w:gridCol w:w="1265"/>
        <w:gridCol w:w="1581"/>
        <w:gridCol w:w="3124"/>
        <w:gridCol w:w="3669"/>
      </w:tblGrid>
      <w:tr>
        <w:trPr>
          <w:cantSplit/>
          <w:tblHeader w:val="true"/>
        </w:trPr>
        <w:tc>
          <w:tcPr>
            <w:tcW w:type="dxa" w:w="12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序号</w:t>
            </w:r>
          </w:p>
        </w:tc>
        <w:tc>
          <w:tcPr>
            <w:tcW w:type="dxa" w:w="158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菜单</w:t>
            </w:r>
          </w:p>
        </w:tc>
        <w:tc>
          <w:tcPr>
            <w:tcW w:type="dxa" w:w="312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页面输入或操作</w:t>
            </w:r>
          </w:p>
        </w:tc>
        <w:tc>
          <w:tcPr>
            <w:tcW w:type="dxa" w:w="36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当前实际输出与联动</w:t>
            </w:r>
          </w:p>
        </w:tc>
      </w:tr>
      <w:tr>
        <w:trPr>
          <w:cantSplit/>
        </w:trPr>
        <w:tc>
          <w:tcPr>
            <w:tcW w:type="dxa" w:w="1265"/>
            <w:vAlign w:val="top"/>
            <w:tcMar>
              <w:top w:w="65" w:type="dxa"/>
              <w:bottom w:w="65" w:type="dxa"/>
              <w:left w:w="65" w:type="dxa"/>
              <w:right w:w="65" w:type="dxa"/>
            </w:tcMar>
          </w:tcPr>
          <w:p>
            <w:pPr>
              <w:spacing w:before="30" w:after="30" w:line="252" w:lineRule="auto"/>
            </w:pPr>
            <w:r>
              <w:rPr>
                <w:rFonts w:ascii="Arial" w:hAnsi="Arial" w:eastAsia="宋体"/>
                <w:b w:val="0"/>
                <w:i w:val="0"/>
                <w:sz w:val="18"/>
              </w:rPr>
              <w:t>1</w:t>
            </w:r>
          </w:p>
        </w:tc>
        <w:tc>
          <w:tcPr>
            <w:tcW w:type="dxa" w:w="1581"/>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集团经营总览</w:t>
            </w:r>
          </w:p>
        </w:tc>
        <w:tc>
          <w:tcPr>
            <w:tcW w:type="dxa" w:w="3124"/>
            <w:vAlign w:val="top"/>
            <w:tcMar>
              <w:top w:w="65" w:type="dxa"/>
              <w:bottom w:w="65" w:type="dxa"/>
              <w:left w:w="65" w:type="dxa"/>
              <w:right w:w="65" w:type="dxa"/>
            </w:tcMar>
          </w:tcPr>
          <w:p>
            <w:pPr>
              <w:spacing w:before="30" w:after="30" w:line="252" w:lineRule="auto"/>
            </w:pPr>
            <w:r>
              <w:rPr>
                <w:rFonts w:ascii="Arial" w:hAnsi="Arial" w:eastAsia="宋体"/>
                <w:b w:val="0"/>
                <w:i w:val="0"/>
                <w:sz w:val="18"/>
              </w:rPr>
              <w:t>选择范围、期间、币种；点击趋势节点或法人贡献；导出摘要</w:t>
            </w:r>
          </w:p>
        </w:tc>
        <w:tc>
          <w:tcPr>
            <w:tcW w:type="dxa" w:w="3669"/>
            <w:vAlign w:val="top"/>
            <w:tcMar>
              <w:top w:w="65" w:type="dxa"/>
              <w:bottom w:w="65" w:type="dxa"/>
              <w:left w:w="65" w:type="dxa"/>
              <w:right w:w="65" w:type="dxa"/>
            </w:tcMar>
          </w:tcPr>
          <w:p>
            <w:pPr>
              <w:spacing w:before="30" w:after="30" w:line="252" w:lineRule="auto"/>
            </w:pPr>
            <w:r>
              <w:rPr>
                <w:rFonts w:ascii="Arial" w:hAnsi="Arial" w:eastAsia="宋体"/>
                <w:b w:val="0"/>
                <w:i w:val="0"/>
                <w:sz w:val="18"/>
              </w:rPr>
              <w:t>累计收入、利润、经营现金、负债率、关账进度及当前预算比较</w:t>
            </w:r>
          </w:p>
        </w:tc>
      </w:tr>
      <w:tr>
        <w:trPr>
          <w:cantSplit/>
        </w:trPr>
        <w:tc>
          <w:tcPr>
            <w:tcW w:type="dxa" w:w="1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w:t>
            </w:r>
          </w:p>
        </w:tc>
        <w:tc>
          <w:tcPr>
            <w:tcW w:type="dxa" w:w="1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集团组织与持股</w:t>
            </w:r>
          </w:p>
        </w:tc>
        <w:tc>
          <w:tcPr>
            <w:tcW w:type="dxa" w:w="31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新增或编辑法人标识、编码、名称、简称和责任人</w:t>
            </w:r>
          </w:p>
        </w:tc>
        <w:tc>
          <w:tcPr>
            <w:tcW w:type="dxa" w:w="3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法人主档保存；新增法人以零财务金额开始，导入后参与报表</w:t>
            </w:r>
          </w:p>
        </w:tc>
      </w:tr>
      <w:tr>
        <w:trPr>
          <w:cantSplit/>
        </w:trPr>
        <w:tc>
          <w:tcPr>
            <w:tcW w:type="dxa" w:w="1265"/>
            <w:vAlign w:val="top"/>
            <w:tcMar>
              <w:top w:w="65" w:type="dxa"/>
              <w:bottom w:w="65" w:type="dxa"/>
              <w:left w:w="65" w:type="dxa"/>
              <w:right w:w="65" w:type="dxa"/>
            </w:tcMar>
          </w:tcPr>
          <w:p>
            <w:pPr>
              <w:spacing w:before="30" w:after="30" w:line="252" w:lineRule="auto"/>
            </w:pPr>
            <w:r>
              <w:rPr>
                <w:rFonts w:ascii="Arial" w:hAnsi="Arial" w:eastAsia="宋体"/>
                <w:b w:val="0"/>
                <w:i w:val="0"/>
                <w:sz w:val="18"/>
              </w:rPr>
              <w:t>3</w:t>
            </w:r>
          </w:p>
        </w:tc>
        <w:tc>
          <w:tcPr>
            <w:tcW w:type="dxa" w:w="1581"/>
            <w:vAlign w:val="top"/>
            <w:tcMar>
              <w:top w:w="65" w:type="dxa"/>
              <w:bottom w:w="65" w:type="dxa"/>
              <w:left w:w="65" w:type="dxa"/>
              <w:right w:w="65" w:type="dxa"/>
            </w:tcMar>
          </w:tcPr>
          <w:p>
            <w:pPr>
              <w:spacing w:before="30" w:after="30" w:line="252" w:lineRule="auto"/>
            </w:pPr>
            <w:r>
              <w:rPr>
                <w:rFonts w:ascii="Arial" w:hAnsi="Arial" w:eastAsia="宋体"/>
                <w:b w:val="0"/>
                <w:i w:val="0"/>
                <w:sz w:val="18"/>
              </w:rPr>
              <w:t>科目与维度</w:t>
            </w:r>
          </w:p>
        </w:tc>
        <w:tc>
          <w:tcPr>
            <w:tcW w:type="dxa" w:w="3124"/>
            <w:vAlign w:val="top"/>
            <w:tcMar>
              <w:top w:w="65" w:type="dxa"/>
              <w:bottom w:w="65" w:type="dxa"/>
              <w:left w:w="65" w:type="dxa"/>
              <w:right w:w="65" w:type="dxa"/>
            </w:tcMar>
          </w:tcPr>
          <w:p>
            <w:pPr>
              <w:spacing w:before="30" w:after="30" w:line="252" w:lineRule="auto"/>
            </w:pPr>
            <w:r>
              <w:rPr>
                <w:rFonts w:ascii="Arial" w:hAnsi="Arial" w:eastAsia="宋体"/>
                <w:b w:val="0"/>
                <w:i w:val="0"/>
                <w:sz w:val="18"/>
              </w:rPr>
              <w:t>维护集团科目编码、名称、类型、余额方向和内置报表字段</w:t>
            </w:r>
          </w:p>
        </w:tc>
        <w:tc>
          <w:tcPr>
            <w:tcW w:type="dxa" w:w="3669"/>
            <w:vAlign w:val="top"/>
            <w:tcMar>
              <w:top w:w="65" w:type="dxa"/>
              <w:bottom w:w="65" w:type="dxa"/>
              <w:left w:w="65" w:type="dxa"/>
              <w:right w:w="65" w:type="dxa"/>
            </w:tcMar>
          </w:tcPr>
          <w:p>
            <w:pPr>
              <w:spacing w:before="30" w:after="30" w:line="252" w:lineRule="auto"/>
            </w:pPr>
            <w:r>
              <w:rPr>
                <w:rFonts w:ascii="Arial" w:hAnsi="Arial" w:eastAsia="宋体"/>
                <w:b w:val="0"/>
                <w:i w:val="0"/>
                <w:sz w:val="18"/>
              </w:rPr>
              <w:t>导入及凭证使用的科目映射；技术字段受服务端约束</w:t>
            </w:r>
          </w:p>
        </w:tc>
      </w:tr>
      <w:tr>
        <w:trPr>
          <w:cantSplit/>
        </w:trPr>
        <w:tc>
          <w:tcPr>
            <w:tcW w:type="dxa" w:w="1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4</w:t>
            </w:r>
          </w:p>
        </w:tc>
        <w:tc>
          <w:tcPr>
            <w:tcW w:type="dxa" w:w="1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数据接入</w:t>
            </w:r>
          </w:p>
        </w:tc>
        <w:tc>
          <w:tcPr>
            <w:tcW w:type="dxa" w:w="31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下载空白模板；选择或粘贴CSV</w:t>
            </w:r>
          </w:p>
        </w:tc>
        <w:tc>
          <w:tcPr>
            <w:tcW w:type="dxa" w:w="3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当前CSV可用；展示接入批次，外部ERP与Excel插件明确列为扩展项</w:t>
            </w:r>
          </w:p>
        </w:tc>
      </w:tr>
      <w:tr>
        <w:trPr>
          <w:cantSplit/>
        </w:trPr>
        <w:tc>
          <w:tcPr>
            <w:tcW w:type="dxa" w:w="1265"/>
            <w:vAlign w:val="top"/>
            <w:tcMar>
              <w:top w:w="65" w:type="dxa"/>
              <w:bottom w:w="65" w:type="dxa"/>
              <w:left w:w="65" w:type="dxa"/>
              <w:right w:w="65" w:type="dxa"/>
            </w:tcMar>
          </w:tcPr>
          <w:p>
            <w:pPr>
              <w:spacing w:before="30" w:after="30" w:line="252" w:lineRule="auto"/>
            </w:pPr>
            <w:r>
              <w:rPr>
                <w:rFonts w:ascii="Arial" w:hAnsi="Arial" w:eastAsia="宋体"/>
                <w:b w:val="0"/>
                <w:i w:val="0"/>
                <w:sz w:val="18"/>
              </w:rPr>
              <w:t>5</w:t>
            </w:r>
          </w:p>
        </w:tc>
        <w:tc>
          <w:tcPr>
            <w:tcW w:type="dxa" w:w="1581"/>
            <w:vAlign w:val="top"/>
            <w:tcMar>
              <w:top w:w="65" w:type="dxa"/>
              <w:bottom w:w="65" w:type="dxa"/>
              <w:left w:w="65" w:type="dxa"/>
              <w:right w:w="65" w:type="dxa"/>
            </w:tcMar>
          </w:tcPr>
          <w:p>
            <w:pPr>
              <w:spacing w:before="30" w:after="30" w:line="252" w:lineRule="auto"/>
            </w:pPr>
            <w:r>
              <w:rPr>
                <w:rFonts w:ascii="Arial" w:hAnsi="Arial" w:eastAsia="宋体"/>
                <w:b w:val="0"/>
                <w:i w:val="0"/>
                <w:sz w:val="18"/>
              </w:rPr>
              <w:t>试算平衡报送</w:t>
            </w:r>
          </w:p>
        </w:tc>
        <w:tc>
          <w:tcPr>
            <w:tcW w:type="dxa" w:w="3124"/>
            <w:vAlign w:val="top"/>
            <w:tcMar>
              <w:top w:w="65" w:type="dxa"/>
              <w:bottom w:w="65" w:type="dxa"/>
              <w:left w:w="65" w:type="dxa"/>
              <w:right w:w="65" w:type="dxa"/>
            </w:tcMar>
          </w:tcPr>
          <w:p>
            <w:pPr>
              <w:spacing w:before="30" w:after="30" w:line="252" w:lineRule="auto"/>
            </w:pPr>
            <w:r>
              <w:rPr>
                <w:rFonts w:ascii="Arial" w:hAnsi="Arial" w:eastAsia="宋体"/>
                <w:b w:val="0"/>
                <w:i w:val="0"/>
                <w:sz w:val="18"/>
              </w:rPr>
              <w:t>导入当前期整套累计余额、查看批次、复核并接收</w:t>
            </w:r>
          </w:p>
        </w:tc>
        <w:tc>
          <w:tcPr>
            <w:tcW w:type="dxa" w:w="3669"/>
            <w:vAlign w:val="top"/>
            <w:tcMar>
              <w:top w:w="65" w:type="dxa"/>
              <w:bottom w:w="65" w:type="dxa"/>
              <w:left w:w="65" w:type="dxa"/>
              <w:right w:w="65" w:type="dxa"/>
            </w:tcMar>
          </w:tcPr>
          <w:p>
            <w:pPr>
              <w:spacing w:before="30" w:after="30" w:line="252" w:lineRule="auto"/>
            </w:pPr>
            <w:r>
              <w:rPr>
                <w:rFonts w:ascii="Arial" w:hAnsi="Arial" w:eastAsia="宋体"/>
                <w:b w:val="0"/>
                <w:i w:val="0"/>
                <w:sz w:val="18"/>
              </w:rPr>
              <w:t>整批验证后保存；当期报表更新，其他期间不被替换</w:t>
            </w:r>
          </w:p>
        </w:tc>
      </w:tr>
      <w:tr>
        <w:trPr>
          <w:cantSplit/>
        </w:trPr>
        <w:tc>
          <w:tcPr>
            <w:tcW w:type="dxa" w:w="1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6</w:t>
            </w:r>
          </w:p>
        </w:tc>
        <w:tc>
          <w:tcPr>
            <w:tcW w:type="dxa" w:w="1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集团汇率</w:t>
            </w:r>
          </w:p>
        </w:tc>
        <w:tc>
          <w:tcPr>
            <w:tcW w:type="dxa" w:w="31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编辑1美元折合人民币的展示汇率</w:t>
            </w:r>
          </w:p>
        </w:tc>
        <w:tc>
          <w:tcPr>
            <w:tcW w:type="dxa" w:w="3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美元视图及导出同步更新；人民币源金额保持原币口径</w:t>
            </w:r>
          </w:p>
        </w:tc>
      </w:tr>
      <w:tr>
        <w:trPr>
          <w:cantSplit/>
        </w:trPr>
        <w:tc>
          <w:tcPr>
            <w:tcW w:type="dxa" w:w="1265"/>
            <w:vAlign w:val="top"/>
            <w:tcMar>
              <w:top w:w="65" w:type="dxa"/>
              <w:bottom w:w="65" w:type="dxa"/>
              <w:left w:w="65" w:type="dxa"/>
              <w:right w:w="65" w:type="dxa"/>
            </w:tcMar>
          </w:tcPr>
          <w:p>
            <w:pPr>
              <w:spacing w:before="30" w:after="30" w:line="252" w:lineRule="auto"/>
            </w:pPr>
            <w:r>
              <w:rPr>
                <w:rFonts w:ascii="Arial" w:hAnsi="Arial" w:eastAsia="宋体"/>
                <w:b w:val="0"/>
                <w:i w:val="0"/>
                <w:sz w:val="18"/>
              </w:rPr>
              <w:t>7</w:t>
            </w:r>
          </w:p>
        </w:tc>
        <w:tc>
          <w:tcPr>
            <w:tcW w:type="dxa" w:w="1581"/>
            <w:vAlign w:val="top"/>
            <w:tcMar>
              <w:top w:w="65" w:type="dxa"/>
              <w:bottom w:w="65" w:type="dxa"/>
              <w:left w:w="65" w:type="dxa"/>
              <w:right w:w="65" w:type="dxa"/>
            </w:tcMar>
          </w:tcPr>
          <w:p>
            <w:pPr>
              <w:spacing w:before="30" w:after="30" w:line="252" w:lineRule="auto"/>
            </w:pPr>
            <w:r>
              <w:rPr>
                <w:rFonts w:ascii="Arial" w:hAnsi="Arial" w:eastAsia="宋体"/>
                <w:b w:val="0"/>
                <w:i w:val="0"/>
                <w:sz w:val="18"/>
              </w:rPr>
              <w:t>持股与企业合并</w:t>
            </w:r>
          </w:p>
        </w:tc>
        <w:tc>
          <w:tcPr>
            <w:tcW w:type="dxa" w:w="3124"/>
            <w:vAlign w:val="top"/>
            <w:tcMar>
              <w:top w:w="65" w:type="dxa"/>
              <w:bottom w:w="65" w:type="dxa"/>
              <w:left w:w="65" w:type="dxa"/>
              <w:right w:w="65" w:type="dxa"/>
            </w:tcMar>
          </w:tcPr>
          <w:p>
            <w:pPr>
              <w:spacing w:before="30" w:after="30" w:line="252" w:lineRule="auto"/>
            </w:pPr>
            <w:r>
              <w:rPr>
                <w:rFonts w:ascii="Arial" w:hAnsi="Arial" w:eastAsia="宋体"/>
                <w:b w:val="0"/>
                <w:i w:val="0"/>
                <w:sz w:val="18"/>
              </w:rPr>
              <w:t>查看样例关系及合并范围</w:t>
            </w:r>
          </w:p>
        </w:tc>
        <w:tc>
          <w:tcPr>
            <w:tcW w:type="dxa" w:w="3669"/>
            <w:vAlign w:val="top"/>
            <w:tcMar>
              <w:top w:w="65" w:type="dxa"/>
              <w:bottom w:w="65" w:type="dxa"/>
              <w:left w:w="65" w:type="dxa"/>
              <w:right w:w="65" w:type="dxa"/>
            </w:tcMar>
          </w:tcPr>
          <w:p>
            <w:pPr>
              <w:spacing w:before="30" w:after="30" w:line="252" w:lineRule="auto"/>
            </w:pPr>
            <w:r>
              <w:rPr>
                <w:rFonts w:ascii="Arial" w:hAnsi="Arial" w:eastAsia="宋体"/>
                <w:b w:val="0"/>
                <w:i w:val="0"/>
                <w:sz w:val="18"/>
              </w:rPr>
              <w:t>显示样例持股比例和合并方法；复杂股权政策未在此编辑</w:t>
            </w:r>
          </w:p>
        </w:tc>
      </w:tr>
      <w:tr>
        <w:trPr>
          <w:cantSplit/>
        </w:trPr>
        <w:tc>
          <w:tcPr>
            <w:tcW w:type="dxa" w:w="1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8</w:t>
            </w:r>
          </w:p>
        </w:tc>
        <w:tc>
          <w:tcPr>
            <w:tcW w:type="dxa" w:w="1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内部往来核对</w:t>
            </w:r>
          </w:p>
        </w:tc>
        <w:tc>
          <w:tcPr>
            <w:tcW w:type="dxa" w:w="31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查看样例关系，填写差异核对说明</w:t>
            </w:r>
          </w:p>
        </w:tc>
        <w:tc>
          <w:tcPr>
            <w:tcW w:type="dxa" w:w="3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保存当前期间核对依据；确认说明本身不自动生成抵销分录</w:t>
            </w:r>
          </w:p>
        </w:tc>
      </w:tr>
      <w:tr>
        <w:trPr>
          <w:cantSplit/>
        </w:trPr>
        <w:tc>
          <w:tcPr>
            <w:tcW w:type="dxa" w:w="1265"/>
            <w:vAlign w:val="top"/>
            <w:tcMar>
              <w:top w:w="65" w:type="dxa"/>
              <w:bottom w:w="65" w:type="dxa"/>
              <w:left w:w="65" w:type="dxa"/>
              <w:right w:w="65" w:type="dxa"/>
            </w:tcMar>
          </w:tcPr>
          <w:p>
            <w:pPr>
              <w:spacing w:before="30" w:after="30" w:line="252" w:lineRule="auto"/>
            </w:pPr>
            <w:r>
              <w:rPr>
                <w:rFonts w:ascii="Arial" w:hAnsi="Arial" w:eastAsia="宋体"/>
                <w:b w:val="0"/>
                <w:i w:val="0"/>
                <w:sz w:val="18"/>
              </w:rPr>
              <w:t>9</w:t>
            </w:r>
          </w:p>
        </w:tc>
        <w:tc>
          <w:tcPr>
            <w:tcW w:type="dxa" w:w="1581"/>
            <w:vAlign w:val="top"/>
            <w:tcMar>
              <w:top w:w="65" w:type="dxa"/>
              <w:bottom w:w="65" w:type="dxa"/>
              <w:left w:w="65" w:type="dxa"/>
              <w:right w:w="65" w:type="dxa"/>
            </w:tcMar>
          </w:tcPr>
          <w:p>
            <w:pPr>
              <w:spacing w:before="30" w:after="30" w:line="252" w:lineRule="auto"/>
            </w:pPr>
            <w:r>
              <w:rPr>
                <w:rFonts w:ascii="Arial" w:hAnsi="Arial" w:eastAsia="宋体"/>
                <w:b w:val="0"/>
                <w:i w:val="0"/>
                <w:sz w:val="18"/>
              </w:rPr>
              <w:t>抵销与调整凭证</w:t>
            </w:r>
          </w:p>
        </w:tc>
        <w:tc>
          <w:tcPr>
            <w:tcW w:type="dxa" w:w="3124"/>
            <w:vAlign w:val="top"/>
            <w:tcMar>
              <w:top w:w="65" w:type="dxa"/>
              <w:bottom w:w="65" w:type="dxa"/>
              <w:left w:w="65" w:type="dxa"/>
              <w:right w:w="65" w:type="dxa"/>
            </w:tcMar>
          </w:tcPr>
          <w:p>
            <w:pPr>
              <w:spacing w:before="30" w:after="30" w:line="252" w:lineRule="auto"/>
            </w:pPr>
            <w:r>
              <w:rPr>
                <w:rFonts w:ascii="Arial" w:hAnsi="Arial" w:eastAsia="宋体"/>
                <w:b w:val="0"/>
                <w:i w:val="0"/>
                <w:sz w:val="18"/>
              </w:rPr>
              <w:t>填写摘要、原因、分录；含现金时选择类别；审批</w:t>
            </w:r>
          </w:p>
        </w:tc>
        <w:tc>
          <w:tcPr>
            <w:tcW w:type="dxa" w:w="3669"/>
            <w:vAlign w:val="top"/>
            <w:tcMar>
              <w:top w:w="65" w:type="dxa"/>
              <w:bottom w:w="65" w:type="dxa"/>
              <w:left w:w="65" w:type="dxa"/>
              <w:right w:w="65" w:type="dxa"/>
            </w:tcMar>
          </w:tcPr>
          <w:p>
            <w:pPr>
              <w:spacing w:before="30" w:after="30" w:line="252" w:lineRule="auto"/>
            </w:pPr>
            <w:r>
              <w:rPr>
                <w:rFonts w:ascii="Arial" w:hAnsi="Arial" w:eastAsia="宋体"/>
                <w:b w:val="0"/>
                <w:i w:val="0"/>
                <w:sz w:val="18"/>
              </w:rPr>
              <w:t>平衡草稿、负责人审批及财务影响；草稿不进入报表</w:t>
            </w:r>
          </w:p>
        </w:tc>
      </w:tr>
      <w:tr>
        <w:trPr>
          <w:cantSplit/>
        </w:trPr>
        <w:tc>
          <w:tcPr>
            <w:tcW w:type="dxa" w:w="1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10</w:t>
            </w:r>
          </w:p>
        </w:tc>
        <w:tc>
          <w:tcPr>
            <w:tcW w:type="dxa" w:w="1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关账校验与签核</w:t>
            </w:r>
          </w:p>
        </w:tc>
        <w:tc>
          <w:tcPr>
            <w:tcW w:type="dxa" w:w="31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复核报送、运行校验、填写说明、签核、重新打开</w:t>
            </w:r>
          </w:p>
        </w:tc>
        <w:tc>
          <w:tcPr>
            <w:tcW w:type="dxa" w:w="3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按期间保存检查及保护状态；财务数据变化使旧确认失效</w:t>
            </w:r>
          </w:p>
        </w:tc>
      </w:tr>
      <w:tr>
        <w:trPr>
          <w:cantSplit/>
        </w:trPr>
        <w:tc>
          <w:tcPr>
            <w:tcW w:type="dxa" w:w="1265"/>
            <w:vAlign w:val="top"/>
            <w:tcMar>
              <w:top w:w="65" w:type="dxa"/>
              <w:bottom w:w="65" w:type="dxa"/>
              <w:left w:w="65" w:type="dxa"/>
              <w:right w:w="65" w:type="dxa"/>
            </w:tcMar>
          </w:tcPr>
          <w:p>
            <w:pPr>
              <w:spacing w:before="30" w:after="30" w:line="252" w:lineRule="auto"/>
            </w:pPr>
            <w:r>
              <w:rPr>
                <w:rFonts w:ascii="Arial" w:hAnsi="Arial" w:eastAsia="宋体"/>
                <w:b w:val="0"/>
                <w:i w:val="0"/>
                <w:sz w:val="18"/>
              </w:rPr>
              <w:t>11</w:t>
            </w:r>
          </w:p>
        </w:tc>
        <w:tc>
          <w:tcPr>
            <w:tcW w:type="dxa" w:w="1581"/>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集团三张报表</w:t>
            </w:r>
          </w:p>
        </w:tc>
        <w:tc>
          <w:tcPr>
            <w:tcW w:type="dxa" w:w="3124"/>
            <w:vAlign w:val="top"/>
            <w:tcMar>
              <w:top w:w="65" w:type="dxa"/>
              <w:bottom w:w="65" w:type="dxa"/>
              <w:left w:w="65" w:type="dxa"/>
              <w:right w:w="65" w:type="dxa"/>
            </w:tcMar>
          </w:tcPr>
          <w:p>
            <w:pPr>
              <w:spacing w:before="30" w:after="30" w:line="252" w:lineRule="auto"/>
            </w:pPr>
            <w:r>
              <w:rPr>
                <w:rFonts w:ascii="Arial" w:hAnsi="Arial" w:eastAsia="宋体"/>
                <w:b w:val="0"/>
                <w:i w:val="0"/>
                <w:sz w:val="18"/>
              </w:rPr>
              <w:t>切换利润表、资产负债表、现金流量表；追溯和导出</w:t>
            </w:r>
          </w:p>
        </w:tc>
        <w:tc>
          <w:tcPr>
            <w:tcW w:type="dxa" w:w="3669"/>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当前口径的实际报表、预算比较及三表勾稽结果</w:t>
            </w:r>
          </w:p>
        </w:tc>
      </w:tr>
      <w:tr>
        <w:trPr>
          <w:cantSplit/>
        </w:trPr>
        <w:tc>
          <w:tcPr>
            <w:tcW w:type="dxa" w:w="1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12</w:t>
            </w:r>
          </w:p>
        </w:tc>
        <w:tc>
          <w:tcPr>
            <w:tcW w:type="dxa" w:w="1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预算周期与审批</w:t>
            </w:r>
          </w:p>
        </w:tc>
        <w:tc>
          <w:tcPr>
            <w:tcW w:type="dxa" w:w="31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提交、集团审核、锁定；查看版本及记录</w:t>
            </w:r>
          </w:p>
        </w:tc>
        <w:tc>
          <w:tcPr>
            <w:tcW w:type="dxa" w:w="3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编制中、审核中、已审批、已锁定的真实状态控制</w:t>
            </w:r>
          </w:p>
        </w:tc>
      </w:tr>
      <w:tr>
        <w:trPr>
          <w:cantSplit/>
        </w:trPr>
        <w:tc>
          <w:tcPr>
            <w:tcW w:type="dxa" w:w="1265"/>
            <w:vAlign w:val="top"/>
            <w:tcMar>
              <w:top w:w="65" w:type="dxa"/>
              <w:bottom w:w="65" w:type="dxa"/>
              <w:left w:w="65" w:type="dxa"/>
              <w:right w:w="65" w:type="dxa"/>
            </w:tcMar>
          </w:tcPr>
          <w:p>
            <w:pPr>
              <w:spacing w:before="30" w:after="30" w:line="252" w:lineRule="auto"/>
            </w:pPr>
            <w:r>
              <w:rPr>
                <w:rFonts w:ascii="Arial" w:hAnsi="Arial" w:eastAsia="宋体"/>
                <w:b w:val="0"/>
                <w:i w:val="0"/>
                <w:sz w:val="18"/>
              </w:rPr>
              <w:t>13</w:t>
            </w:r>
          </w:p>
        </w:tc>
        <w:tc>
          <w:tcPr>
            <w:tcW w:type="dxa" w:w="1581"/>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预算编制与分摊</w:t>
            </w:r>
          </w:p>
        </w:tc>
        <w:tc>
          <w:tcPr>
            <w:tcW w:type="dxa" w:w="3124"/>
            <w:vAlign w:val="top"/>
            <w:tcMar>
              <w:top w:w="65" w:type="dxa"/>
              <w:bottom w:w="65" w:type="dxa"/>
              <w:left w:w="65" w:type="dxa"/>
              <w:right w:w="65" w:type="dxa"/>
            </w:tcMar>
          </w:tcPr>
          <w:p>
            <w:pPr>
              <w:spacing w:before="30" w:after="30" w:line="252" w:lineRule="auto"/>
            </w:pPr>
            <w:r>
              <w:rPr>
                <w:rFonts w:ascii="Arial" w:hAnsi="Arial" w:eastAsia="宋体"/>
                <w:b w:val="0"/>
                <w:i w:val="0"/>
                <w:sz w:val="18"/>
              </w:rPr>
              <w:t>调整四层目标、量价驱动、分摊、业务明细</w:t>
            </w:r>
          </w:p>
        </w:tc>
        <w:tc>
          <w:tcPr>
            <w:tcW w:type="dxa" w:w="3669"/>
            <w:vAlign w:val="top"/>
            <w:tcMar>
              <w:top w:w="65" w:type="dxa"/>
              <w:bottom w:w="65" w:type="dxa"/>
              <w:left w:w="65" w:type="dxa"/>
              <w:right w:w="65" w:type="dxa"/>
            </w:tcMar>
          </w:tcPr>
          <w:p>
            <w:pPr>
              <w:spacing w:before="30" w:after="30" w:line="252" w:lineRule="auto"/>
            </w:pPr>
            <w:r>
              <w:rPr>
                <w:rFonts w:ascii="Arial" w:hAnsi="Arial" w:eastAsia="宋体"/>
                <w:b w:val="0"/>
                <w:i w:val="0"/>
                <w:sz w:val="18"/>
              </w:rPr>
              <w:t>保存当前版本；销售目标影响预实基准，业务明细独立保存</w:t>
            </w:r>
          </w:p>
        </w:tc>
      </w:tr>
      <w:tr>
        <w:trPr>
          <w:cantSplit/>
        </w:trPr>
        <w:tc>
          <w:tcPr>
            <w:tcW w:type="dxa" w:w="1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14</w:t>
            </w:r>
          </w:p>
        </w:tc>
        <w:tc>
          <w:tcPr>
            <w:tcW w:type="dxa" w:w="1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预算调整与滚动预测</w:t>
            </w:r>
          </w:p>
        </w:tc>
        <w:tc>
          <w:tcPr>
            <w:tcW w:type="dxa" w:w="31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提出层级增减、填写原因、审批或退回；复制预测版本</w:t>
            </w:r>
          </w:p>
        </w:tc>
        <w:tc>
          <w:tcPr>
            <w:tcW w:type="dxa" w:w="3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来源快照、调整申请和独立批准版本；原版本保留</w:t>
            </w:r>
          </w:p>
        </w:tc>
      </w:tr>
      <w:tr>
        <w:trPr>
          <w:cantSplit/>
        </w:trPr>
        <w:tc>
          <w:tcPr>
            <w:tcW w:type="dxa" w:w="1265"/>
            <w:vAlign w:val="top"/>
            <w:tcMar>
              <w:top w:w="65" w:type="dxa"/>
              <w:bottom w:w="65" w:type="dxa"/>
              <w:left w:w="65" w:type="dxa"/>
              <w:right w:w="65" w:type="dxa"/>
            </w:tcMar>
          </w:tcPr>
          <w:p>
            <w:pPr>
              <w:spacing w:before="30" w:after="30" w:line="252" w:lineRule="auto"/>
            </w:pPr>
            <w:r>
              <w:rPr>
                <w:rFonts w:ascii="Arial" w:hAnsi="Arial" w:eastAsia="宋体"/>
                <w:b w:val="0"/>
                <w:i w:val="0"/>
                <w:sz w:val="18"/>
              </w:rPr>
              <w:t>15</w:t>
            </w:r>
          </w:p>
        </w:tc>
        <w:tc>
          <w:tcPr>
            <w:tcW w:type="dxa" w:w="1581"/>
            <w:vAlign w:val="top"/>
            <w:tcMar>
              <w:top w:w="65" w:type="dxa"/>
              <w:bottom w:w="65" w:type="dxa"/>
              <w:left w:w="65" w:type="dxa"/>
              <w:right w:w="65" w:type="dxa"/>
            </w:tcMar>
          </w:tcPr>
          <w:p>
            <w:pPr>
              <w:spacing w:before="30" w:after="30" w:line="252" w:lineRule="auto"/>
            </w:pPr>
            <w:r>
              <w:rPr>
                <w:rFonts w:ascii="Arial" w:hAnsi="Arial" w:eastAsia="宋体"/>
                <w:b w:val="0"/>
                <w:i w:val="0"/>
                <w:sz w:val="18"/>
              </w:rPr>
              <w:t>版本与多情景</w:t>
            </w:r>
          </w:p>
        </w:tc>
        <w:tc>
          <w:tcPr>
            <w:tcW w:type="dxa" w:w="3124"/>
            <w:vAlign w:val="top"/>
            <w:tcMar>
              <w:top w:w="65" w:type="dxa"/>
              <w:bottom w:w="65" w:type="dxa"/>
              <w:left w:w="65" w:type="dxa"/>
              <w:right w:w="65" w:type="dxa"/>
            </w:tcMar>
          </w:tcPr>
          <w:p>
            <w:pPr>
              <w:spacing w:before="30" w:after="30" w:line="252" w:lineRule="auto"/>
            </w:pPr>
            <w:r>
              <w:rPr>
                <w:rFonts w:ascii="Arial" w:hAnsi="Arial" w:eastAsia="宋体"/>
                <w:b w:val="0"/>
                <w:i w:val="0"/>
                <w:sz w:val="18"/>
              </w:rPr>
              <w:t>复制完整版本、切换版本、查看比较</w:t>
            </w:r>
          </w:p>
        </w:tc>
        <w:tc>
          <w:tcPr>
            <w:tcW w:type="dxa" w:w="3669"/>
            <w:vAlign w:val="top"/>
            <w:tcMar>
              <w:top w:w="65" w:type="dxa"/>
              <w:bottom w:w="65" w:type="dxa"/>
              <w:left w:w="65" w:type="dxa"/>
              <w:right w:w="65" w:type="dxa"/>
            </w:tcMar>
          </w:tcPr>
          <w:p>
            <w:pPr>
              <w:spacing w:before="30" w:after="30" w:line="252" w:lineRule="auto"/>
            </w:pPr>
            <w:r>
              <w:rPr>
                <w:rFonts w:ascii="Arial" w:hAnsi="Arial" w:eastAsia="宋体"/>
                <w:b w:val="0"/>
                <w:i w:val="0"/>
                <w:sz w:val="18"/>
              </w:rPr>
              <w:t>金额、分摊、业务明细和状态随版本独立保存</w:t>
            </w:r>
          </w:p>
        </w:tc>
      </w:tr>
      <w:tr>
        <w:trPr>
          <w:cantSplit/>
        </w:trPr>
        <w:tc>
          <w:tcPr>
            <w:tcW w:type="dxa" w:w="1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16</w:t>
            </w:r>
          </w:p>
        </w:tc>
        <w:tc>
          <w:tcPr>
            <w:tcW w:type="dxa" w:w="1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经营差异与钻取</w:t>
            </w:r>
          </w:p>
        </w:tc>
        <w:tc>
          <w:tcPr>
            <w:tcW w:type="dxa" w:w="31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选择法人，查看差异桥和法人贡献；导出</w:t>
            </w:r>
          </w:p>
        </w:tc>
        <w:tc>
          <w:tcPr>
            <w:tcW w:type="dxa" w:w="3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实际与当前预算版本比较，并追溯报送及凭证构成</w:t>
            </w:r>
          </w:p>
        </w:tc>
      </w:tr>
      <w:tr>
        <w:trPr>
          <w:cantSplit/>
        </w:trPr>
        <w:tc>
          <w:tcPr>
            <w:tcW w:type="dxa" w:w="1265"/>
            <w:vAlign w:val="top"/>
            <w:tcMar>
              <w:top w:w="65" w:type="dxa"/>
              <w:bottom w:w="65" w:type="dxa"/>
              <w:left w:w="65" w:type="dxa"/>
              <w:right w:w="65" w:type="dxa"/>
            </w:tcMar>
          </w:tcPr>
          <w:p>
            <w:pPr>
              <w:spacing w:before="30" w:after="30" w:line="252" w:lineRule="auto"/>
            </w:pPr>
            <w:r>
              <w:rPr>
                <w:rFonts w:ascii="Arial" w:hAnsi="Arial" w:eastAsia="宋体"/>
                <w:b w:val="0"/>
                <w:i w:val="0"/>
                <w:sz w:val="18"/>
              </w:rPr>
              <w:t>17</w:t>
            </w:r>
          </w:p>
        </w:tc>
        <w:tc>
          <w:tcPr>
            <w:tcW w:type="dxa" w:w="1581"/>
            <w:vAlign w:val="top"/>
            <w:tcMar>
              <w:top w:w="65" w:type="dxa"/>
              <w:bottom w:w="65" w:type="dxa"/>
              <w:left w:w="65" w:type="dxa"/>
              <w:right w:w="65" w:type="dxa"/>
            </w:tcMar>
          </w:tcPr>
          <w:p>
            <w:pPr>
              <w:spacing w:before="30" w:after="30" w:line="252" w:lineRule="auto"/>
            </w:pPr>
            <w:r>
              <w:rPr>
                <w:rFonts w:ascii="Arial" w:hAnsi="Arial" w:eastAsia="宋体"/>
                <w:b w:val="0"/>
                <w:i w:val="0"/>
                <w:sz w:val="18"/>
              </w:rPr>
              <w:t>管理报表中心</w:t>
            </w:r>
          </w:p>
        </w:tc>
        <w:tc>
          <w:tcPr>
            <w:tcW w:type="dxa" w:w="3124"/>
            <w:vAlign w:val="top"/>
            <w:tcMar>
              <w:top w:w="65" w:type="dxa"/>
              <w:bottom w:w="65" w:type="dxa"/>
              <w:left w:w="65" w:type="dxa"/>
              <w:right w:w="65" w:type="dxa"/>
            </w:tcMar>
          </w:tcPr>
          <w:p>
            <w:pPr>
              <w:spacing w:before="30" w:after="30" w:line="252" w:lineRule="auto"/>
            </w:pPr>
            <w:r>
              <w:rPr>
                <w:rFonts w:ascii="Arial" w:hAnsi="Arial" w:eastAsia="宋体"/>
                <w:b w:val="0"/>
                <w:i w:val="0"/>
                <w:sz w:val="18"/>
              </w:rPr>
              <w:t>打开三表、分析、关账、报送等报表入口；打印</w:t>
            </w:r>
          </w:p>
        </w:tc>
        <w:tc>
          <w:tcPr>
            <w:tcW w:type="dxa" w:w="3669"/>
            <w:vAlign w:val="top"/>
            <w:tcMar>
              <w:top w:w="65" w:type="dxa"/>
              <w:bottom w:w="65" w:type="dxa"/>
              <w:left w:w="65" w:type="dxa"/>
              <w:right w:w="65" w:type="dxa"/>
            </w:tcMar>
          </w:tcPr>
          <w:p>
            <w:pPr>
              <w:spacing w:before="30" w:after="30" w:line="252" w:lineRule="auto"/>
            </w:pPr>
            <w:r>
              <w:rPr>
                <w:rFonts w:ascii="Arial" w:hAnsi="Arial" w:eastAsia="宋体"/>
                <w:b w:val="0"/>
                <w:i w:val="0"/>
                <w:sz w:val="18"/>
              </w:rPr>
              <w:t>集中进入当前可用报表视图；导出取当前已保存数据</w:t>
            </w:r>
          </w:p>
        </w:tc>
      </w:tr>
      <w:tr>
        <w:trPr>
          <w:cantSplit/>
        </w:trPr>
        <w:tc>
          <w:tcPr>
            <w:tcW w:type="dxa" w:w="1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18</w:t>
            </w:r>
          </w:p>
        </w:tc>
        <w:tc>
          <w:tcPr>
            <w:tcW w:type="dxa" w:w="1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组织权限</w:t>
            </w:r>
          </w:p>
        </w:tc>
        <w:tc>
          <w:tcPr>
            <w:tcW w:type="dxa" w:w="31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切换三种演示角色，查看权限矩阵</w:t>
            </w:r>
          </w:p>
        </w:tc>
        <w:tc>
          <w:tcPr>
            <w:tcW w:type="dxa" w:w="3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服务端检查写入及审批职责；单机演示不等于生产组织隔离</w:t>
            </w:r>
          </w:p>
        </w:tc>
      </w:tr>
      <w:tr>
        <w:trPr>
          <w:cantSplit/>
        </w:trPr>
        <w:tc>
          <w:tcPr>
            <w:tcW w:type="dxa" w:w="1265"/>
            <w:vAlign w:val="top"/>
            <w:tcMar>
              <w:top w:w="65" w:type="dxa"/>
              <w:bottom w:w="65" w:type="dxa"/>
              <w:left w:w="65" w:type="dxa"/>
              <w:right w:w="65" w:type="dxa"/>
            </w:tcMar>
          </w:tcPr>
          <w:p>
            <w:pPr>
              <w:spacing w:before="30" w:after="30" w:line="252" w:lineRule="auto"/>
            </w:pPr>
            <w:r>
              <w:rPr>
                <w:rFonts w:ascii="Arial" w:hAnsi="Arial" w:eastAsia="宋体"/>
                <w:b w:val="0"/>
                <w:i w:val="0"/>
                <w:sz w:val="18"/>
              </w:rPr>
              <w:t>19</w:t>
            </w:r>
          </w:p>
        </w:tc>
        <w:tc>
          <w:tcPr>
            <w:tcW w:type="dxa" w:w="1581"/>
            <w:vAlign w:val="top"/>
            <w:tcMar>
              <w:top w:w="65" w:type="dxa"/>
              <w:bottom w:w="65" w:type="dxa"/>
              <w:left w:w="65" w:type="dxa"/>
              <w:right w:w="65" w:type="dxa"/>
            </w:tcMar>
          </w:tcPr>
          <w:p>
            <w:pPr>
              <w:spacing w:before="30" w:after="30" w:line="252" w:lineRule="auto"/>
            </w:pPr>
            <w:r>
              <w:rPr>
                <w:rFonts w:ascii="Arial" w:hAnsi="Arial" w:eastAsia="宋体"/>
                <w:b w:val="0"/>
                <w:i w:val="0"/>
                <w:sz w:val="18"/>
              </w:rPr>
              <w:t>审计轨迹</w:t>
            </w:r>
          </w:p>
        </w:tc>
        <w:tc>
          <w:tcPr>
            <w:tcW w:type="dxa" w:w="3124"/>
            <w:vAlign w:val="top"/>
            <w:tcMar>
              <w:top w:w="65" w:type="dxa"/>
              <w:bottom w:w="65" w:type="dxa"/>
              <w:left w:w="65" w:type="dxa"/>
              <w:right w:w="65" w:type="dxa"/>
            </w:tcMar>
          </w:tcPr>
          <w:p>
            <w:pPr>
              <w:spacing w:before="30" w:after="30" w:line="252" w:lineRule="auto"/>
            </w:pPr>
            <w:r>
              <w:rPr>
                <w:rFonts w:ascii="Arial" w:hAnsi="Arial" w:eastAsia="宋体"/>
                <w:b w:val="0"/>
                <w:i w:val="0"/>
                <w:sz w:val="18"/>
              </w:rPr>
              <w:t>查看及导出时间、角色、中文动作、业务说明</w:t>
            </w:r>
          </w:p>
        </w:tc>
        <w:tc>
          <w:tcPr>
            <w:tcW w:type="dxa" w:w="3669"/>
            <w:vAlign w:val="top"/>
            <w:tcMar>
              <w:top w:w="65" w:type="dxa"/>
              <w:bottom w:w="65" w:type="dxa"/>
              <w:left w:w="65" w:type="dxa"/>
              <w:right w:w="65" w:type="dxa"/>
            </w:tcMar>
          </w:tcPr>
          <w:p>
            <w:pPr>
              <w:spacing w:before="30" w:after="30" w:line="252" w:lineRule="auto"/>
            </w:pPr>
            <w:r>
              <w:rPr>
                <w:rFonts w:ascii="Arial" w:hAnsi="Arial" w:eastAsia="宋体"/>
                <w:b w:val="0"/>
                <w:i w:val="0"/>
                <w:sz w:val="18"/>
              </w:rPr>
              <w:t>读取事务生成的实际操作记录，重启后仍保留</w:t>
            </w:r>
          </w:p>
        </w:tc>
      </w:tr>
      <w:tr>
        <w:trPr>
          <w:cantSplit/>
        </w:trPr>
        <w:tc>
          <w:tcPr>
            <w:tcW w:type="dxa" w:w="1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w:t>
            </w:r>
          </w:p>
        </w:tc>
        <w:tc>
          <w:tcPr>
            <w:tcW w:type="dxa" w:w="15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系统配置</w:t>
            </w:r>
          </w:p>
        </w:tc>
        <w:tc>
          <w:tcPr>
            <w:tcW w:type="dxa" w:w="312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保存集团名称；查看固定年度、语言和本机工具</w:t>
            </w:r>
          </w:p>
        </w:tc>
        <w:tc>
          <w:tcPr>
            <w:tcW w:type="dxa" w:w="36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公司抬头更新；演示年度固定2026，数据位置及安全退出可操作</w:t>
            </w:r>
          </w:p>
        </w:tc>
      </w:tr>
    </w:tbl>
    <w:p>
      <w:pPr>
        <w:spacing w:after="40"/>
      </w:pPr>
    </w:p>
    <w:p>
      <w:pPr>
        <w:pStyle w:val="Heading2"/>
      </w:pPr>
      <w:bookmarkStart w:id="12" w:name="epm_12"/>
      <w:r>
        <w:rPr>
          <w:rFonts w:ascii="Arial" w:hAnsi="Arial" w:eastAsia="宋体"/>
          <w:b w:val="0"/>
          <w:i w:val="0"/>
        </w:rPr>
        <w:t>3.3 页面间如何关联</w:t>
      </w:r>
      <w:bookmarkEnd w:id="12"/>
    </w:p>
    <w:p>
      <w:r>
        <w:rPr>
          <w:rFonts w:ascii="Arial" w:hAnsi="Arial" w:eastAsia="宋体"/>
          <w:b w:val="0"/>
          <w:i w:val="0"/>
        </w:rPr>
        <w:t>“数据接入”和“试算平衡报送”使用同一导入能力，只是展示重点不同。前者回答“数据从哪里来”，后者回答“哪个法人报了、报了什么、是否复核”。“集团三张报表”展示合并后的实际结果，“经营差异与钻取”在同一实际结果上增加预算比较；不能把两者不同的法人范围或期间混在一起判断差异。</w:t>
      </w:r>
    </w:p>
    <w:p>
      <w:r>
        <w:rPr>
          <w:rFonts w:ascii="Arial" w:hAnsi="Arial" w:eastAsia="宋体"/>
          <w:b w:val="0"/>
          <w:i w:val="0"/>
        </w:rPr>
        <w:t>“内部往来核对”保存核对说明，“抵销与调整凭证”保存财务分录，两者作用不同。点击确认说明不会将一笔内部差异自动抵销；需要财务影响时，应通过已审批凭证或正式研发的抵销规则实现。“关账校验与签核”则检查过程是否已经完成，并保护当前期间。</w:t>
      </w:r>
    </w:p>
    <w:p>
      <w:r>
        <w:rPr>
          <w:rFonts w:ascii="Arial" w:hAnsi="Arial" w:eastAsia="宋体"/>
          <w:b w:val="0"/>
          <w:i w:val="0"/>
        </w:rPr>
        <w:t>预算的“当前活跃版本”是演示环境中已保存的选择，切换后相关页面使用同一版本。复制版本会带走完整快照，适合评审不同目标方案；切换版本不等于导入实际数，也不会将预测数写成实际数。</w:t>
      </w:r>
    </w:p>
    <w:p>
      <w:pPr>
        <w:pStyle w:val="Heading1"/>
      </w:pPr>
      <w:bookmarkStart w:id="13" w:name="epm_13"/>
      <w:r>
        <w:rPr>
          <w:rFonts w:ascii="Arial" w:hAnsi="Arial" w:eastAsia="宋体"/>
          <w:b w:val="0"/>
          <w:i w:val="0"/>
        </w:rPr>
        <w:t>4. 数据口径、角色与共同规则</w:t>
      </w:r>
      <w:bookmarkEnd w:id="13"/>
    </w:p>
    <w:p>
      <w:pPr>
        <w:pStyle w:val="Heading2"/>
      </w:pPr>
      <w:bookmarkStart w:id="14" w:name="epm_14"/>
      <w:r>
        <w:rPr>
          <w:rFonts w:ascii="Arial" w:hAnsi="Arial" w:eastAsia="宋体"/>
          <w:b w:val="0"/>
          <w:i w:val="0"/>
        </w:rPr>
        <w:t>4.1 默认范围及金额单位</w:t>
      </w:r>
      <w:bookmarkEnd w:id="14"/>
    </w:p>
    <w:tbl>
      <w:tblPr>
        <w:tblStyle w:val="TableGrid"/>
        <w:tblW w:type="auto" w:w="0"/>
        <w:jc w:val="center"/>
        <w:tblLayout w:type="fixed"/>
        <w:tblLook w:firstColumn="1" w:firstRow="1" w:lastColumn="0" w:lastRow="0" w:noHBand="0" w:noVBand="1" w:val="04A0"/>
      </w:tblPr>
      <w:tblGrid>
        <w:gridCol w:w="1820"/>
        <w:gridCol w:w="3688"/>
        <w:gridCol w:w="4130"/>
      </w:tblGrid>
      <w:tr>
        <w:trPr>
          <w:cantSplit/>
          <w:tblHeader w:val="true"/>
        </w:trPr>
        <w:tc>
          <w:tcPr>
            <w:tcW w:type="dxa" w:w="182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口径项</w:t>
            </w:r>
          </w:p>
        </w:tc>
        <w:tc>
          <w:tcPr>
            <w:tcW w:type="dxa" w:w="36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当前约定</w:t>
            </w:r>
          </w:p>
        </w:tc>
        <w:tc>
          <w:tcPr>
            <w:tcW w:type="dxa" w:w="41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评审时应注意</w:t>
            </w:r>
          </w:p>
        </w:tc>
      </w:tr>
      <w:tr>
        <w:trPr>
          <w:cantSplit/>
        </w:trPr>
        <w:tc>
          <w:tcPr>
            <w:tcW w:type="dxa" w:w="1820"/>
            <w:vAlign w:val="top"/>
            <w:tcMar>
              <w:top w:w="65" w:type="dxa"/>
              <w:bottom w:w="65" w:type="dxa"/>
              <w:left w:w="65" w:type="dxa"/>
              <w:right w:w="65" w:type="dxa"/>
            </w:tcMar>
          </w:tcPr>
          <w:p>
            <w:pPr>
              <w:spacing w:before="30" w:after="30" w:line="252" w:lineRule="auto"/>
            </w:pPr>
            <w:r>
              <w:rPr>
                <w:rFonts w:ascii="Arial" w:hAnsi="Arial" w:eastAsia="宋体"/>
                <w:b w:val="0"/>
                <w:i w:val="0"/>
                <w:sz w:val="19"/>
              </w:rPr>
              <w:t>公司名称</w:t>
            </w:r>
          </w:p>
        </w:tc>
        <w:tc>
          <w:tcPr>
            <w:tcW w:type="dxa" w:w="3688"/>
            <w:vAlign w:val="top"/>
            <w:tcMar>
              <w:top w:w="65" w:type="dxa"/>
              <w:bottom w:w="65" w:type="dxa"/>
              <w:left w:w="65" w:type="dxa"/>
              <w:right w:w="65" w:type="dxa"/>
            </w:tcMar>
          </w:tcPr>
          <w:p>
            <w:pPr>
              <w:spacing w:before="30" w:after="30" w:line="252" w:lineRule="auto"/>
            </w:pPr>
            <w:r>
              <w:rPr>
                <w:rFonts w:ascii="Arial" w:hAnsi="Arial" w:eastAsia="宋体"/>
                <w:b w:val="0"/>
                <w:i w:val="0"/>
                <w:sz w:val="19"/>
              </w:rPr>
              <w:t>杭州天元宠物用品有限公司</w:t>
            </w:r>
          </w:p>
        </w:tc>
        <w:tc>
          <w:tcPr>
            <w:tcW w:type="dxa" w:w="4130"/>
            <w:vAlign w:val="top"/>
            <w:tcMar>
              <w:top w:w="65" w:type="dxa"/>
              <w:bottom w:w="65" w:type="dxa"/>
              <w:left w:w="65" w:type="dxa"/>
              <w:right w:w="65" w:type="dxa"/>
            </w:tcMar>
          </w:tcPr>
          <w:p>
            <w:pPr>
              <w:spacing w:before="30" w:after="30" w:line="252" w:lineRule="auto"/>
            </w:pPr>
            <w:r>
              <w:rPr>
                <w:rFonts w:ascii="Arial" w:hAnsi="Arial" w:eastAsia="宋体"/>
                <w:b w:val="0"/>
                <w:i w:val="0"/>
                <w:sz w:val="19"/>
              </w:rPr>
              <w:t>主体名称由用户提供，不代表已经连接其真实财务数据</w:t>
            </w:r>
          </w:p>
        </w:tc>
      </w:tr>
      <w:tr>
        <w:trPr>
          <w:cantSplit/>
        </w:trPr>
        <w:tc>
          <w:tcPr>
            <w:tcW w:type="dxa" w:w="18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会计年度</w:t>
            </w:r>
          </w:p>
        </w:tc>
        <w:tc>
          <w:tcPr>
            <w:tcW w:type="dxa" w:w="3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2026年，固定</w:t>
            </w:r>
          </w:p>
        </w:tc>
        <w:tc>
          <w:tcPr>
            <w:tcW w:type="dxa" w:w="41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新年度建账属于后续研发，不通过修改标签迁移账套</w:t>
            </w:r>
          </w:p>
        </w:tc>
      </w:tr>
      <w:tr>
        <w:trPr>
          <w:cantSplit/>
        </w:trPr>
        <w:tc>
          <w:tcPr>
            <w:tcW w:type="dxa" w:w="1820"/>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财务期间</w:t>
            </w:r>
          </w:p>
        </w:tc>
        <w:tc>
          <w:tcPr>
            <w:tcW w:type="dxa" w:w="3688"/>
            <w:vAlign w:val="top"/>
            <w:tcMar>
              <w:top w:w="65" w:type="dxa"/>
              <w:bottom w:w="65" w:type="dxa"/>
              <w:left w:w="65" w:type="dxa"/>
              <w:right w:w="65" w:type="dxa"/>
            </w:tcMar>
          </w:tcPr>
          <w:p>
            <w:pPr>
              <w:spacing w:before="30" w:after="30" w:line="252" w:lineRule="auto"/>
            </w:pPr>
            <w:r>
              <w:rPr>
                <w:rFonts w:ascii="Arial" w:hAnsi="Arial" w:eastAsia="宋体"/>
                <w:b w:val="0"/>
                <w:i w:val="0"/>
                <w:sz w:val="19"/>
              </w:rPr>
              <w:t>1—12期，按月</w:t>
            </w:r>
          </w:p>
        </w:tc>
        <w:tc>
          <w:tcPr>
            <w:tcW w:type="dxa" w:w="4130"/>
            <w:vAlign w:val="top"/>
            <w:tcMar>
              <w:top w:w="65" w:type="dxa"/>
              <w:bottom w:w="65" w:type="dxa"/>
              <w:left w:w="65" w:type="dxa"/>
              <w:right w:w="65" w:type="dxa"/>
            </w:tcMar>
          </w:tcPr>
          <w:p>
            <w:pPr>
              <w:spacing w:before="30" w:after="30" w:line="252" w:lineRule="auto"/>
            </w:pPr>
            <w:r>
              <w:rPr>
                <w:rFonts w:ascii="Arial" w:hAnsi="Arial" w:eastAsia="宋体"/>
                <w:b w:val="0"/>
                <w:i w:val="0"/>
                <w:sz w:val="19"/>
              </w:rPr>
              <w:t>初始化实际数据截至9期，10—12期未独立导入时沿用9期累计</w:t>
            </w:r>
          </w:p>
        </w:tc>
      </w:tr>
      <w:tr>
        <w:trPr>
          <w:cantSplit/>
        </w:trPr>
        <w:tc>
          <w:tcPr>
            <w:tcW w:type="dxa" w:w="18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默认视图</w:t>
            </w:r>
          </w:p>
        </w:tc>
        <w:tc>
          <w:tcPr>
            <w:tcW w:type="dxa" w:w="3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集团、2026年09期、人民币CNY、集团合并口径</w:t>
            </w:r>
          </w:p>
        </w:tc>
        <w:tc>
          <w:tcPr>
            <w:tcW w:type="dxa" w:w="41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本说明书明确数值的案例默认采用此口径</w:t>
            </w:r>
          </w:p>
        </w:tc>
      </w:tr>
      <w:tr>
        <w:trPr>
          <w:cantSplit/>
        </w:trPr>
        <w:tc>
          <w:tcPr>
            <w:tcW w:type="dxa" w:w="1820"/>
            <w:vAlign w:val="top"/>
            <w:tcMar>
              <w:top w:w="65" w:type="dxa"/>
              <w:bottom w:w="65" w:type="dxa"/>
              <w:left w:w="65" w:type="dxa"/>
              <w:right w:w="65" w:type="dxa"/>
            </w:tcMar>
          </w:tcPr>
          <w:p>
            <w:pPr>
              <w:spacing w:before="30" w:after="30" w:line="252" w:lineRule="auto"/>
            </w:pPr>
            <w:r>
              <w:rPr>
                <w:rFonts w:ascii="Arial" w:hAnsi="Arial" w:eastAsia="宋体"/>
                <w:b w:val="0"/>
                <w:i w:val="0"/>
                <w:sz w:val="19"/>
              </w:rPr>
              <w:t>源数据及录入单位</w:t>
            </w:r>
          </w:p>
        </w:tc>
        <w:tc>
          <w:tcPr>
            <w:tcW w:type="dxa" w:w="3688"/>
            <w:vAlign w:val="top"/>
            <w:tcMar>
              <w:top w:w="65" w:type="dxa"/>
              <w:bottom w:w="65" w:type="dxa"/>
              <w:left w:w="65" w:type="dxa"/>
              <w:right w:w="65" w:type="dxa"/>
            </w:tcMar>
          </w:tcPr>
          <w:p>
            <w:pPr>
              <w:spacing w:before="30" w:after="30" w:line="252" w:lineRule="auto"/>
            </w:pPr>
            <w:r>
              <w:rPr>
                <w:rFonts w:ascii="Arial" w:hAnsi="Arial" w:eastAsia="宋体"/>
                <w:b w:val="0"/>
                <w:i w:val="0"/>
                <w:sz w:val="19"/>
              </w:rPr>
              <w:t>人民币万元</w:t>
            </w:r>
          </w:p>
        </w:tc>
        <w:tc>
          <w:tcPr>
            <w:tcW w:type="dxa" w:w="4130"/>
            <w:vAlign w:val="top"/>
            <w:tcMar>
              <w:top w:w="65" w:type="dxa"/>
              <w:bottom w:w="65" w:type="dxa"/>
              <w:left w:w="65" w:type="dxa"/>
              <w:right w:w="65" w:type="dxa"/>
            </w:tcMar>
          </w:tcPr>
          <w:p>
            <w:pPr>
              <w:spacing w:before="30" w:after="30" w:line="252" w:lineRule="auto"/>
            </w:pPr>
            <w:r>
              <w:rPr>
                <w:rFonts w:ascii="Arial" w:hAnsi="Arial" w:eastAsia="宋体"/>
                <w:b w:val="0"/>
                <w:i w:val="0"/>
                <w:sz w:val="19"/>
              </w:rPr>
              <w:t>即使顶部切为美元，金额录入框仍以人民币万元为准</w:t>
            </w:r>
          </w:p>
        </w:tc>
      </w:tr>
      <w:tr>
        <w:trPr>
          <w:cantSplit/>
        </w:trPr>
        <w:tc>
          <w:tcPr>
            <w:tcW w:type="dxa" w:w="18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美元展示</w:t>
            </w:r>
          </w:p>
        </w:tc>
        <w:tc>
          <w:tcPr>
            <w:tcW w:type="dxa" w:w="3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人民币金额除以已维护的展示汇率</w:t>
            </w:r>
          </w:p>
        </w:tc>
        <w:tc>
          <w:tcPr>
            <w:tcW w:type="dxa" w:w="41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默认1美元=7.1人民币；不是多币种合并折算准则</w:t>
            </w:r>
          </w:p>
        </w:tc>
      </w:tr>
      <w:tr>
        <w:trPr>
          <w:cantSplit/>
        </w:trPr>
        <w:tc>
          <w:tcPr>
            <w:tcW w:type="dxa" w:w="1820"/>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财务报表</w:t>
            </w:r>
          </w:p>
        </w:tc>
        <w:tc>
          <w:tcPr>
            <w:tcW w:type="dxa" w:w="3688"/>
            <w:vAlign w:val="top"/>
            <w:tcMar>
              <w:top w:w="65" w:type="dxa"/>
              <w:bottom w:w="65" w:type="dxa"/>
              <w:left w:w="65" w:type="dxa"/>
              <w:right w:w="65" w:type="dxa"/>
            </w:tcMar>
          </w:tcPr>
          <w:p>
            <w:pPr>
              <w:spacing w:before="30" w:after="30" w:line="252" w:lineRule="auto"/>
            </w:pPr>
            <w:r>
              <w:rPr>
                <w:rFonts w:ascii="Arial" w:hAnsi="Arial" w:eastAsia="宋体"/>
                <w:b w:val="0"/>
                <w:i w:val="0"/>
                <w:sz w:val="19"/>
              </w:rPr>
              <w:t>截至所选期间累计数，资产负债为该期金额</w:t>
            </w:r>
          </w:p>
        </w:tc>
        <w:tc>
          <w:tcPr>
            <w:tcW w:type="dxa" w:w="4130"/>
            <w:vAlign w:val="top"/>
            <w:tcMar>
              <w:top w:w="65" w:type="dxa"/>
              <w:bottom w:w="65" w:type="dxa"/>
              <w:left w:w="65" w:type="dxa"/>
              <w:right w:w="65" w:type="dxa"/>
            </w:tcMar>
          </w:tcPr>
          <w:p>
            <w:pPr>
              <w:spacing w:before="30" w:after="30" w:line="252" w:lineRule="auto"/>
            </w:pPr>
            <w:r>
              <w:rPr>
                <w:rFonts w:ascii="Arial" w:hAnsi="Arial" w:eastAsia="宋体"/>
                <w:b w:val="0"/>
                <w:i w:val="0"/>
                <w:sz w:val="19"/>
              </w:rPr>
              <w:t>趋势图节点是月份发生额，不应与累计卡片直接比较</w:t>
            </w:r>
          </w:p>
        </w:tc>
      </w:tr>
      <w:tr>
        <w:trPr>
          <w:cantSplit/>
        </w:trPr>
        <w:tc>
          <w:tcPr>
            <w:tcW w:type="dxa" w:w="182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w:t>
            </w:r>
          </w:p>
        </w:tc>
        <w:tc>
          <w:tcPr>
            <w:tcW w:type="dxa" w:w="36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全年12期、当前版本</w:t>
            </w:r>
          </w:p>
        </w:tc>
        <w:tc>
          <w:tcPr>
            <w:tcW w:type="dxa" w:w="41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销售收入目标四层汇总；其他比较项应查看演示基准说明</w:t>
            </w:r>
          </w:p>
        </w:tc>
      </w:tr>
    </w:tbl>
    <w:p>
      <w:pPr>
        <w:spacing w:after="40"/>
      </w:pPr>
    </w:p>
    <w:p>
      <w:pPr>
        <w:pStyle w:val="Heading2"/>
      </w:pPr>
      <w:bookmarkStart w:id="15" w:name="epm_15"/>
      <w:r>
        <w:rPr>
          <w:rFonts w:ascii="Arial" w:hAnsi="Arial" w:eastAsia="宋体"/>
          <w:b w:val="0"/>
          <w:i w:val="0"/>
        </w:rPr>
        <w:t>4.2 预置法人及默认实际数</w:t>
      </w:r>
      <w:bookmarkEnd w:id="15"/>
    </w:p>
    <w:tbl>
      <w:tblPr>
        <w:tblStyle w:val="TableGrid"/>
        <w:tblW w:type="auto" w:w="0"/>
        <w:jc w:val="center"/>
        <w:tblLayout w:type="fixed"/>
        <w:tblLook w:firstColumn="1" w:firstRow="1" w:lastColumn="0" w:lastRow="0" w:noHBand="0" w:noVBand="1" w:val="04A0"/>
      </w:tblPr>
      <w:tblGrid>
        <w:gridCol w:w="1545"/>
        <w:gridCol w:w="2061"/>
        <w:gridCol w:w="1930"/>
        <w:gridCol w:w="1794"/>
        <w:gridCol w:w="2307"/>
      </w:tblGrid>
      <w:tr>
        <w:trPr>
          <w:cantSplit/>
          <w:tblHeader w:val="true"/>
        </w:trPr>
        <w:tc>
          <w:tcPr>
            <w:tcW w:type="dxa" w:w="154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法人编码</w:t>
            </w:r>
          </w:p>
        </w:tc>
        <w:tc>
          <w:tcPr>
            <w:tcW w:type="dxa" w:w="206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样例法人</w:t>
            </w:r>
          </w:p>
        </w:tc>
        <w:tc>
          <w:tcPr>
            <w:tcW w:type="dxa" w:w="193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累计收入</w:t>
            </w:r>
          </w:p>
        </w:tc>
        <w:tc>
          <w:tcPr>
            <w:tcW w:type="dxa" w:w="179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累计净利润</w:t>
            </w:r>
          </w:p>
        </w:tc>
        <w:tc>
          <w:tcPr>
            <w:tcW w:type="dxa" w:w="230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说明</w:t>
            </w:r>
          </w:p>
        </w:tc>
      </w:tr>
      <w:tr>
        <w:trPr>
          <w:cantSplit/>
        </w:trPr>
        <w:tc>
          <w:tcPr>
            <w:tcW w:type="dxa" w:w="1545"/>
            <w:vAlign w:val="top"/>
            <w:tcMar>
              <w:top w:w="65" w:type="dxa"/>
              <w:bottom w:w="65" w:type="dxa"/>
              <w:left w:w="65" w:type="dxa"/>
              <w:right w:w="65" w:type="dxa"/>
            </w:tcMar>
          </w:tcPr>
          <w:p>
            <w:pPr>
              <w:spacing w:before="30" w:after="30" w:line="252" w:lineRule="auto"/>
            </w:pPr>
            <w:r>
              <w:rPr>
                <w:rFonts w:ascii="Arial" w:hAnsi="Arial" w:eastAsia="宋体"/>
                <w:b w:val="0"/>
                <w:i w:val="0"/>
                <w:sz w:val="18"/>
              </w:rPr>
              <w:t>TY01</w:t>
            </w:r>
          </w:p>
        </w:tc>
        <w:tc>
          <w:tcPr>
            <w:tcW w:type="dxa" w:w="2061"/>
            <w:vAlign w:val="top"/>
            <w:tcMar>
              <w:top w:w="65" w:type="dxa"/>
              <w:bottom w:w="65" w:type="dxa"/>
              <w:left w:w="65" w:type="dxa"/>
              <w:right w:w="65" w:type="dxa"/>
            </w:tcMar>
          </w:tcPr>
          <w:p>
            <w:pPr>
              <w:spacing w:before="30" w:after="30" w:line="252" w:lineRule="auto"/>
            </w:pPr>
            <w:r>
              <w:rPr>
                <w:rFonts w:ascii="Arial" w:hAnsi="Arial" w:eastAsia="宋体"/>
                <w:b w:val="0"/>
                <w:i w:val="0"/>
                <w:sz w:val="18"/>
              </w:rPr>
              <w:t>天元制造有限公司</w:t>
            </w:r>
          </w:p>
        </w:tc>
        <w:tc>
          <w:tcPr>
            <w:tcW w:type="dxa" w:w="1930"/>
            <w:vAlign w:val="top"/>
            <w:tcMar>
              <w:top w:w="65" w:type="dxa"/>
              <w:bottom w:w="65" w:type="dxa"/>
              <w:left w:w="65" w:type="dxa"/>
              <w:right w:w="65" w:type="dxa"/>
            </w:tcMar>
          </w:tcPr>
          <w:p>
            <w:pPr>
              <w:spacing w:before="30" w:after="30" w:line="252" w:lineRule="auto"/>
            </w:pPr>
            <w:r>
              <w:rPr>
                <w:rFonts w:ascii="Arial" w:hAnsi="Arial" w:eastAsia="宋体"/>
                <w:b w:val="0"/>
                <w:i w:val="0"/>
                <w:sz w:val="18"/>
              </w:rPr>
              <w:t>8,000.00</w:t>
            </w:r>
          </w:p>
        </w:tc>
        <w:tc>
          <w:tcPr>
            <w:tcW w:type="dxa" w:w="1794"/>
            <w:vAlign w:val="top"/>
            <w:tcMar>
              <w:top w:w="65" w:type="dxa"/>
              <w:bottom w:w="65" w:type="dxa"/>
              <w:left w:w="65" w:type="dxa"/>
              <w:right w:w="65" w:type="dxa"/>
            </w:tcMar>
          </w:tcPr>
          <w:p>
            <w:pPr>
              <w:spacing w:before="30" w:after="30" w:line="252" w:lineRule="auto"/>
            </w:pPr>
            <w:r>
              <w:rPr>
                <w:rFonts w:ascii="Arial" w:hAnsi="Arial" w:eastAsia="宋体"/>
                <w:b w:val="0"/>
                <w:i w:val="0"/>
                <w:sz w:val="18"/>
              </w:rPr>
              <w:t>1,125.00</w:t>
            </w:r>
          </w:p>
        </w:tc>
        <w:tc>
          <w:tcPr>
            <w:tcW w:type="dxa" w:w="2307"/>
            <w:vAlign w:val="top"/>
            <w:tcMar>
              <w:top w:w="65" w:type="dxa"/>
              <w:bottom w:w="65" w:type="dxa"/>
              <w:left w:w="65" w:type="dxa"/>
              <w:right w:w="65" w:type="dxa"/>
            </w:tcMar>
          </w:tcPr>
          <w:p>
            <w:pPr>
              <w:spacing w:before="30" w:after="30" w:line="252" w:lineRule="auto"/>
            </w:pPr>
            <w:r>
              <w:rPr>
                <w:rFonts w:ascii="Arial" w:hAnsi="Arial" w:eastAsia="宋体"/>
                <w:b w:val="0"/>
                <w:i w:val="0"/>
                <w:sz w:val="18"/>
              </w:rPr>
              <w:t>虚构法人，抵销前报送口径</w:t>
            </w:r>
          </w:p>
        </w:tc>
      </w:tr>
      <w:tr>
        <w:trPr>
          <w:cantSplit/>
        </w:trPr>
        <w:tc>
          <w:tcPr>
            <w:tcW w:type="dxa" w:w="15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TY02</w:t>
            </w:r>
          </w:p>
        </w:tc>
        <w:tc>
          <w:tcPr>
            <w:tcW w:type="dxa" w:w="20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天元科技有限公司</w:t>
            </w:r>
          </w:p>
        </w:tc>
        <w:tc>
          <w:tcPr>
            <w:tcW w:type="dxa" w:w="19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4,200.00</w:t>
            </w:r>
          </w:p>
        </w:tc>
        <w:tc>
          <w:tcPr>
            <w:tcW w:type="dxa" w:w="17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600.00</w:t>
            </w:r>
          </w:p>
        </w:tc>
        <w:tc>
          <w:tcPr>
            <w:tcW w:type="dxa" w:w="2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虚构法人，抵销前报送口径</w:t>
            </w:r>
          </w:p>
        </w:tc>
      </w:tr>
      <w:tr>
        <w:trPr>
          <w:cantSplit/>
        </w:trPr>
        <w:tc>
          <w:tcPr>
            <w:tcW w:type="dxa" w:w="1545"/>
            <w:vAlign w:val="top"/>
            <w:tcMar>
              <w:top w:w="65" w:type="dxa"/>
              <w:bottom w:w="65" w:type="dxa"/>
              <w:left w:w="65" w:type="dxa"/>
              <w:right w:w="65" w:type="dxa"/>
            </w:tcMar>
          </w:tcPr>
          <w:p>
            <w:pPr>
              <w:spacing w:before="30" w:after="30" w:line="252" w:lineRule="auto"/>
            </w:pPr>
            <w:r>
              <w:rPr>
                <w:rFonts w:ascii="Arial" w:hAnsi="Arial" w:eastAsia="宋体"/>
                <w:b w:val="0"/>
                <w:i w:val="0"/>
                <w:sz w:val="18"/>
              </w:rPr>
              <w:t>TY03</w:t>
            </w:r>
          </w:p>
        </w:tc>
        <w:tc>
          <w:tcPr>
            <w:tcW w:type="dxa" w:w="2061"/>
            <w:vAlign w:val="top"/>
            <w:tcMar>
              <w:top w:w="65" w:type="dxa"/>
              <w:bottom w:w="65" w:type="dxa"/>
              <w:left w:w="65" w:type="dxa"/>
              <w:right w:w="65" w:type="dxa"/>
            </w:tcMar>
          </w:tcPr>
          <w:p>
            <w:pPr>
              <w:spacing w:before="30" w:after="30" w:line="252" w:lineRule="auto"/>
            </w:pPr>
            <w:r>
              <w:rPr>
                <w:rFonts w:ascii="Arial" w:hAnsi="Arial" w:eastAsia="宋体"/>
                <w:b w:val="0"/>
                <w:i w:val="0"/>
                <w:sz w:val="18"/>
              </w:rPr>
              <w:t>天元贸易有限公司</w:t>
            </w:r>
          </w:p>
        </w:tc>
        <w:tc>
          <w:tcPr>
            <w:tcW w:type="dxa" w:w="1930"/>
            <w:vAlign w:val="top"/>
            <w:tcMar>
              <w:top w:w="65" w:type="dxa"/>
              <w:bottom w:w="65" w:type="dxa"/>
              <w:left w:w="65" w:type="dxa"/>
              <w:right w:w="65" w:type="dxa"/>
            </w:tcMar>
          </w:tcPr>
          <w:p>
            <w:pPr>
              <w:spacing w:before="30" w:after="30" w:line="252" w:lineRule="auto"/>
            </w:pPr>
            <w:r>
              <w:rPr>
                <w:rFonts w:ascii="Arial" w:hAnsi="Arial" w:eastAsia="宋体"/>
                <w:b w:val="0"/>
                <w:i w:val="0"/>
                <w:sz w:val="18"/>
              </w:rPr>
              <w:t>2,600.00</w:t>
            </w:r>
          </w:p>
        </w:tc>
        <w:tc>
          <w:tcPr>
            <w:tcW w:type="dxa" w:w="1794"/>
            <w:vAlign w:val="top"/>
            <w:tcMar>
              <w:top w:w="65" w:type="dxa"/>
              <w:bottom w:w="65" w:type="dxa"/>
              <w:left w:w="65" w:type="dxa"/>
              <w:right w:w="65" w:type="dxa"/>
            </w:tcMar>
          </w:tcPr>
          <w:p>
            <w:pPr>
              <w:spacing w:before="30" w:after="30" w:line="252" w:lineRule="auto"/>
            </w:pPr>
            <w:r>
              <w:rPr>
                <w:rFonts w:ascii="Arial" w:hAnsi="Arial" w:eastAsia="宋体"/>
                <w:b w:val="0"/>
                <w:i w:val="0"/>
                <w:sz w:val="18"/>
              </w:rPr>
              <w:t>100.00</w:t>
            </w:r>
          </w:p>
        </w:tc>
        <w:tc>
          <w:tcPr>
            <w:tcW w:type="dxa" w:w="2307"/>
            <w:vAlign w:val="top"/>
            <w:tcMar>
              <w:top w:w="65" w:type="dxa"/>
              <w:bottom w:w="65" w:type="dxa"/>
              <w:left w:w="65" w:type="dxa"/>
              <w:right w:w="65" w:type="dxa"/>
            </w:tcMar>
          </w:tcPr>
          <w:p>
            <w:pPr>
              <w:spacing w:before="30" w:after="30" w:line="252" w:lineRule="auto"/>
            </w:pPr>
            <w:r>
              <w:rPr>
                <w:rFonts w:ascii="Arial" w:hAnsi="Arial" w:eastAsia="宋体"/>
                <w:b w:val="0"/>
                <w:i w:val="0"/>
                <w:sz w:val="18"/>
              </w:rPr>
              <w:t>虚构法人，抵销前报送口径</w:t>
            </w:r>
          </w:p>
        </w:tc>
      </w:tr>
      <w:tr>
        <w:trPr>
          <w:cantSplit/>
        </w:trPr>
        <w:tc>
          <w:tcPr>
            <w:tcW w:type="dxa" w:w="15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集团合并</w:t>
            </w:r>
          </w:p>
        </w:tc>
        <w:tc>
          <w:tcPr>
            <w:tcW w:type="dxa" w:w="20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法人合计加已审批调整</w:t>
            </w:r>
          </w:p>
        </w:tc>
        <w:tc>
          <w:tcPr>
            <w:tcW w:type="dxa" w:w="193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13,000.00</w:t>
            </w:r>
          </w:p>
        </w:tc>
        <w:tc>
          <w:tcPr>
            <w:tcW w:type="dxa" w:w="179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1,720.00</w:t>
            </w:r>
          </w:p>
        </w:tc>
        <w:tc>
          <w:tcPr>
            <w:tcW w:type="dxa" w:w="230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与法人简单相加的结果不同</w:t>
            </w:r>
          </w:p>
        </w:tc>
      </w:tr>
    </w:tbl>
    <w:p>
      <w:pPr>
        <w:spacing w:after="40"/>
      </w:pPr>
    </w:p>
    <w:p>
      <w:r>
        <w:rPr>
          <w:rFonts w:ascii="Arial" w:hAnsi="Arial" w:eastAsia="宋体"/>
          <w:b w:val="0"/>
          <w:i w:val="0"/>
        </w:rPr>
        <w:t>默认法人收入合计为14,800.00万元，已审批内部销售抵销使收入减少1,800.00万元，得到集团收入13,000.00万元。法人净利润合计为1,825.00万元；库存未实现利润及税项调整使净利润减少90.00万元，购买价分摊后续折旧及税项调整使净利润减少15.00万元，合并净利润为1,720.00万元。预置分录用于说明演示计算依据，不代表系统已经能够自动识别真实集团的全部抵销事项。</w:t>
      </w:r>
    </w:p>
    <w:p>
      <w:pPr>
        <w:pStyle w:val="Heading2"/>
      </w:pPr>
      <w:bookmarkStart w:id="16" w:name="epm_16"/>
      <w:r>
        <w:rPr>
          <w:rFonts w:ascii="Arial" w:hAnsi="Arial" w:eastAsia="宋体"/>
          <w:b w:val="0"/>
          <w:i w:val="0"/>
        </w:rPr>
        <w:t>4.3 三种演示角色</w:t>
      </w:r>
      <w:bookmarkEnd w:id="16"/>
    </w:p>
    <w:tbl>
      <w:tblPr>
        <w:tblStyle w:val="TableGrid"/>
        <w:tblW w:type="auto" w:w="0"/>
        <w:jc w:val="center"/>
        <w:tblLayout w:type="fixed"/>
        <w:tblLook w:firstColumn="1" w:firstRow="1" w:lastColumn="0" w:lastRow="0" w:noHBand="0" w:noVBand="1" w:val="04A0"/>
      </w:tblPr>
      <w:tblGrid>
        <w:gridCol w:w="1841"/>
        <w:gridCol w:w="3744"/>
        <w:gridCol w:w="4053"/>
      </w:tblGrid>
      <w:tr>
        <w:trPr>
          <w:cantSplit/>
          <w:tblHeader w:val="true"/>
        </w:trPr>
        <w:tc>
          <w:tcPr>
            <w:tcW w:type="dxa" w:w="184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角色</w:t>
            </w:r>
          </w:p>
        </w:tc>
        <w:tc>
          <w:tcPr>
            <w:tcW w:type="dxa" w:w="374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适合演示的工作</w:t>
            </w:r>
          </w:p>
        </w:tc>
        <w:tc>
          <w:tcPr>
            <w:tcW w:type="dxa" w:w="405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重要限制</w:t>
            </w:r>
          </w:p>
        </w:tc>
      </w:tr>
      <w:tr>
        <w:trPr>
          <w:cantSplit/>
        </w:trPr>
        <w:tc>
          <w:tcPr>
            <w:tcW w:type="dxa" w:w="1841"/>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集团财务负责人</w:t>
            </w:r>
          </w:p>
        </w:tc>
        <w:tc>
          <w:tcPr>
            <w:tcW w:type="dxa" w:w="3744"/>
            <w:vAlign w:val="top"/>
            <w:tcMar>
              <w:top w:w="65" w:type="dxa"/>
              <w:bottom w:w="65" w:type="dxa"/>
              <w:left w:w="65" w:type="dxa"/>
              <w:right w:w="65" w:type="dxa"/>
            </w:tcMar>
          </w:tcPr>
          <w:p>
            <w:pPr>
              <w:spacing w:before="30" w:after="30" w:line="252" w:lineRule="auto"/>
            </w:pPr>
            <w:r>
              <w:rPr>
                <w:rFonts w:ascii="Arial" w:hAnsi="Arial" w:eastAsia="宋体"/>
                <w:b w:val="0"/>
                <w:i w:val="0"/>
                <w:sz w:val="19"/>
              </w:rPr>
              <w:t>维护配置、审批预算与凭证、签核及重新开启期间</w:t>
            </w:r>
          </w:p>
        </w:tc>
        <w:tc>
          <w:tcPr>
            <w:tcW w:type="dxa" w:w="4053"/>
            <w:vAlign w:val="top"/>
            <w:tcMar>
              <w:top w:w="65" w:type="dxa"/>
              <w:bottom w:w="65" w:type="dxa"/>
              <w:left w:w="65" w:type="dxa"/>
              <w:right w:w="65" w:type="dxa"/>
            </w:tcMar>
          </w:tcPr>
          <w:p>
            <w:pPr>
              <w:spacing w:before="30" w:after="30" w:line="252" w:lineRule="auto"/>
            </w:pPr>
            <w:r>
              <w:rPr>
                <w:rFonts w:ascii="Arial" w:hAnsi="Arial" w:eastAsia="宋体"/>
                <w:b w:val="0"/>
                <w:i w:val="0"/>
                <w:sz w:val="19"/>
              </w:rPr>
              <w:t>默认角色；实际系统仍须接入真实身份、组织及职责分离</w:t>
            </w:r>
          </w:p>
        </w:tc>
      </w:tr>
      <w:tr>
        <w:trPr>
          <w:cantSplit/>
        </w:trPr>
        <w:tc>
          <w:tcPr>
            <w:tcW w:type="dxa" w:w="18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法人会计</w:t>
            </w:r>
          </w:p>
        </w:tc>
        <w:tc>
          <w:tcPr>
            <w:tcW w:type="dxa" w:w="374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体验报送、预算编制、凭证草稿等编制业务</w:t>
            </w:r>
          </w:p>
        </w:tc>
        <w:tc>
          <w:tcPr>
            <w:tcW w:type="dxa" w:w="405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不能执行负责人审批、签核和受限基础配置</w:t>
            </w:r>
          </w:p>
        </w:tc>
      </w:tr>
      <w:tr>
        <w:trPr>
          <w:cantSplit/>
        </w:trPr>
        <w:tc>
          <w:tcPr>
            <w:tcW w:type="dxa" w:w="1841"/>
            <w:vAlign w:val="top"/>
            <w:tcMar>
              <w:top w:w="65" w:type="dxa"/>
              <w:bottom w:w="65" w:type="dxa"/>
              <w:left w:w="65" w:type="dxa"/>
              <w:right w:w="65" w:type="dxa"/>
            </w:tcMar>
          </w:tcPr>
          <w:p>
            <w:pPr>
              <w:spacing w:before="30" w:after="30" w:line="252" w:lineRule="auto"/>
            </w:pPr>
            <w:r>
              <w:rPr>
                <w:rFonts w:ascii="Arial" w:hAnsi="Arial" w:eastAsia="宋体"/>
                <w:b w:val="0"/>
                <w:i w:val="0"/>
                <w:sz w:val="19"/>
              </w:rPr>
              <w:t>审计只读</w:t>
            </w:r>
          </w:p>
        </w:tc>
        <w:tc>
          <w:tcPr>
            <w:tcW w:type="dxa" w:w="3744"/>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查看已保存报表、版本和审计记录</w:t>
            </w:r>
          </w:p>
        </w:tc>
        <w:tc>
          <w:tcPr>
            <w:tcW w:type="dxa" w:w="4053"/>
            <w:vAlign w:val="top"/>
            <w:tcMar>
              <w:top w:w="65" w:type="dxa"/>
              <w:bottom w:w="65" w:type="dxa"/>
              <w:left w:w="65" w:type="dxa"/>
              <w:right w:w="65" w:type="dxa"/>
            </w:tcMar>
          </w:tcPr>
          <w:p>
            <w:pPr>
              <w:spacing w:before="30" w:after="30" w:line="252" w:lineRule="auto"/>
            </w:pPr>
            <w:r>
              <w:rPr>
                <w:rFonts w:ascii="Arial" w:hAnsi="Arial" w:eastAsia="宋体"/>
                <w:b w:val="0"/>
                <w:i w:val="0"/>
                <w:sz w:val="19"/>
              </w:rPr>
              <w:t>服务端拒绝写入；不能依靠直接调用接口绕过只读</w:t>
            </w:r>
          </w:p>
        </w:tc>
      </w:tr>
    </w:tbl>
    <w:p>
      <w:pPr>
        <w:spacing w:after="40"/>
      </w:pPr>
    </w:p>
    <w:p>
      <w:r>
        <w:rPr>
          <w:rFonts w:ascii="Arial" w:hAnsi="Arial" w:eastAsia="宋体"/>
          <w:b w:val="0"/>
          <w:i w:val="0"/>
        </w:rPr>
        <w:t>本机启动凭据持有人可以切换演示角色，这是为了产品评审；不能把它用于证明公司正式用户授权已经建成。当前演示角色可读取的范围与正式生产法人数据隔离不同，不应据此推断已经完成多组织数据保密要求。</w:t>
      </w:r>
    </w:p>
    <w:p>
      <w:pPr>
        <w:pStyle w:val="Heading2"/>
      </w:pPr>
      <w:bookmarkStart w:id="17" w:name="epm_17"/>
      <w:r>
        <w:rPr>
          <w:rFonts w:ascii="Arial" w:hAnsi="Arial" w:eastAsia="宋体"/>
          <w:b w:val="0"/>
          <w:i w:val="0"/>
        </w:rPr>
        <w:t>4.4 每次演示都遵守的规则</w:t>
      </w:r>
      <w:bookmarkEnd w:id="17"/>
    </w:p>
    <w:p>
      <w:r>
        <w:rPr>
          <w:rFonts w:ascii="Arial" w:hAnsi="Arial" w:eastAsia="宋体"/>
          <w:b w:val="0"/>
          <w:i w:val="0"/>
        </w:rPr>
        <w:t>金额通常最多两位小数，汇率最多六位；预算数量等字段还受整数或非负规则约束。写入由服务端完成，不接受浏览器任意覆盖整套状态。业务保存、审批与审计记录在事务中同时提交，失败时不应留下部分业务结果。</w:t>
      </w:r>
    </w:p>
    <w:p>
      <w:r>
        <w:rPr>
          <w:rFonts w:ascii="Arial" w:hAnsi="Arial" w:eastAsia="宋体"/>
          <w:b w:val="0"/>
          <w:i w:val="0"/>
        </w:rPr>
        <w:t>预算状态控制预算是否可编辑，期间状态控制财务数据是否可修改，两者不能互相替代。预算锁定后需要复制或调整；财务期间签核后需要负责人说明原因重新开启。重新打开期间后，旧校验和报送确认失效，应重新完成相关流程。</w:t>
      </w:r>
    </w:p>
    <w:p>
      <w:r>
        <w:rPr>
          <w:rFonts w:ascii="Arial" w:hAnsi="Arial" w:eastAsia="宋体"/>
          <w:b w:val="0"/>
          <w:i w:val="0"/>
        </w:rPr>
        <w:t>当前Demo未提供“一键清空全部数据”的日常按钮。演示者应通过独立预算版本和独立案例数据目录保留已有成果，不应删除数据库作为普通排错手段。备份应在安全退出后完整复制数据目录，运行中只复制一个SQLite文件可能遗漏仍在WAL中的已提交数据。</w:t>
      </w:r>
    </w:p>
    <w:p>
      <w:pPr>
        <w:pStyle w:val="Heading1"/>
      </w:pPr>
      <w:bookmarkStart w:id="18" w:name="epm_18"/>
      <w:r>
        <w:rPr>
          <w:rFonts w:ascii="Arial" w:hAnsi="Arial" w:eastAsia="宋体"/>
          <w:b w:val="0"/>
          <w:i w:val="0"/>
        </w:rPr>
        <w:t>5. 产品演示的准备与组织</w:t>
      </w:r>
      <w:bookmarkEnd w:id="18"/>
    </w:p>
    <w:p>
      <w:pPr>
        <w:pStyle w:val="Heading2"/>
      </w:pPr>
      <w:bookmarkStart w:id="19" w:name="epm_19"/>
      <w:r>
        <w:rPr>
          <w:rFonts w:ascii="Arial" w:hAnsi="Arial" w:eastAsia="宋体"/>
          <w:b w:val="0"/>
          <w:i w:val="0"/>
        </w:rPr>
        <w:t>5.1 演示前检查清单</w:t>
      </w:r>
      <w:bookmarkEnd w:id="19"/>
    </w:p>
    <w:p>
      <w:r>
        <w:rPr>
          <w:rFonts w:ascii="Arial" w:hAnsi="Arial" w:eastAsia="宋体"/>
          <w:b w:val="0"/>
          <w:i w:val="0"/>
        </w:rPr>
        <w:t xml:space="preserve">完整解压运行包后双击“天元EPM Demo.exe”。确认左侧为本说明书中的20项中文导航，顶部显示正确公司，右上角标明本机演示环境。通过“本机环境”查看真实数据位置；默认目录为 </w:t>
      </w:r>
      <w:r>
        <w:rPr>
          <w:rFonts w:ascii="Consolas" w:hAnsi="Consolas" w:eastAsia="宋体"/>
          <w:b w:val="0"/>
          <w:i w:val="0"/>
          <w:sz w:val="18"/>
        </w:rPr>
        <w:t>%LOCALAPPDATA%\TianyuanEPMDemo</w:t>
      </w:r>
      <w:r>
        <w:rPr>
          <w:rFonts w:ascii="Arial" w:hAnsi="Arial" w:eastAsia="宋体"/>
          <w:b w:val="0"/>
          <w:i w:val="0"/>
        </w:rPr>
        <w:t>。</w:t>
      </w:r>
    </w:p>
    <w:p>
      <w:r>
        <w:rPr>
          <w:rFonts w:ascii="Arial" w:hAnsi="Arial" w:eastAsia="宋体"/>
          <w:b w:val="0"/>
          <w:i w:val="0"/>
        </w:rPr>
        <w:t>随后检查当前角色为“集团财务负责人”，顶部为集团、2026年09期和人民币CNY；在财务报表或分析页，还应确认法人范围为“集团合并口径”。本说明书给出的数值不适用于任意已被修改过的账套或任意美元、子集团视图。</w:t>
      </w:r>
    </w:p>
    <w:p>
      <w:r>
        <w:rPr>
          <w:rFonts w:ascii="Arial" w:hAnsi="Arial" w:eastAsia="宋体"/>
          <w:b w:val="0"/>
          <w:i w:val="0"/>
        </w:rPr>
        <w:t>如希望严格复现实例，先在当前页面安全退出，再由演示准备人员在EXE所在目录打开PowerShell，指定一个从未使用过的新目录启动独立案例环境。这个操作使用包内EXE，不要求电脑安装Python。例如：</w:t>
      </w:r>
    </w:p>
    <w:p>
      <w:pPr>
        <w:spacing w:before="0" w:after="0" w:line="240" w:lineRule="auto"/>
        <w:ind w:left="113"/>
        <w:shd w:fill="F4F6FA"/>
      </w:pPr>
      <w:r>
        <w:rPr>
          <w:rFonts w:ascii="Consolas" w:hAnsi="Consolas" w:eastAsia="宋体"/>
          <w:sz w:val="16"/>
        </w:rPr>
        <w:t>&amp; ".\天元EPM Demo.exe" --data-dir "D:\EPM演示案例\产品说明案例组"</w:t>
      </w:r>
    </w:p>
    <w:p>
      <w:pPr>
        <w:spacing w:after="20"/>
      </w:pPr>
    </w:p>
    <w:p>
      <w:r>
        <w:rPr>
          <w:rFonts w:ascii="Arial" w:hAnsi="Arial" w:eastAsia="宋体"/>
          <w:b w:val="0"/>
          <w:i w:val="0"/>
        </w:rPr>
        <w:t xml:space="preserve">新目录首次创建样例；已存在目录会读取原数据，不会重置。不要把一个已使用目录误认为全新环境，也不要使用别人的真实数据目录。独立环境需要始终使用相同的 </w:t>
      </w:r>
      <w:r>
        <w:rPr>
          <w:rFonts w:ascii="Consolas" w:hAnsi="Consolas" w:eastAsia="宋体"/>
          <w:b w:val="0"/>
          <w:i w:val="0"/>
          <w:sz w:val="18"/>
        </w:rPr>
        <w:t>--data-dir</w:t>
      </w:r>
      <w:r>
        <w:rPr>
          <w:rFonts w:ascii="Arial" w:hAnsi="Arial" w:eastAsia="宋体"/>
          <w:b w:val="0"/>
          <w:i w:val="0"/>
        </w:rPr>
        <w:t xml:space="preserve"> 才能查看其状态、再次打开或停止。日常双击不带参数的EXE使用默认目录，二者应区分记录。演示时一次保留一套环境；切换案例目录前先安全退出当前环境，避免多个本机环境在同一浏览器内相互替换会话。</w:t>
      </w:r>
    </w:p>
    <w:p>
      <w:pPr>
        <w:pStyle w:val="Heading2"/>
      </w:pPr>
      <w:bookmarkStart w:id="20" w:name="epm_20"/>
      <w:r>
        <w:rPr>
          <w:rFonts w:ascii="Arial" w:hAnsi="Arial" w:eastAsia="宋体"/>
          <w:b w:val="0"/>
          <w:i w:val="0"/>
        </w:rPr>
        <w:t>5.2 案例编排与依赖关系</w:t>
      </w:r>
      <w:bookmarkEnd w:id="20"/>
    </w:p>
    <w:tbl>
      <w:tblPr>
        <w:tblStyle w:val="TableGrid"/>
        <w:tblW w:type="auto" w:w="0"/>
        <w:jc w:val="center"/>
        <w:tblLayout w:type="fixed"/>
        <w:tblLook w:firstColumn="1" w:firstRow="1" w:lastColumn="0" w:lastRow="0" w:noHBand="0" w:noVBand="1" w:val="04A0"/>
      </w:tblPr>
      <w:tblGrid>
        <w:gridCol w:w="1555"/>
        <w:gridCol w:w="2775"/>
        <w:gridCol w:w="2322"/>
        <w:gridCol w:w="2986"/>
      </w:tblGrid>
      <w:tr>
        <w:trPr>
          <w:cantSplit/>
          <w:tblHeader w:val="true"/>
        </w:trPr>
        <w:tc>
          <w:tcPr>
            <w:tcW w:type="dxa" w:w="155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案例</w:t>
            </w:r>
          </w:p>
        </w:tc>
        <w:tc>
          <w:tcPr>
            <w:tcW w:type="dxa" w:w="277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主题</w:t>
            </w:r>
          </w:p>
        </w:tc>
        <w:tc>
          <w:tcPr>
            <w:tcW w:type="dxa" w:w="232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推荐起点</w:t>
            </w:r>
          </w:p>
        </w:tc>
        <w:tc>
          <w:tcPr>
            <w:tcW w:type="dxa" w:w="29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会改变什么</w:t>
            </w:r>
          </w:p>
        </w:tc>
      </w:tr>
      <w:tr>
        <w:trPr>
          <w:cantSplit/>
        </w:trPr>
        <w:tc>
          <w:tcPr>
            <w:tcW w:type="dxa" w:w="1555"/>
            <w:vAlign w:val="top"/>
            <w:tcMar>
              <w:top w:w="65" w:type="dxa"/>
              <w:bottom w:w="65" w:type="dxa"/>
              <w:left w:w="65" w:type="dxa"/>
              <w:right w:w="65" w:type="dxa"/>
            </w:tcMar>
          </w:tcPr>
          <w:p>
            <w:pPr>
              <w:spacing w:before="30" w:after="30" w:line="252" w:lineRule="auto"/>
            </w:pPr>
            <w:r>
              <w:rPr>
                <w:rFonts w:ascii="Arial" w:hAnsi="Arial" w:eastAsia="宋体"/>
                <w:b w:val="0"/>
                <w:i w:val="0"/>
                <w:sz w:val="18"/>
              </w:rPr>
              <w:t>案例一</w:t>
            </w:r>
          </w:p>
        </w:tc>
        <w:tc>
          <w:tcPr>
            <w:tcW w:type="dxa" w:w="2775"/>
            <w:vAlign w:val="top"/>
            <w:tcMar>
              <w:top w:w="65" w:type="dxa"/>
              <w:bottom w:w="65" w:type="dxa"/>
              <w:left w:w="65" w:type="dxa"/>
              <w:right w:w="65" w:type="dxa"/>
            </w:tcMar>
          </w:tcPr>
          <w:p>
            <w:pPr>
              <w:spacing w:before="30" w:after="30" w:line="252" w:lineRule="auto"/>
            </w:pPr>
            <w:r>
              <w:rPr>
                <w:rFonts w:ascii="Arial" w:hAnsi="Arial" w:eastAsia="宋体"/>
                <w:b w:val="0"/>
                <w:i w:val="0"/>
                <w:sz w:val="18"/>
              </w:rPr>
              <w:t>认识默认三表与经营分析</w:t>
            </w:r>
          </w:p>
        </w:tc>
        <w:tc>
          <w:tcPr>
            <w:tcW w:type="dxa" w:w="2322"/>
            <w:vAlign w:val="top"/>
            <w:tcMar>
              <w:top w:w="65" w:type="dxa"/>
              <w:bottom w:w="65" w:type="dxa"/>
              <w:left w:w="65" w:type="dxa"/>
              <w:right w:w="65" w:type="dxa"/>
            </w:tcMar>
          </w:tcPr>
          <w:p>
            <w:pPr>
              <w:spacing w:before="30" w:after="30" w:line="252" w:lineRule="auto"/>
            </w:pPr>
            <w:r>
              <w:rPr>
                <w:rFonts w:ascii="Arial" w:hAnsi="Arial" w:eastAsia="宋体"/>
                <w:b w:val="0"/>
                <w:i w:val="0"/>
                <w:sz w:val="18"/>
              </w:rPr>
              <w:t>全新样例</w:t>
            </w:r>
          </w:p>
        </w:tc>
        <w:tc>
          <w:tcPr>
            <w:tcW w:type="dxa" w:w="2986"/>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只读取，不改金额</w:t>
            </w:r>
          </w:p>
        </w:tc>
      </w:tr>
      <w:tr>
        <w:trPr>
          <w:cantSplit/>
        </w:trPr>
        <w:tc>
          <w:tcPr>
            <w:tcW w:type="dxa" w:w="15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案例二</w:t>
            </w:r>
          </w:p>
        </w:tc>
        <w:tc>
          <w:tcPr>
            <w:tcW w:type="dxa" w:w="27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预算编制、审批、锁定和独立调整</w:t>
            </w:r>
          </w:p>
        </w:tc>
        <w:tc>
          <w:tcPr>
            <w:tcW w:type="dxa" w:w="23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默认V2复制的新草稿</w:t>
            </w:r>
          </w:p>
        </w:tc>
        <w:tc>
          <w:tcPr>
            <w:tcW w:type="dxa" w:w="29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新增独立预算版本及调整记录</w:t>
            </w:r>
          </w:p>
        </w:tc>
      </w:tr>
      <w:tr>
        <w:trPr>
          <w:cantSplit/>
        </w:trPr>
        <w:tc>
          <w:tcPr>
            <w:tcW w:type="dxa" w:w="1555"/>
            <w:vAlign w:val="top"/>
            <w:tcMar>
              <w:top w:w="65" w:type="dxa"/>
              <w:bottom w:w="65" w:type="dxa"/>
              <w:left w:w="65" w:type="dxa"/>
              <w:right w:w="65" w:type="dxa"/>
            </w:tcMar>
          </w:tcPr>
          <w:p>
            <w:pPr>
              <w:spacing w:before="30" w:after="30" w:line="252" w:lineRule="auto"/>
            </w:pPr>
            <w:r>
              <w:rPr>
                <w:rFonts w:ascii="Arial" w:hAnsi="Arial" w:eastAsia="宋体"/>
                <w:b w:val="0"/>
                <w:i w:val="0"/>
                <w:sz w:val="18"/>
              </w:rPr>
              <w:t>案例三</w:t>
            </w:r>
          </w:p>
        </w:tc>
        <w:tc>
          <w:tcPr>
            <w:tcW w:type="dxa" w:w="2775"/>
            <w:vAlign w:val="top"/>
            <w:tcMar>
              <w:top w:w="65" w:type="dxa"/>
              <w:bottom w:w="65" w:type="dxa"/>
              <w:left w:w="65" w:type="dxa"/>
              <w:right w:w="65" w:type="dxa"/>
            </w:tcMar>
          </w:tcPr>
          <w:p>
            <w:pPr>
              <w:spacing w:before="30" w:after="30" w:line="252" w:lineRule="auto"/>
            </w:pPr>
            <w:r>
              <w:rPr>
                <w:rFonts w:ascii="Arial" w:hAnsi="Arial" w:eastAsia="宋体"/>
                <w:b w:val="0"/>
                <w:i w:val="0"/>
                <w:sz w:val="18"/>
              </w:rPr>
              <w:t>量价驱动与业务预算明细</w:t>
            </w:r>
          </w:p>
        </w:tc>
        <w:tc>
          <w:tcPr>
            <w:tcW w:type="dxa" w:w="2322"/>
            <w:vAlign w:val="top"/>
            <w:tcMar>
              <w:top w:w="65" w:type="dxa"/>
              <w:bottom w:w="65" w:type="dxa"/>
              <w:left w:w="65" w:type="dxa"/>
              <w:right w:w="65" w:type="dxa"/>
            </w:tcMar>
          </w:tcPr>
          <w:p>
            <w:pPr>
              <w:spacing w:before="30" w:after="30" w:line="252" w:lineRule="auto"/>
            </w:pPr>
            <w:r>
              <w:rPr>
                <w:rFonts w:ascii="Arial" w:hAnsi="Arial" w:eastAsia="宋体"/>
                <w:b w:val="0"/>
                <w:i w:val="0"/>
                <w:sz w:val="18"/>
              </w:rPr>
              <w:t>再次从默认V2复制新草稿</w:t>
            </w:r>
          </w:p>
        </w:tc>
        <w:tc>
          <w:tcPr>
            <w:tcW w:type="dxa" w:w="2986"/>
            <w:vAlign w:val="top"/>
            <w:tcMar>
              <w:top w:w="65" w:type="dxa"/>
              <w:bottom w:w="65" w:type="dxa"/>
              <w:left w:w="65" w:type="dxa"/>
              <w:right w:w="65" w:type="dxa"/>
            </w:tcMar>
          </w:tcPr>
          <w:p>
            <w:pPr>
              <w:spacing w:before="30" w:after="30" w:line="252" w:lineRule="auto"/>
            </w:pPr>
            <w:r>
              <w:rPr>
                <w:rFonts w:ascii="Arial" w:hAnsi="Arial" w:eastAsia="宋体"/>
                <w:b w:val="0"/>
                <w:i w:val="0"/>
                <w:sz w:val="18"/>
              </w:rPr>
              <w:t>新增另一预算版本，避免承接已锁定版本</w:t>
            </w:r>
          </w:p>
        </w:tc>
      </w:tr>
      <w:tr>
        <w:trPr>
          <w:cantSplit/>
        </w:trPr>
        <w:tc>
          <w:tcPr>
            <w:tcW w:type="dxa" w:w="15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案例四</w:t>
            </w:r>
          </w:p>
        </w:tc>
        <w:tc>
          <w:tcPr>
            <w:tcW w:type="dxa" w:w="27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CSV替换、报表变化和坏批次拒绝</w:t>
            </w:r>
          </w:p>
        </w:tc>
        <w:tc>
          <w:tcPr>
            <w:tcW w:type="dxa" w:w="23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独立的全新财务样例</w:t>
            </w:r>
          </w:p>
        </w:tc>
        <w:tc>
          <w:tcPr>
            <w:tcW w:type="dxa" w:w="29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替换本期累计余额；建议单独案例目录</w:t>
            </w:r>
          </w:p>
        </w:tc>
      </w:tr>
      <w:tr>
        <w:trPr>
          <w:cantSplit/>
        </w:trPr>
        <w:tc>
          <w:tcPr>
            <w:tcW w:type="dxa" w:w="1555"/>
            <w:vAlign w:val="top"/>
            <w:tcMar>
              <w:top w:w="65" w:type="dxa"/>
              <w:bottom w:w="65" w:type="dxa"/>
              <w:left w:w="65" w:type="dxa"/>
              <w:right w:w="65" w:type="dxa"/>
            </w:tcMar>
          </w:tcPr>
          <w:p>
            <w:pPr>
              <w:spacing w:before="30" w:after="30" w:line="252" w:lineRule="auto"/>
            </w:pPr>
            <w:r>
              <w:rPr>
                <w:rFonts w:ascii="Arial" w:hAnsi="Arial" w:eastAsia="宋体"/>
                <w:b w:val="0"/>
                <w:i w:val="0"/>
                <w:sz w:val="18"/>
              </w:rPr>
              <w:t>案例五</w:t>
            </w:r>
          </w:p>
        </w:tc>
        <w:tc>
          <w:tcPr>
            <w:tcW w:type="dxa" w:w="2775"/>
            <w:vAlign w:val="top"/>
            <w:tcMar>
              <w:top w:w="65" w:type="dxa"/>
              <w:bottom w:w="65" w:type="dxa"/>
              <w:left w:w="65" w:type="dxa"/>
              <w:right w:w="65" w:type="dxa"/>
            </w:tcMar>
          </w:tcPr>
          <w:p>
            <w:pPr>
              <w:spacing w:before="30" w:after="30" w:line="252" w:lineRule="auto"/>
            </w:pPr>
            <w:r>
              <w:rPr>
                <w:rFonts w:ascii="Arial" w:hAnsi="Arial" w:eastAsia="宋体"/>
                <w:b w:val="0"/>
                <w:i w:val="0"/>
                <w:sz w:val="18"/>
              </w:rPr>
              <w:t>现金费用凭证的草稿与审批</w:t>
            </w:r>
          </w:p>
        </w:tc>
        <w:tc>
          <w:tcPr>
            <w:tcW w:type="dxa" w:w="2322"/>
            <w:vAlign w:val="top"/>
            <w:tcMar>
              <w:top w:w="65" w:type="dxa"/>
              <w:bottom w:w="65" w:type="dxa"/>
              <w:left w:w="65" w:type="dxa"/>
              <w:right w:w="65" w:type="dxa"/>
            </w:tcMar>
          </w:tcPr>
          <w:p>
            <w:pPr>
              <w:spacing w:before="30" w:after="30" w:line="252" w:lineRule="auto"/>
            </w:pPr>
            <w:r>
              <w:rPr>
                <w:rFonts w:ascii="Arial" w:hAnsi="Arial" w:eastAsia="宋体"/>
                <w:b w:val="0"/>
                <w:i w:val="0"/>
                <w:sz w:val="18"/>
              </w:rPr>
              <w:t>另一份全新财务样例</w:t>
            </w:r>
          </w:p>
        </w:tc>
        <w:tc>
          <w:tcPr>
            <w:tcW w:type="dxa" w:w="2986"/>
            <w:vAlign w:val="top"/>
            <w:tcMar>
              <w:top w:w="65" w:type="dxa"/>
              <w:bottom w:w="65" w:type="dxa"/>
              <w:left w:w="65" w:type="dxa"/>
              <w:right w:w="65" w:type="dxa"/>
            </w:tcMar>
          </w:tcPr>
          <w:p>
            <w:pPr>
              <w:spacing w:before="30" w:after="30" w:line="252" w:lineRule="auto"/>
            </w:pPr>
            <w:r>
              <w:rPr>
                <w:rFonts w:ascii="Arial" w:hAnsi="Arial" w:eastAsia="宋体"/>
                <w:b w:val="0"/>
                <w:i w:val="0"/>
                <w:sz w:val="18"/>
              </w:rPr>
              <w:t>审批后净利润及现金减少10万元</w:t>
            </w:r>
          </w:p>
        </w:tc>
      </w:tr>
      <w:tr>
        <w:trPr>
          <w:cantSplit/>
        </w:trPr>
        <w:tc>
          <w:tcPr>
            <w:tcW w:type="dxa" w:w="15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案例六</w:t>
            </w:r>
          </w:p>
        </w:tc>
        <w:tc>
          <w:tcPr>
            <w:tcW w:type="dxa" w:w="27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签核、保护及重新开启</w:t>
            </w:r>
          </w:p>
        </w:tc>
        <w:tc>
          <w:tcPr>
            <w:tcW w:type="dxa" w:w="23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案例五完成后的环境</w:t>
            </w:r>
          </w:p>
        </w:tc>
        <w:tc>
          <w:tcPr>
            <w:tcW w:type="dxa" w:w="29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改变期间流程状态，不再新增金额</w:t>
            </w:r>
          </w:p>
        </w:tc>
      </w:tr>
      <w:tr>
        <w:trPr>
          <w:cantSplit/>
        </w:trPr>
        <w:tc>
          <w:tcPr>
            <w:tcW w:type="dxa" w:w="1555"/>
            <w:vAlign w:val="top"/>
            <w:tcMar>
              <w:top w:w="65" w:type="dxa"/>
              <w:bottom w:w="65" w:type="dxa"/>
              <w:left w:w="65" w:type="dxa"/>
              <w:right w:w="65" w:type="dxa"/>
            </w:tcMar>
          </w:tcPr>
          <w:p>
            <w:pPr>
              <w:spacing w:before="30" w:after="30" w:line="252" w:lineRule="auto"/>
            </w:pPr>
            <w:r>
              <w:rPr>
                <w:rFonts w:ascii="Arial" w:hAnsi="Arial" w:eastAsia="宋体"/>
                <w:b w:val="0"/>
                <w:i w:val="0"/>
                <w:sz w:val="18"/>
              </w:rPr>
              <w:t>案例七</w:t>
            </w:r>
          </w:p>
        </w:tc>
        <w:tc>
          <w:tcPr>
            <w:tcW w:type="dxa" w:w="2775"/>
            <w:vAlign w:val="top"/>
            <w:tcMar>
              <w:top w:w="65" w:type="dxa"/>
              <w:bottom w:w="65" w:type="dxa"/>
              <w:left w:w="65" w:type="dxa"/>
              <w:right w:w="65" w:type="dxa"/>
            </w:tcMar>
          </w:tcPr>
          <w:p>
            <w:pPr>
              <w:spacing w:before="30" w:after="30" w:line="252" w:lineRule="auto"/>
            </w:pPr>
            <w:r>
              <w:rPr>
                <w:rFonts w:ascii="Arial" w:hAnsi="Arial" w:eastAsia="宋体"/>
                <w:b w:val="0"/>
                <w:i w:val="0"/>
                <w:sz w:val="18"/>
              </w:rPr>
              <w:t>只读角色与操作记录</w:t>
            </w:r>
          </w:p>
        </w:tc>
        <w:tc>
          <w:tcPr>
            <w:tcW w:type="dxa" w:w="2322"/>
            <w:vAlign w:val="top"/>
            <w:tcMar>
              <w:top w:w="65" w:type="dxa"/>
              <w:bottom w:w="65" w:type="dxa"/>
              <w:left w:w="65" w:type="dxa"/>
              <w:right w:w="65" w:type="dxa"/>
            </w:tcMar>
          </w:tcPr>
          <w:p>
            <w:pPr>
              <w:spacing w:before="30" w:after="30" w:line="252" w:lineRule="auto"/>
            </w:pPr>
            <w:r>
              <w:rPr>
                <w:rFonts w:ascii="Arial" w:hAnsi="Arial" w:eastAsia="宋体"/>
                <w:b w:val="0"/>
                <w:i w:val="0"/>
                <w:sz w:val="18"/>
              </w:rPr>
              <w:t>任一已有演示环境</w:t>
            </w:r>
          </w:p>
        </w:tc>
        <w:tc>
          <w:tcPr>
            <w:tcW w:type="dxa" w:w="2986"/>
            <w:vAlign w:val="top"/>
            <w:tcMar>
              <w:top w:w="65" w:type="dxa"/>
              <w:bottom w:w="65" w:type="dxa"/>
              <w:left w:w="65" w:type="dxa"/>
              <w:right w:w="65" w:type="dxa"/>
            </w:tcMar>
          </w:tcPr>
          <w:p>
            <w:pPr>
              <w:spacing w:before="30" w:after="30" w:line="252" w:lineRule="auto"/>
            </w:pPr>
            <w:r>
              <w:rPr>
                <w:rFonts w:ascii="Arial" w:hAnsi="Arial" w:eastAsia="宋体"/>
                <w:b w:val="0"/>
                <w:i w:val="0"/>
                <w:sz w:val="18"/>
              </w:rPr>
              <w:t>切换演示角色；拒绝的写入不改变金额</w:t>
            </w:r>
          </w:p>
        </w:tc>
      </w:tr>
      <w:tr>
        <w:trPr>
          <w:cantSplit/>
        </w:trPr>
        <w:tc>
          <w:tcPr>
            <w:tcW w:type="dxa" w:w="15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案例八</w:t>
            </w:r>
          </w:p>
        </w:tc>
        <w:tc>
          <w:tcPr>
            <w:tcW w:type="dxa" w:w="277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预算变化如何解释经营差异</w:t>
            </w:r>
          </w:p>
        </w:tc>
        <w:tc>
          <w:tcPr>
            <w:tcW w:type="dxa" w:w="23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默认V2及案例二预算版</w:t>
            </w:r>
          </w:p>
        </w:tc>
        <w:tc>
          <w:tcPr>
            <w:tcW w:type="dxa" w:w="29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切换预算比较基准，不改实际财务数</w:t>
            </w:r>
          </w:p>
        </w:tc>
      </w:tr>
    </w:tbl>
    <w:p>
      <w:pPr>
        <w:spacing w:after="40"/>
      </w:pPr>
    </w:p>
    <w:p>
      <w:r>
        <w:rPr>
          <w:rFonts w:ascii="Arial" w:hAnsi="Arial" w:eastAsia="宋体"/>
          <w:b w:val="0"/>
          <w:i w:val="0"/>
        </w:rPr>
        <w:t>以下案例中的版本名称为建议名称。如果已经存在，请增加日期或序号，确保名称不重复。自动生成的凭证号、批次号、调整单号及新版本名称以实际界面为准，不要求在所有人的电脑上相同。</w:t>
      </w:r>
    </w:p>
    <w:p>
      <w:pPr>
        <w:pStyle w:val="Heading1"/>
      </w:pPr>
      <w:bookmarkStart w:id="21" w:name="epm_21"/>
      <w:r>
        <w:rPr>
          <w:rFonts w:ascii="Arial" w:hAnsi="Arial" w:eastAsia="宋体"/>
          <w:b w:val="0"/>
          <w:i w:val="0"/>
        </w:rPr>
        <w:t>6. 可照做的演示案例</w:t>
      </w:r>
      <w:bookmarkEnd w:id="21"/>
    </w:p>
    <w:p>
      <w:pPr>
        <w:pStyle w:val="Heading2"/>
      </w:pPr>
      <w:bookmarkStart w:id="22" w:name="epm_22"/>
      <w:r>
        <w:rPr>
          <w:rFonts w:ascii="Arial" w:hAnsi="Arial" w:eastAsia="宋体"/>
          <w:b w:val="0"/>
          <w:i w:val="0"/>
        </w:rPr>
        <w:t>6.1 案例一：从集团驾驶舱看清默认三表</w:t>
      </w:r>
      <w:bookmarkEnd w:id="22"/>
    </w:p>
    <w:p>
      <w:r>
        <w:rPr>
          <w:rFonts w:ascii="Arial" w:hAnsi="Arial" w:eastAsia="宋体"/>
          <w:b w:val="0"/>
          <w:i w:val="0"/>
        </w:rPr>
      </w:r>
      <w:r>
        <w:rPr>
          <w:rFonts w:ascii="Arial" w:hAnsi="Arial" w:eastAsia="宋体"/>
          <w:b/>
          <w:i w:val="0"/>
        </w:rPr>
        <w:t>业务故事。</w:t>
      </w:r>
      <w:r>
        <w:rPr>
          <w:rFonts w:ascii="Arial" w:hAnsi="Arial" w:eastAsia="宋体"/>
          <w:b w:val="0"/>
          <w:i w:val="0"/>
        </w:rPr>
        <w:t xml:space="preserve"> 集团财务负责人准备9月经营会议，希望先确认集团累计业绩、现金和资产负债关系，再解释为什么集团收入小于各法人收入之和。本例为只读演示，适合作为所有演示的开场。</w:t>
      </w:r>
    </w:p>
    <w:p>
      <w:r>
        <w:rPr>
          <w:rFonts w:ascii="Arial" w:hAnsi="Arial" w:eastAsia="宋体"/>
          <w:b w:val="0"/>
          <w:i w:val="0"/>
        </w:rPr>
      </w:r>
      <w:r>
        <w:rPr>
          <w:rFonts w:ascii="Arial" w:hAnsi="Arial" w:eastAsia="宋体"/>
          <w:b/>
          <w:i w:val="0"/>
        </w:rPr>
        <w:t>前提与入口。</w:t>
      </w:r>
      <w:r>
        <w:rPr>
          <w:rFonts w:ascii="Arial" w:hAnsi="Arial" w:eastAsia="宋体"/>
          <w:b w:val="0"/>
          <w:i w:val="0"/>
        </w:rPr>
        <w:t xml:space="preserve"> 使用全新样例，角色为集团财务负责人，集团、09期、人民币CNY。进入“集团经营总览”，读取累计收入13,000.00、累计净利润1,720.00、经营现金净额1,450.00和资产负债率约49.4%。负债率由4,730÷9,580计算，不应把其他口径的资产或负债代入。</w:t>
      </w:r>
    </w:p>
    <w:p>
      <w:r>
        <w:rPr>
          <w:rFonts w:ascii="Arial" w:hAnsi="Arial" w:eastAsia="宋体"/>
          <w:b w:val="0"/>
          <w:i w:val="0"/>
        </w:rPr>
      </w:r>
      <w:r>
        <w:rPr>
          <w:rFonts w:ascii="Arial" w:hAnsi="Arial" w:eastAsia="宋体"/>
          <w:b/>
          <w:i w:val="0"/>
        </w:rPr>
        <w:t>操作步骤。</w:t>
      </w:r>
      <w:r>
        <w:rPr>
          <w:rFonts w:ascii="Arial" w:hAnsi="Arial" w:eastAsia="宋体"/>
          <w:b w:val="0"/>
          <w:i w:val="0"/>
        </w:rPr>
        <w:t xml:space="preserve"> 先点击营业收入趋势中的9月节点，识别它代表9月发生额而非累计收入；再点击法人贡献中的天元制造，查看法人收入8,000.00、净利润1,125.00。随后进入“集团三张报表”，切换利润表、资产负债表和现金流量表，点击相应行的“法人/调整”或“查看依据”，查看数据构成与勾稽。</w:t>
      </w:r>
    </w:p>
    <w:tbl>
      <w:tblPr>
        <w:tblStyle w:val="TableGrid"/>
        <w:tblW w:type="auto" w:w="0"/>
        <w:jc w:val="center"/>
        <w:tblLayout w:type="fixed"/>
        <w:tblLook w:firstColumn="1" w:firstRow="1" w:lastColumn="0" w:lastRow="0" w:noHBand="0" w:noVBand="1" w:val="04A0"/>
      </w:tblPr>
      <w:tblGrid>
        <w:gridCol w:w="2592"/>
        <w:gridCol w:w="3713"/>
        <w:gridCol w:w="3333"/>
      </w:tblGrid>
      <w:tr>
        <w:trPr>
          <w:cantSplit/>
          <w:tblHeader w:val="true"/>
        </w:trPr>
        <w:tc>
          <w:tcPr>
            <w:tcW w:type="dxa" w:w="259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检查项目</w:t>
            </w:r>
          </w:p>
        </w:tc>
        <w:tc>
          <w:tcPr>
            <w:tcW w:type="dxa" w:w="371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预期金额或关系</w:t>
            </w:r>
          </w:p>
        </w:tc>
        <w:tc>
          <w:tcPr>
            <w:tcW w:type="dxa" w:w="333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在哪里确认</w:t>
            </w:r>
          </w:p>
        </w:tc>
      </w:tr>
      <w:tr>
        <w:trPr>
          <w:cantSplit/>
        </w:trPr>
        <w:tc>
          <w:tcPr>
            <w:tcW w:type="dxa" w:w="2592"/>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集团累计收入</w:t>
            </w:r>
          </w:p>
        </w:tc>
        <w:tc>
          <w:tcPr>
            <w:tcW w:type="dxa" w:w="3713"/>
            <w:vAlign w:val="top"/>
            <w:tcMar>
              <w:top w:w="65" w:type="dxa"/>
              <w:bottom w:w="65" w:type="dxa"/>
              <w:left w:w="65" w:type="dxa"/>
              <w:right w:w="65" w:type="dxa"/>
            </w:tcMar>
          </w:tcPr>
          <w:p>
            <w:pPr>
              <w:spacing w:before="30" w:after="30" w:line="252" w:lineRule="auto"/>
            </w:pPr>
            <w:r>
              <w:rPr>
                <w:rFonts w:ascii="Arial" w:hAnsi="Arial" w:eastAsia="宋体"/>
                <w:b w:val="0"/>
                <w:i w:val="0"/>
                <w:sz w:val="19"/>
              </w:rPr>
              <w:t>13,000.00</w:t>
            </w:r>
          </w:p>
        </w:tc>
        <w:tc>
          <w:tcPr>
            <w:tcW w:type="dxa" w:w="3333"/>
            <w:vAlign w:val="top"/>
            <w:tcMar>
              <w:top w:w="65" w:type="dxa"/>
              <w:bottom w:w="65" w:type="dxa"/>
              <w:left w:w="65" w:type="dxa"/>
              <w:right w:w="65" w:type="dxa"/>
            </w:tcMar>
          </w:tcPr>
          <w:p>
            <w:pPr>
              <w:spacing w:before="30" w:after="30" w:line="252" w:lineRule="auto"/>
            </w:pPr>
            <w:r>
              <w:rPr>
                <w:rFonts w:ascii="Arial" w:hAnsi="Arial" w:eastAsia="宋体"/>
                <w:b w:val="0"/>
                <w:i w:val="0"/>
                <w:sz w:val="19"/>
              </w:rPr>
              <w:t>利润表“营业收入”</w:t>
            </w:r>
          </w:p>
        </w:tc>
      </w:tr>
      <w:tr>
        <w:trPr>
          <w:cantSplit/>
        </w:trPr>
        <w:tc>
          <w:tcPr>
            <w:tcW w:type="dxa" w:w="25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集团累计净利润</w:t>
            </w:r>
          </w:p>
        </w:tc>
        <w:tc>
          <w:tcPr>
            <w:tcW w:type="dxa" w:w="37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1,720.00</w:t>
            </w:r>
          </w:p>
        </w:tc>
        <w:tc>
          <w:tcPr>
            <w:tcW w:type="dxa" w:w="33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利润表“净利润”</w:t>
            </w:r>
          </w:p>
        </w:tc>
      </w:tr>
      <w:tr>
        <w:trPr>
          <w:cantSplit/>
        </w:trPr>
        <w:tc>
          <w:tcPr>
            <w:tcW w:type="dxa" w:w="2592"/>
            <w:vAlign w:val="top"/>
            <w:tcMar>
              <w:top w:w="65" w:type="dxa"/>
              <w:bottom w:w="65" w:type="dxa"/>
              <w:left w:w="65" w:type="dxa"/>
              <w:right w:w="65" w:type="dxa"/>
            </w:tcMar>
          </w:tcPr>
          <w:p>
            <w:pPr>
              <w:spacing w:before="30" w:after="30" w:line="252" w:lineRule="auto"/>
            </w:pPr>
            <w:r>
              <w:rPr>
                <w:rFonts w:ascii="Arial" w:hAnsi="Arial" w:eastAsia="宋体"/>
                <w:b w:val="0"/>
                <w:i w:val="0"/>
                <w:sz w:val="19"/>
              </w:rPr>
              <w:t>资产总计</w:t>
            </w:r>
          </w:p>
        </w:tc>
        <w:tc>
          <w:tcPr>
            <w:tcW w:type="dxa" w:w="3713"/>
            <w:vAlign w:val="top"/>
            <w:tcMar>
              <w:top w:w="65" w:type="dxa"/>
              <w:bottom w:w="65" w:type="dxa"/>
              <w:left w:w="65" w:type="dxa"/>
              <w:right w:w="65" w:type="dxa"/>
            </w:tcMar>
          </w:tcPr>
          <w:p>
            <w:pPr>
              <w:spacing w:before="30" w:after="30" w:line="252" w:lineRule="auto"/>
            </w:pPr>
            <w:r>
              <w:rPr>
                <w:rFonts w:ascii="Arial" w:hAnsi="Arial" w:eastAsia="宋体"/>
                <w:b w:val="0"/>
                <w:i w:val="0"/>
                <w:sz w:val="19"/>
              </w:rPr>
              <w:t>9,580.00</w:t>
            </w:r>
          </w:p>
        </w:tc>
        <w:tc>
          <w:tcPr>
            <w:tcW w:type="dxa" w:w="3333"/>
            <w:vAlign w:val="top"/>
            <w:tcMar>
              <w:top w:w="65" w:type="dxa"/>
              <w:bottom w:w="65" w:type="dxa"/>
              <w:left w:w="65" w:type="dxa"/>
              <w:right w:w="65" w:type="dxa"/>
            </w:tcMar>
          </w:tcPr>
          <w:p>
            <w:pPr>
              <w:spacing w:before="30" w:after="30" w:line="252" w:lineRule="auto"/>
            </w:pPr>
            <w:r>
              <w:rPr>
                <w:rFonts w:ascii="Arial" w:hAnsi="Arial" w:eastAsia="宋体"/>
                <w:b w:val="0"/>
                <w:i w:val="0"/>
                <w:sz w:val="19"/>
              </w:rPr>
              <w:t>资产负债表</w:t>
            </w:r>
          </w:p>
        </w:tc>
      </w:tr>
      <w:tr>
        <w:trPr>
          <w:cantSplit/>
        </w:trPr>
        <w:tc>
          <w:tcPr>
            <w:tcW w:type="dxa" w:w="25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负债合计与权益</w:t>
            </w:r>
          </w:p>
        </w:tc>
        <w:tc>
          <w:tcPr>
            <w:tcW w:type="dxa" w:w="37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4,730.00及4,850.00；两者相加为资产</w:t>
            </w:r>
          </w:p>
        </w:tc>
        <w:tc>
          <w:tcPr>
            <w:tcW w:type="dxa" w:w="33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资产负债表及勾稽检查</w:t>
            </w:r>
          </w:p>
        </w:tc>
      </w:tr>
      <w:tr>
        <w:trPr>
          <w:cantSplit/>
        </w:trPr>
        <w:tc>
          <w:tcPr>
            <w:tcW w:type="dxa" w:w="2592"/>
            <w:vAlign w:val="top"/>
            <w:tcMar>
              <w:top w:w="65" w:type="dxa"/>
              <w:bottom w:w="65" w:type="dxa"/>
              <w:left w:w="65" w:type="dxa"/>
              <w:right w:w="65" w:type="dxa"/>
            </w:tcMar>
          </w:tcPr>
          <w:p>
            <w:pPr>
              <w:spacing w:before="30" w:after="30" w:line="252" w:lineRule="auto"/>
            </w:pPr>
            <w:r>
              <w:rPr>
                <w:rFonts w:ascii="Arial" w:hAnsi="Arial" w:eastAsia="宋体"/>
                <w:b w:val="0"/>
                <w:i w:val="0"/>
                <w:sz w:val="19"/>
              </w:rPr>
              <w:t>经营现金净额</w:t>
            </w:r>
          </w:p>
        </w:tc>
        <w:tc>
          <w:tcPr>
            <w:tcW w:type="dxa" w:w="3713"/>
            <w:vAlign w:val="top"/>
            <w:tcMar>
              <w:top w:w="65" w:type="dxa"/>
              <w:bottom w:w="65" w:type="dxa"/>
              <w:left w:w="65" w:type="dxa"/>
              <w:right w:w="65" w:type="dxa"/>
            </w:tcMar>
          </w:tcPr>
          <w:p>
            <w:pPr>
              <w:spacing w:before="30" w:after="30" w:line="252" w:lineRule="auto"/>
            </w:pPr>
            <w:r>
              <w:rPr>
                <w:rFonts w:ascii="Arial" w:hAnsi="Arial" w:eastAsia="宋体"/>
                <w:b w:val="0"/>
                <w:i w:val="0"/>
                <w:sz w:val="19"/>
              </w:rPr>
              <w:t>1,450.00</w:t>
            </w:r>
          </w:p>
        </w:tc>
        <w:tc>
          <w:tcPr>
            <w:tcW w:type="dxa" w:w="3333"/>
            <w:vAlign w:val="top"/>
            <w:tcMar>
              <w:top w:w="65" w:type="dxa"/>
              <w:bottom w:w="65" w:type="dxa"/>
              <w:left w:w="65" w:type="dxa"/>
              <w:right w:w="65" w:type="dxa"/>
            </w:tcMar>
          </w:tcPr>
          <w:p>
            <w:pPr>
              <w:spacing w:before="30" w:after="30" w:line="252" w:lineRule="auto"/>
            </w:pPr>
            <w:r>
              <w:rPr>
                <w:rFonts w:ascii="Arial" w:hAnsi="Arial" w:eastAsia="宋体"/>
                <w:b w:val="0"/>
                <w:i w:val="0"/>
                <w:sz w:val="19"/>
              </w:rPr>
              <w:t>现金流量表</w:t>
            </w:r>
          </w:p>
        </w:tc>
      </w:tr>
      <w:tr>
        <w:trPr>
          <w:cantSplit/>
        </w:trPr>
        <w:tc>
          <w:tcPr>
            <w:tcW w:type="dxa" w:w="25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期初现金、现金净增、期末现金</w:t>
            </w:r>
          </w:p>
        </w:tc>
        <w:tc>
          <w:tcPr>
            <w:tcW w:type="dxa" w:w="371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1,680.00、370.00、2,050.00</w:t>
            </w:r>
          </w:p>
        </w:tc>
        <w:tc>
          <w:tcPr>
            <w:tcW w:type="dxa" w:w="333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现金流量表；1,680+370=2,050</w:t>
            </w:r>
          </w:p>
        </w:tc>
      </w:tr>
    </w:tbl>
    <w:p>
      <w:pPr>
        <w:spacing w:after="40"/>
      </w:pPr>
    </w:p>
    <w:p>
      <w:r>
        <w:rPr>
          <w:rFonts w:ascii="Arial" w:hAnsi="Arial" w:eastAsia="宋体"/>
          <w:b w:val="0"/>
          <w:i w:val="0"/>
        </w:rPr>
      </w:r>
      <w:r>
        <w:rPr>
          <w:rFonts w:ascii="Arial" w:hAnsi="Arial" w:eastAsia="宋体"/>
          <w:b/>
          <w:i w:val="0"/>
        </w:rPr>
        <w:t>继续观察。</w:t>
      </w:r>
      <w:r>
        <w:rPr>
          <w:rFonts w:ascii="Arial" w:hAnsi="Arial" w:eastAsia="宋体"/>
          <w:b w:val="0"/>
          <w:i w:val="0"/>
        </w:rPr>
        <w:t xml:space="preserve"> 将顶部币种切换为美元USD，收入应显示约1,830.99万美元；恢复人民币后再进行后续金额录入。进入“经营差异与钻取”，确认比较基准为默认“V2 年度目标”，年度销售目标为18,400.00万元，09期均匀分摊的收入预算累计为13,800.00万元，实际收入差异为-800.00万元。</w:t>
      </w:r>
    </w:p>
    <w:p>
      <w:r>
        <w:rPr>
          <w:rFonts w:ascii="Arial" w:hAnsi="Arial" w:eastAsia="宋体"/>
          <w:b w:val="0"/>
          <w:i w:val="0"/>
        </w:rPr>
      </w:r>
      <w:r>
        <w:rPr>
          <w:rFonts w:ascii="Arial" w:hAnsi="Arial" w:eastAsia="宋体"/>
          <w:b/>
          <w:i w:val="0"/>
        </w:rPr>
        <w:t>验证点与恢复。</w:t>
      </w:r>
      <w:r>
        <w:rPr>
          <w:rFonts w:ascii="Arial" w:hAnsi="Arial" w:eastAsia="宋体"/>
          <w:b w:val="0"/>
          <w:i w:val="0"/>
        </w:rPr>
        <w:t xml:space="preserve"> 本例没有保存财务金额，切换币种或菜单后仍应读到相同源数据。若金额不符，先检查期间、集团、法人、币种、是否已有导入或新增已审批凭证。不要为了与本书一致而删除已有账套；请使用新的案例目录。</w:t>
      </w:r>
    </w:p>
    <w:p>
      <w:pPr>
        <w:keepNext/>
        <w:jc w:val="center"/>
      </w:pPr>
      <w:r>
        <w:drawing>
          <wp:inline xmlns:a="http://schemas.openxmlformats.org/drawingml/2006/main" xmlns:pic="http://schemas.openxmlformats.org/drawingml/2006/picture">
            <wp:extent cx="5620986" cy="6696000"/>
            <wp:docPr id="2" name="Picture 2"/>
            <wp:cNvGraphicFramePr>
              <a:graphicFrameLocks noChangeAspect="1"/>
            </wp:cNvGraphicFramePr>
            <a:graphic>
              <a:graphicData uri="http://schemas.openxmlformats.org/drawingml/2006/picture">
                <pic:pic>
                  <pic:nvPicPr>
                    <pic:cNvPr id="0" name="statements.png"/>
                    <pic:cNvPicPr/>
                  </pic:nvPicPr>
                  <pic:blipFill>
                    <a:blip r:embed="rId12"/>
                    <a:stretch>
                      <a:fillRect/>
                    </a:stretch>
                  </pic:blipFill>
                  <pic:spPr>
                    <a:xfrm>
                      <a:off x="0" y="0"/>
                      <a:ext cx="5620986" cy="6696000"/>
                    </a:xfrm>
                    <a:prstGeom prst="rect"/>
                  </pic:spPr>
                </pic:pic>
              </a:graphicData>
            </a:graphic>
          </wp:inline>
        </w:drawing>
      </w:r>
    </w:p>
    <w:p>
      <w:pPr>
        <w:jc w:val="center"/>
      </w:pPr>
      <w:r>
        <w:rPr>
          <w:rFonts w:ascii="Arial" w:hAnsi="Arial" w:eastAsia="宋体"/>
          <w:color w:val="66758D"/>
          <w:sz w:val="18"/>
        </w:rPr>
        <w:t>图 2  集团三张报表</w:t>
      </w:r>
    </w:p>
    <w:p>
      <w:pPr>
        <w:pStyle w:val="Heading2"/>
      </w:pPr>
      <w:bookmarkStart w:id="23" w:name="epm_23"/>
      <w:r>
        <w:rPr>
          <w:rFonts w:ascii="Arial" w:hAnsi="Arial" w:eastAsia="宋体"/>
          <w:b w:val="0"/>
          <w:i w:val="0"/>
        </w:rPr>
        <w:t>6.2 案例二：修改销售目标并形成独立调整版</w:t>
      </w:r>
      <w:bookmarkEnd w:id="23"/>
    </w:p>
    <w:p>
      <w:r>
        <w:rPr>
          <w:rFonts w:ascii="Arial" w:hAnsi="Arial" w:eastAsia="宋体"/>
          <w:b w:val="0"/>
          <w:i w:val="0"/>
        </w:rPr>
      </w:r>
      <w:r>
        <w:rPr>
          <w:rFonts w:ascii="Arial" w:hAnsi="Arial" w:eastAsia="宋体"/>
          <w:b/>
          <w:i w:val="0"/>
        </w:rPr>
        <w:t>业务故事。</w:t>
      </w:r>
      <w:r>
        <w:rPr>
          <w:rFonts w:ascii="Arial" w:hAnsi="Arial" w:eastAsia="宋体"/>
          <w:b w:val="0"/>
          <w:i w:val="0"/>
        </w:rPr>
        <w:t xml:space="preserve"> 预算负责人认为年度基础收入目标应增加123.45万元。负责人审批并锁定该方案后，又提出新增门店收入100万元。业务要求保留已经锁定的目标，不能让审批后的历史版本被覆盖。</w:t>
      </w:r>
    </w:p>
    <w:p>
      <w:r>
        <w:rPr>
          <w:rFonts w:ascii="Arial" w:hAnsi="Arial" w:eastAsia="宋体"/>
          <w:b w:val="0"/>
          <w:i w:val="0"/>
        </w:rPr>
      </w:r>
      <w:r>
        <w:rPr>
          <w:rFonts w:ascii="Arial" w:hAnsi="Arial" w:eastAsia="宋体"/>
          <w:b/>
          <w:i w:val="0"/>
        </w:rPr>
        <w:t>准备独立草稿。</w:t>
      </w:r>
      <w:r>
        <w:rPr>
          <w:rFonts w:ascii="Arial" w:hAnsi="Arial" w:eastAsia="宋体"/>
          <w:b w:val="0"/>
          <w:i w:val="0"/>
        </w:rPr>
        <w:t xml:space="preserve"> 在“版本与多情景”切换到默认“V2 年度目标”，点击“复制当前版本”。新版本名称填写“案例A_收入目标”，情景选“年度预算”，点击“保存新版本”。新版本应为“编制中”，四层金额与默认V2一致。复制之前应确认当前版本，避免复制了已经调整过的其他版本。</w:t>
      </w:r>
    </w:p>
    <w:p>
      <w:r>
        <w:rPr>
          <w:rFonts w:ascii="Arial" w:hAnsi="Arial" w:eastAsia="宋体"/>
          <w:b w:val="0"/>
          <w:i w:val="0"/>
        </w:rPr>
      </w:r>
      <w:r>
        <w:rPr>
          <w:rFonts w:ascii="Arial" w:hAnsi="Arial" w:eastAsia="宋体"/>
          <w:b/>
          <w:i w:val="0"/>
        </w:rPr>
        <w:t>编制输入。</w:t>
      </w:r>
      <w:r>
        <w:rPr>
          <w:rFonts w:ascii="Arial" w:hAnsi="Arial" w:eastAsia="宋体"/>
          <w:b w:val="0"/>
          <w:i w:val="0"/>
        </w:rPr>
        <w:t xml:space="preserve"> 进入“预算编制与分摊”，预算类型选“销售预算”。在“基础层”行点击“调整本层”，将年度金额由16,000.00改为16,123.45，点击“保存本层”。其余三层保持挑战层1,066.67、管理层800.00、董事会层533.33。全年目标应为18,523.45万元。</w:t>
      </w:r>
    </w:p>
    <w:p>
      <w:r>
        <w:rPr>
          <w:rFonts w:ascii="Arial" w:hAnsi="Arial" w:eastAsia="宋体"/>
          <w:b w:val="0"/>
          <w:i w:val="0"/>
        </w:rPr>
      </w:r>
      <w:r>
        <w:rPr>
          <w:rFonts w:ascii="Arial" w:hAnsi="Arial" w:eastAsia="宋体"/>
          <w:b/>
          <w:i w:val="0"/>
        </w:rPr>
        <w:t>审批与锁定。</w:t>
      </w:r>
      <w:r>
        <w:rPr>
          <w:rFonts w:ascii="Arial" w:hAnsi="Arial" w:eastAsia="宋体"/>
          <w:b w:val="0"/>
          <w:i w:val="0"/>
        </w:rPr>
        <w:t xml:space="preserve"> 进入“预算周期与审批”，依次点击“提交本版审批”“集团审核通过”“锁定已审批版本”。状态应依次为审核中、已审批、已锁定。回到编制页时，已锁定版本不允许直接修改；即使通过接口提交不符合状态的修改，服务端也应拒绝。</w:t>
      </w:r>
    </w:p>
    <w:p>
      <w:r>
        <w:rPr>
          <w:rFonts w:ascii="Arial" w:hAnsi="Arial" w:eastAsia="宋体"/>
          <w:b w:val="0"/>
          <w:i w:val="0"/>
        </w:rPr>
      </w:r>
      <w:r>
        <w:rPr>
          <w:rFonts w:ascii="Arial" w:hAnsi="Arial" w:eastAsia="宋体"/>
          <w:b/>
          <w:i w:val="0"/>
        </w:rPr>
        <w:t>独立调整输入。</w:t>
      </w:r>
      <w:r>
        <w:rPr>
          <w:rFonts w:ascii="Arial" w:hAnsi="Arial" w:eastAsia="宋体"/>
          <w:b w:val="0"/>
          <w:i w:val="0"/>
        </w:rPr>
        <w:t xml:space="preserve"> 进入“预算调整与滚动预测”，点击“发起预算调整”。确认来源版本为“案例A_收入目标”，年度收入增量填100.00，调整预算层选“基础层”，原因填“新增门店收入目标100万元，保留原锁定方案”。点击“保存调整申请”。此时只是待审批申请，原版金额仍应为18,523.45。</w:t>
      </w:r>
    </w:p>
    <w:p>
      <w:r>
        <w:rPr>
          <w:rFonts w:ascii="Arial" w:hAnsi="Arial" w:eastAsia="宋体"/>
          <w:b w:val="0"/>
          <w:i w:val="0"/>
        </w:rPr>
        <w:t>在申请行点击“查看与审批”，核对来源快照，点击“批准并生成新版本”。批准结果为独立预算版本，基础层16,223.45，全年18,623.45，状态为已审批。系统自动生成名称，记录该名称以便比较。</w:t>
      </w:r>
    </w:p>
    <w:tbl>
      <w:tblPr>
        <w:tblStyle w:val="TableGrid"/>
        <w:tblW w:type="auto" w:w="0"/>
        <w:jc w:val="center"/>
        <w:tblLayout w:type="fixed"/>
        <w:tblLook w:firstColumn="1" w:firstRow="1" w:lastColumn="0" w:lastRow="0" w:noHBand="0" w:noVBand="1" w:val="04A0"/>
      </w:tblPr>
      <w:tblGrid>
        <w:gridCol w:w="2256"/>
        <w:gridCol w:w="2636"/>
        <w:gridCol w:w="2636"/>
        <w:gridCol w:w="2110"/>
      </w:tblGrid>
      <w:tr>
        <w:trPr>
          <w:cantSplit/>
          <w:tblHeader w:val="true"/>
        </w:trPr>
        <w:tc>
          <w:tcPr>
            <w:tcW w:type="dxa" w:w="225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观察时点</w:t>
            </w:r>
          </w:p>
        </w:tc>
        <w:tc>
          <w:tcPr>
            <w:tcW w:type="dxa" w:w="26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基础层</w:t>
            </w:r>
          </w:p>
        </w:tc>
        <w:tc>
          <w:tcPr>
            <w:tcW w:type="dxa" w:w="26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全年收入目标</w:t>
            </w:r>
          </w:p>
        </w:tc>
        <w:tc>
          <w:tcPr>
            <w:tcW w:type="dxa" w:w="211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状态</w:t>
            </w:r>
          </w:p>
        </w:tc>
      </w:tr>
      <w:tr>
        <w:trPr>
          <w:cantSplit/>
        </w:trPr>
        <w:tc>
          <w:tcPr>
            <w:tcW w:type="dxa" w:w="2256"/>
            <w:vAlign w:val="top"/>
            <w:tcMar>
              <w:top w:w="65" w:type="dxa"/>
              <w:bottom w:w="65" w:type="dxa"/>
              <w:left w:w="65" w:type="dxa"/>
              <w:right w:w="65" w:type="dxa"/>
            </w:tcMar>
          </w:tcPr>
          <w:p>
            <w:pPr>
              <w:spacing w:before="30" w:after="30" w:line="252" w:lineRule="auto"/>
            </w:pPr>
            <w:r>
              <w:rPr>
                <w:rFonts w:ascii="Arial" w:hAnsi="Arial" w:eastAsia="宋体"/>
                <w:b w:val="0"/>
                <w:i w:val="0"/>
                <w:sz w:val="18"/>
              </w:rPr>
              <w:t>复制默认V2后</w:t>
            </w:r>
          </w:p>
        </w:tc>
        <w:tc>
          <w:tcPr>
            <w:tcW w:type="dxa" w:w="2636"/>
            <w:vAlign w:val="top"/>
            <w:tcMar>
              <w:top w:w="65" w:type="dxa"/>
              <w:bottom w:w="65" w:type="dxa"/>
              <w:left w:w="65" w:type="dxa"/>
              <w:right w:w="65" w:type="dxa"/>
            </w:tcMar>
          </w:tcPr>
          <w:p>
            <w:pPr>
              <w:spacing w:before="30" w:after="30" w:line="252" w:lineRule="auto"/>
            </w:pPr>
            <w:r>
              <w:rPr>
                <w:rFonts w:ascii="Arial" w:hAnsi="Arial" w:eastAsia="宋体"/>
                <w:b w:val="0"/>
                <w:i w:val="0"/>
                <w:sz w:val="18"/>
              </w:rPr>
              <w:t>16,000.00</w:t>
            </w:r>
          </w:p>
        </w:tc>
        <w:tc>
          <w:tcPr>
            <w:tcW w:type="dxa" w:w="2636"/>
            <w:vAlign w:val="top"/>
            <w:tcMar>
              <w:top w:w="65" w:type="dxa"/>
              <w:bottom w:w="65" w:type="dxa"/>
              <w:left w:w="65" w:type="dxa"/>
              <w:right w:w="65" w:type="dxa"/>
            </w:tcMar>
          </w:tcPr>
          <w:p>
            <w:pPr>
              <w:spacing w:before="30" w:after="30" w:line="252" w:lineRule="auto"/>
            </w:pPr>
            <w:r>
              <w:rPr>
                <w:rFonts w:ascii="Arial" w:hAnsi="Arial" w:eastAsia="宋体"/>
                <w:b w:val="0"/>
                <w:i w:val="0"/>
                <w:sz w:val="18"/>
              </w:rPr>
              <w:t>18,400.00</w:t>
            </w:r>
          </w:p>
        </w:tc>
        <w:tc>
          <w:tcPr>
            <w:tcW w:type="dxa" w:w="2110"/>
            <w:vAlign w:val="top"/>
            <w:tcMar>
              <w:top w:w="65" w:type="dxa"/>
              <w:bottom w:w="65" w:type="dxa"/>
              <w:left w:w="65" w:type="dxa"/>
              <w:right w:w="65" w:type="dxa"/>
            </w:tcMar>
          </w:tcPr>
          <w:p>
            <w:pPr>
              <w:spacing w:before="30" w:after="30" w:line="252" w:lineRule="auto"/>
            </w:pPr>
            <w:r>
              <w:rPr>
                <w:rFonts w:ascii="Arial" w:hAnsi="Arial" w:eastAsia="宋体"/>
                <w:b w:val="0"/>
                <w:i w:val="0"/>
                <w:sz w:val="18"/>
              </w:rPr>
              <w:t>编制中</w:t>
            </w:r>
          </w:p>
        </w:tc>
      </w:tr>
      <w:tr>
        <w:trPr>
          <w:cantSplit/>
        </w:trPr>
        <w:tc>
          <w:tcPr>
            <w:tcW w:type="dxa" w:w="22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本例修改并保存</w:t>
            </w:r>
          </w:p>
        </w:tc>
        <w:tc>
          <w:tcPr>
            <w:tcW w:type="dxa" w:w="26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16,123.45</w:t>
            </w:r>
          </w:p>
        </w:tc>
        <w:tc>
          <w:tcPr>
            <w:tcW w:type="dxa" w:w="26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18,523.45</w:t>
            </w:r>
          </w:p>
        </w:tc>
        <w:tc>
          <w:tcPr>
            <w:tcW w:type="dxa" w:w="21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编制中</w:t>
            </w:r>
          </w:p>
        </w:tc>
      </w:tr>
      <w:tr>
        <w:trPr>
          <w:cantSplit/>
        </w:trPr>
        <w:tc>
          <w:tcPr>
            <w:tcW w:type="dxa" w:w="2256"/>
            <w:vAlign w:val="top"/>
            <w:tcMar>
              <w:top w:w="65" w:type="dxa"/>
              <w:bottom w:w="65" w:type="dxa"/>
              <w:left w:w="65" w:type="dxa"/>
              <w:right w:w="65" w:type="dxa"/>
            </w:tcMar>
          </w:tcPr>
          <w:p>
            <w:pPr>
              <w:spacing w:before="30" w:after="30" w:line="252" w:lineRule="auto"/>
            </w:pPr>
            <w:r>
              <w:rPr>
                <w:rFonts w:ascii="Arial" w:hAnsi="Arial" w:eastAsia="宋体"/>
                <w:b w:val="0"/>
                <w:i w:val="0"/>
                <w:sz w:val="18"/>
              </w:rPr>
              <w:t>审批锁定后原版</w:t>
            </w:r>
          </w:p>
        </w:tc>
        <w:tc>
          <w:tcPr>
            <w:tcW w:type="dxa" w:w="2636"/>
            <w:vAlign w:val="top"/>
            <w:tcMar>
              <w:top w:w="65" w:type="dxa"/>
              <w:bottom w:w="65" w:type="dxa"/>
              <w:left w:w="65" w:type="dxa"/>
              <w:right w:w="65" w:type="dxa"/>
            </w:tcMar>
          </w:tcPr>
          <w:p>
            <w:pPr>
              <w:spacing w:before="30" w:after="30" w:line="252" w:lineRule="auto"/>
            </w:pPr>
            <w:r>
              <w:rPr>
                <w:rFonts w:ascii="Arial" w:hAnsi="Arial" w:eastAsia="宋体"/>
                <w:b w:val="0"/>
                <w:i w:val="0"/>
                <w:sz w:val="18"/>
              </w:rPr>
              <w:t>16,123.45</w:t>
            </w:r>
          </w:p>
        </w:tc>
        <w:tc>
          <w:tcPr>
            <w:tcW w:type="dxa" w:w="2636"/>
            <w:vAlign w:val="top"/>
            <w:tcMar>
              <w:top w:w="65" w:type="dxa"/>
              <w:bottom w:w="65" w:type="dxa"/>
              <w:left w:w="65" w:type="dxa"/>
              <w:right w:w="65" w:type="dxa"/>
            </w:tcMar>
          </w:tcPr>
          <w:p>
            <w:pPr>
              <w:spacing w:before="30" w:after="30" w:line="252" w:lineRule="auto"/>
            </w:pPr>
            <w:r>
              <w:rPr>
                <w:rFonts w:ascii="Arial" w:hAnsi="Arial" w:eastAsia="宋体"/>
                <w:b w:val="0"/>
                <w:i w:val="0"/>
                <w:sz w:val="18"/>
              </w:rPr>
              <w:t>18,523.45</w:t>
            </w:r>
          </w:p>
        </w:tc>
        <w:tc>
          <w:tcPr>
            <w:tcW w:type="dxa" w:w="2110"/>
            <w:vAlign w:val="top"/>
            <w:tcMar>
              <w:top w:w="65" w:type="dxa"/>
              <w:bottom w:w="65" w:type="dxa"/>
              <w:left w:w="65" w:type="dxa"/>
              <w:right w:w="65" w:type="dxa"/>
            </w:tcMar>
          </w:tcPr>
          <w:p>
            <w:pPr>
              <w:spacing w:before="30" w:after="30" w:line="252" w:lineRule="auto"/>
            </w:pPr>
            <w:r>
              <w:rPr>
                <w:rFonts w:ascii="Arial" w:hAnsi="Arial" w:eastAsia="宋体"/>
                <w:b w:val="0"/>
                <w:i w:val="0"/>
                <w:sz w:val="18"/>
              </w:rPr>
              <w:t>已锁定</w:t>
            </w:r>
          </w:p>
        </w:tc>
      </w:tr>
      <w:tr>
        <w:trPr>
          <w:cantSplit/>
        </w:trPr>
        <w:tc>
          <w:tcPr>
            <w:tcW w:type="dxa" w:w="22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申请待审批</w:t>
            </w:r>
          </w:p>
        </w:tc>
        <w:tc>
          <w:tcPr>
            <w:tcW w:type="dxa" w:w="26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原版不变</w:t>
            </w:r>
          </w:p>
        </w:tc>
        <w:tc>
          <w:tcPr>
            <w:tcW w:type="dxa" w:w="26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原版不变</w:t>
            </w:r>
          </w:p>
        </w:tc>
        <w:tc>
          <w:tcPr>
            <w:tcW w:type="dxa" w:w="21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调整单待审批</w:t>
            </w:r>
          </w:p>
        </w:tc>
      </w:tr>
      <w:tr>
        <w:trPr>
          <w:cantSplit/>
        </w:trPr>
        <w:tc>
          <w:tcPr>
            <w:tcW w:type="dxa" w:w="2256"/>
            <w:vAlign w:val="top"/>
            <w:tcMar>
              <w:top w:w="65" w:type="dxa"/>
              <w:bottom w:w="65" w:type="dxa"/>
              <w:left w:w="65" w:type="dxa"/>
              <w:right w:w="65" w:type="dxa"/>
            </w:tcMar>
          </w:tcPr>
          <w:p>
            <w:pPr>
              <w:spacing w:before="30" w:after="30" w:line="252" w:lineRule="auto"/>
            </w:pPr>
            <w:r>
              <w:rPr>
                <w:rFonts w:ascii="Arial" w:hAnsi="Arial" w:eastAsia="宋体"/>
                <w:b w:val="0"/>
                <w:i w:val="0"/>
                <w:sz w:val="18"/>
              </w:rPr>
              <w:t>批准后的独立版</w:t>
            </w:r>
          </w:p>
        </w:tc>
        <w:tc>
          <w:tcPr>
            <w:tcW w:type="dxa" w:w="2636"/>
            <w:vAlign w:val="top"/>
            <w:tcMar>
              <w:top w:w="65" w:type="dxa"/>
              <w:bottom w:w="65" w:type="dxa"/>
              <w:left w:w="65" w:type="dxa"/>
              <w:right w:w="65" w:type="dxa"/>
            </w:tcMar>
          </w:tcPr>
          <w:p>
            <w:pPr>
              <w:spacing w:before="30" w:after="30" w:line="252" w:lineRule="auto"/>
            </w:pPr>
            <w:r>
              <w:rPr>
                <w:rFonts w:ascii="Arial" w:hAnsi="Arial" w:eastAsia="宋体"/>
                <w:b w:val="0"/>
                <w:i w:val="0"/>
                <w:sz w:val="18"/>
              </w:rPr>
              <w:t>16,223.45</w:t>
            </w:r>
          </w:p>
        </w:tc>
        <w:tc>
          <w:tcPr>
            <w:tcW w:type="dxa" w:w="2636"/>
            <w:vAlign w:val="top"/>
            <w:tcMar>
              <w:top w:w="65" w:type="dxa"/>
              <w:bottom w:w="65" w:type="dxa"/>
              <w:left w:w="65" w:type="dxa"/>
              <w:right w:w="65" w:type="dxa"/>
            </w:tcMar>
          </w:tcPr>
          <w:p>
            <w:pPr>
              <w:spacing w:before="30" w:after="30" w:line="252" w:lineRule="auto"/>
            </w:pPr>
            <w:r>
              <w:rPr>
                <w:rFonts w:ascii="Arial" w:hAnsi="Arial" w:eastAsia="宋体"/>
                <w:b w:val="0"/>
                <w:i w:val="0"/>
                <w:sz w:val="18"/>
              </w:rPr>
              <w:t>18,623.45</w:t>
            </w:r>
          </w:p>
        </w:tc>
        <w:tc>
          <w:tcPr>
            <w:tcW w:type="dxa" w:w="2110"/>
            <w:vAlign w:val="top"/>
            <w:tcMar>
              <w:top w:w="65" w:type="dxa"/>
              <w:bottom w:w="65" w:type="dxa"/>
              <w:left w:w="65" w:type="dxa"/>
              <w:right w:w="65" w:type="dxa"/>
            </w:tcMar>
          </w:tcPr>
          <w:p>
            <w:pPr>
              <w:spacing w:before="30" w:after="30" w:line="252" w:lineRule="auto"/>
            </w:pPr>
            <w:r>
              <w:rPr>
                <w:rFonts w:ascii="Arial" w:hAnsi="Arial" w:eastAsia="宋体"/>
                <w:b w:val="0"/>
                <w:i w:val="0"/>
                <w:sz w:val="18"/>
              </w:rPr>
              <w:t>已审批</w:t>
            </w:r>
          </w:p>
        </w:tc>
      </w:tr>
      <w:tr>
        <w:trPr>
          <w:cantSplit/>
        </w:trPr>
        <w:tc>
          <w:tcPr>
            <w:tcW w:type="dxa" w:w="22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重新切回原版</w:t>
            </w:r>
          </w:p>
        </w:tc>
        <w:tc>
          <w:tcPr>
            <w:tcW w:type="dxa" w:w="26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16,123.45</w:t>
            </w:r>
          </w:p>
        </w:tc>
        <w:tc>
          <w:tcPr>
            <w:tcW w:type="dxa" w:w="26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18,523.45</w:t>
            </w:r>
          </w:p>
        </w:tc>
        <w:tc>
          <w:tcPr>
            <w:tcW w:type="dxa" w:w="211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仍已锁定</w:t>
            </w:r>
          </w:p>
        </w:tc>
      </w:tr>
    </w:tbl>
    <w:p>
      <w:pPr>
        <w:spacing w:after="40"/>
      </w:pPr>
    </w:p>
    <w:p>
      <w:r>
        <w:rPr>
          <w:rFonts w:ascii="Arial" w:hAnsi="Arial" w:eastAsia="宋体"/>
          <w:b w:val="0"/>
          <w:i w:val="0"/>
        </w:rPr>
      </w:r>
      <w:r>
        <w:rPr>
          <w:rFonts w:ascii="Arial" w:hAnsi="Arial" w:eastAsia="宋体"/>
          <w:b/>
          <w:i w:val="0"/>
        </w:rPr>
        <w:t>最终验证。</w:t>
      </w:r>
      <w:r>
        <w:rPr>
          <w:rFonts w:ascii="Arial" w:hAnsi="Arial" w:eastAsia="宋体"/>
          <w:b w:val="0"/>
          <w:i w:val="0"/>
        </w:rPr>
        <w:t xml:space="preserve"> 进入“版本与多情景”，先切回“案例A_收入目标”，确认原金额和锁定状态没有改变；再切换批准版本，确认增加100.00万元。刷新浏览器或安全退出后重新打开，版本及金额仍应保留。实际收入13,000.00不会因预算调整而变化。</w:t>
      </w:r>
    </w:p>
    <w:p>
      <w:r>
        <w:rPr>
          <w:rFonts w:ascii="Arial" w:hAnsi="Arial" w:eastAsia="宋体"/>
          <w:b w:val="0"/>
          <w:i w:val="0"/>
        </w:rPr>
      </w:r>
      <w:r>
        <w:rPr>
          <w:rFonts w:ascii="Arial" w:hAnsi="Arial" w:eastAsia="宋体"/>
          <w:b/>
          <w:i w:val="0"/>
        </w:rPr>
        <w:t>失败与恢复。</w:t>
      </w:r>
      <w:r>
        <w:rPr>
          <w:rFonts w:ascii="Arial" w:hAnsi="Arial" w:eastAsia="宋体"/>
          <w:b w:val="0"/>
          <w:i w:val="0"/>
        </w:rPr>
        <w:t xml:space="preserve"> 若提示版本名称重复，更换新名称；若编制按钮不可用，确认已切入新草稿而非锁定版本；若审批不可用，检查是否已提交及当前角色。误建的版本不要通过删除数据库清除，可记录为试验版本并继续使用新的独立名称。</w:t>
      </w:r>
    </w:p>
    <w:p>
      <w:pPr>
        <w:keepNext/>
        <w:jc w:val="center"/>
      </w:pPr>
      <w:r>
        <w:drawing>
          <wp:inline xmlns:a="http://schemas.openxmlformats.org/drawingml/2006/main" xmlns:pic="http://schemas.openxmlformats.org/drawingml/2006/picture">
            <wp:extent cx="6048000" cy="3780000"/>
            <wp:docPr id="3" name="Picture 3"/>
            <wp:cNvGraphicFramePr>
              <a:graphicFrameLocks noChangeAspect="1"/>
            </wp:cNvGraphicFramePr>
            <a:graphic>
              <a:graphicData uri="http://schemas.openxmlformats.org/drawingml/2006/picture">
                <pic:pic>
                  <pic:nvPicPr>
                    <pic:cNvPr id="0" name="budget-persisted-after-restart.png"/>
                    <pic:cNvPicPr/>
                  </pic:nvPicPr>
                  <pic:blipFill>
                    <a:blip r:embed="rId13"/>
                    <a:stretch>
                      <a:fillRect/>
                    </a:stretch>
                  </pic:blipFill>
                  <pic:spPr>
                    <a:xfrm>
                      <a:off x="0" y="0"/>
                      <a:ext cx="6048000" cy="3780000"/>
                    </a:xfrm>
                    <a:prstGeom prst="rect"/>
                  </pic:spPr>
                </pic:pic>
              </a:graphicData>
            </a:graphic>
          </wp:inline>
        </w:drawing>
      </w:r>
    </w:p>
    <w:p>
      <w:pPr>
        <w:jc w:val="center"/>
      </w:pPr>
      <w:r>
        <w:rPr>
          <w:rFonts w:ascii="Arial" w:hAnsi="Arial" w:eastAsia="宋体"/>
          <w:color w:val="66758D"/>
          <w:sz w:val="18"/>
        </w:rPr>
        <w:t>图 3  保存后重启仍保留的预算页面</w:t>
      </w:r>
    </w:p>
    <w:p>
      <w:pPr>
        <w:pStyle w:val="Heading2"/>
      </w:pPr>
      <w:bookmarkStart w:id="24" w:name="epm_24"/>
      <w:r>
        <w:rPr>
          <w:rFonts w:ascii="Arial" w:hAnsi="Arial" w:eastAsia="宋体"/>
          <w:b w:val="0"/>
          <w:i w:val="0"/>
        </w:rPr>
        <w:t>6.3 案例三：量价驱动、分摊与业务明细</w:t>
      </w:r>
      <w:bookmarkEnd w:id="24"/>
    </w:p>
    <w:p>
      <w:r>
        <w:rPr>
          <w:rFonts w:ascii="Arial" w:hAnsi="Arial" w:eastAsia="宋体"/>
          <w:b w:val="0"/>
          <w:i w:val="0"/>
        </w:rPr>
      </w:r>
      <w:r>
        <w:rPr>
          <w:rFonts w:ascii="Arial" w:hAnsi="Arial" w:eastAsia="宋体"/>
          <w:b/>
          <w:i w:val="0"/>
        </w:rPr>
        <w:t>业务故事。</w:t>
      </w:r>
      <w:r>
        <w:rPr>
          <w:rFonts w:ascii="Arial" w:hAnsi="Arial" w:eastAsia="宋体"/>
          <w:b w:val="0"/>
          <w:i w:val="0"/>
        </w:rPr>
        <w:t xml:space="preserve"> 产品经理需要展示“量价驱动收入目标”和“费用编制明细”的区别，防止业务人员将一条费用明细误认为已经驱动完整预算利润表。</w:t>
      </w:r>
    </w:p>
    <w:p>
      <w:r>
        <w:rPr>
          <w:rFonts w:ascii="Arial" w:hAnsi="Arial" w:eastAsia="宋体"/>
          <w:b w:val="0"/>
          <w:i w:val="0"/>
        </w:rPr>
      </w:r>
      <w:r>
        <w:rPr>
          <w:rFonts w:ascii="Arial" w:hAnsi="Arial" w:eastAsia="宋体"/>
          <w:b/>
          <w:i w:val="0"/>
        </w:rPr>
        <w:t>起点。</w:t>
      </w:r>
      <w:r>
        <w:rPr>
          <w:rFonts w:ascii="Arial" w:hAnsi="Arial" w:eastAsia="宋体"/>
          <w:b w:val="0"/>
          <w:i w:val="0"/>
        </w:rPr>
        <w:t xml:space="preserve"> 切回默认V2，复制为“案例B_量价预算”，保持编制中。此时前三层合计17,866.67万元。进入“预算编制与分摊”，点击“销售量价驱动”，年度销量填写2,000，不含税单价填写9.50人民币万元，点击“应用并保存目标”。</w:t>
      </w:r>
    </w:p>
    <w:p>
      <w:r>
        <w:rPr>
          <w:rFonts w:ascii="Arial" w:hAnsi="Arial" w:eastAsia="宋体"/>
          <w:b w:val="0"/>
          <w:i w:val="0"/>
        </w:rPr>
      </w:r>
      <w:r>
        <w:rPr>
          <w:rFonts w:ascii="Arial" w:hAnsi="Arial" w:eastAsia="宋体"/>
          <w:b/>
          <w:i w:val="0"/>
        </w:rPr>
        <w:t>预期结果。</w:t>
      </w:r>
      <w:r>
        <w:rPr>
          <w:rFonts w:ascii="Arial" w:hAnsi="Arial" w:eastAsia="宋体"/>
          <w:b w:val="0"/>
          <w:i w:val="0"/>
        </w:rPr>
        <w:t xml:space="preserve"> 销量×单价为19,000.00万元。服务端将差额放入董事会增量层，所以该层变为1,133.33，前三层仍为16,000.00、1,066.67和800.00。此动作不是把四层都改成19,000.00，也不是额外叠加19,000.00。</w:t>
      </w:r>
    </w:p>
    <w:p>
      <w:r>
        <w:rPr>
          <w:rFonts w:ascii="Arial" w:hAnsi="Arial" w:eastAsia="宋体"/>
          <w:b w:val="0"/>
          <w:i w:val="0"/>
        </w:rPr>
        <w:t>将分摊方案选为“季节性权重”，再点击“预览月份分摊”，检查12期金额及全年合计。季节性权重为5%、5%、7%、8%、8%、9%、9%、9%、10%、10%、10%、10%，全年100%。19,000.00万元的1月分摊为950.00、3月1,330.00、4月1,520.00；全年合计应保持19,000.00。切回“均匀分摊”也应保持全年合计，个别月份可能因分币舍入有0.01差别。</w:t>
      </w:r>
    </w:p>
    <w:p>
      <w:r>
        <w:rPr>
          <w:rFonts w:ascii="Arial" w:hAnsi="Arial" w:eastAsia="宋体"/>
          <w:b w:val="0"/>
          <w:i w:val="0"/>
        </w:rPr>
      </w:r>
      <w:r>
        <w:rPr>
          <w:rFonts w:ascii="Arial" w:hAnsi="Arial" w:eastAsia="宋体"/>
          <w:b/>
          <w:i w:val="0"/>
        </w:rPr>
        <w:t>业务明细输入。</w:t>
      </w:r>
      <w:r>
        <w:rPr>
          <w:rFonts w:ascii="Arial" w:hAnsi="Arial" w:eastAsia="宋体"/>
          <w:b w:val="0"/>
          <w:i w:val="0"/>
        </w:rPr>
        <w:t xml:space="preserve"> 预算类型改为“费用预算”，点击“新增预算明细”。预算项目填“市场活动费”，数量2，单价3.00，预算金额6.00，说明“两场演示活动”，保存。表格应显示该项目、数量2.00、单价3.00、金额6.00。服务端要求金额等于数量×单价，最多两位；如果故意填成999.00，应拒绝保存，原有明细不改变。</w:t>
      </w:r>
    </w:p>
    <w:p>
      <w:r>
        <w:rPr>
          <w:rFonts w:ascii="Arial" w:hAnsi="Arial" w:eastAsia="宋体"/>
          <w:b w:val="0"/>
          <w:i w:val="0"/>
        </w:rPr>
      </w:r>
      <w:r>
        <w:rPr>
          <w:rFonts w:ascii="Arial" w:hAnsi="Arial" w:eastAsia="宋体"/>
          <w:b/>
          <w:i w:val="0"/>
        </w:rPr>
        <w:t>联动边界。</w:t>
      </w:r>
      <w:r>
        <w:rPr>
          <w:rFonts w:ascii="Arial" w:hAnsi="Arial" w:eastAsia="宋体"/>
          <w:b w:val="0"/>
          <w:i w:val="0"/>
        </w:rPr>
        <w:t xml:space="preserve"> 当前销售目标用于收入预算及预实比较；费用、生产、采购、资金等业务明细按版本独立保存。本例费用6.00不会自动替换利润表中的整套成本费用比较基准，也不会创建采购单、工资单或真实支付。评审者应将“业务明细可以编制”与“完整预算模型自动生成三表”分开验收。</w:t>
      </w:r>
    </w:p>
    <w:p>
      <w:r>
        <w:rPr>
          <w:rFonts w:ascii="Arial" w:hAnsi="Arial" w:eastAsia="宋体"/>
          <w:b w:val="0"/>
          <w:i w:val="0"/>
        </w:rPr>
      </w:r>
      <w:r>
        <w:rPr>
          <w:rFonts w:ascii="Arial" w:hAnsi="Arial" w:eastAsia="宋体"/>
          <w:b/>
          <w:i w:val="0"/>
        </w:rPr>
        <w:t>失败与恢复。</w:t>
      </w:r>
      <w:r>
        <w:rPr>
          <w:rFonts w:ascii="Arial" w:hAnsi="Arial" w:eastAsia="宋体"/>
          <w:b w:val="0"/>
          <w:i w:val="0"/>
        </w:rPr>
        <w:t xml:space="preserve"> 如果量价目标小于前三层合计，服务端会拒绝，因为不能通过负的董事会层隐含降低目标。应修改销量、单价或在新草稿中明确调整前三层。若目标已经审批，复制新草稿再演示；不要尝试绕过锁定。</w:t>
      </w:r>
    </w:p>
    <w:p>
      <w:pPr>
        <w:pStyle w:val="Heading2"/>
      </w:pPr>
      <w:bookmarkStart w:id="25" w:name="epm_25"/>
      <w:r>
        <w:rPr>
          <w:rFonts w:ascii="Arial" w:hAnsi="Arial" w:eastAsia="宋体"/>
          <w:b w:val="0"/>
          <w:i w:val="0"/>
        </w:rPr>
        <w:t>6.4 案例四：导入累计试算余额并验证原子性</w:t>
      </w:r>
      <w:bookmarkEnd w:id="25"/>
    </w:p>
    <w:p>
      <w:r>
        <w:rPr>
          <w:rFonts w:ascii="Arial" w:hAnsi="Arial" w:eastAsia="宋体"/>
          <w:b w:val="0"/>
          <w:i w:val="0"/>
        </w:rPr>
      </w:r>
      <w:r>
        <w:rPr>
          <w:rFonts w:ascii="Arial" w:hAnsi="Arial" w:eastAsia="宋体"/>
          <w:b/>
          <w:i w:val="0"/>
        </w:rPr>
        <w:t>业务故事。</w:t>
      </w:r>
      <w:r>
        <w:rPr>
          <w:rFonts w:ascii="Arial" w:hAnsi="Arial" w:eastAsia="宋体"/>
          <w:b w:val="0"/>
          <w:i w:val="0"/>
        </w:rPr>
        <w:t xml:space="preserve"> 法人会计上传9月累计报表。产品需要同时证明正确数据能影响报表、错误批次不能部分落库、9月导入不会覆盖8月。</w:t>
      </w:r>
    </w:p>
    <w:p>
      <w:r>
        <w:rPr>
          <w:rFonts w:ascii="Arial" w:hAnsi="Arial" w:eastAsia="宋体"/>
          <w:b w:val="0"/>
          <w:i w:val="0"/>
        </w:rPr>
      </w:r>
      <w:r>
        <w:rPr>
          <w:rFonts w:ascii="Arial" w:hAnsi="Arial" w:eastAsia="宋体"/>
          <w:b/>
          <w:i w:val="0"/>
        </w:rPr>
        <w:t>准备文件和环境。</w:t>
      </w:r>
      <w:r>
        <w:rPr>
          <w:rFonts w:ascii="Arial" w:hAnsi="Arial" w:eastAsia="宋体"/>
          <w:b w:val="0"/>
          <w:i w:val="0"/>
        </w:rPr>
        <w:t xml:space="preserve"> 使用单独的新案例目录，并保持集团、09期、人民币。运行包中的 </w:t>
      </w:r>
      <w:r>
        <w:rPr>
          <w:rFonts w:ascii="Consolas" w:hAnsi="Consolas" w:eastAsia="宋体"/>
          <w:b w:val="0"/>
          <w:i w:val="0"/>
          <w:sz w:val="18"/>
        </w:rPr>
        <w:t>backend/examples/试算余额_2026年09月_示例.csv</w:t>
      </w:r>
      <w:r>
        <w:rPr>
          <w:rFonts w:ascii="Arial" w:hAnsi="Arial" w:eastAsia="宋体"/>
          <w:b w:val="0"/>
          <w:i w:val="0"/>
        </w:rPr>
        <w:t xml:space="preserve"> 是63行平衡样例；</w:t>
      </w:r>
      <w:r>
        <w:rPr>
          <w:rFonts w:ascii="Consolas" w:hAnsi="Consolas" w:eastAsia="宋体"/>
          <w:b w:val="0"/>
          <w:i w:val="0"/>
          <w:sz w:val="18"/>
        </w:rPr>
        <w:t>backend/examples/试算余额_空白模板.csv</w:t>
      </w:r>
      <w:r>
        <w:rPr>
          <w:rFonts w:ascii="Arial" w:hAnsi="Arial" w:eastAsia="宋体"/>
          <w:b w:val="0"/>
          <w:i w:val="0"/>
        </w:rPr>
        <w:t xml:space="preserve"> 及页面下载按钮仅提供表头。请将样例复制到个人演示资料文件夹再修改，保留随包原文件。</w:t>
      </w:r>
    </w:p>
    <w:p>
      <w:r>
        <w:rPr>
          <w:rFonts w:ascii="Arial" w:hAnsi="Arial" w:eastAsia="宋体"/>
          <w:b w:val="0"/>
          <w:i w:val="0"/>
        </w:rPr>
        <w:t>本套文档压缩包的“演示案例附件”另附三份CSV：“案例四_01_完整平衡样例.csv”“案例四_02_制造销售收款增加100万元.csv”“案例四_03_错误样例_借贷不平衡.csv”。可直接用这些副本按以下顺序演示；第三份文件专门用于验证整批拒绝。</w:t>
      </w:r>
    </w:p>
    <w:p>
      <w:r>
        <w:rPr>
          <w:rFonts w:ascii="Arial" w:hAnsi="Arial" w:eastAsia="宋体"/>
          <w:b w:val="0"/>
          <w:i w:val="0"/>
        </w:rPr>
        <w:t>进入“试算平衡报送”，点击“导入报送”，选择平衡样例文件，来源文件名称填写“案例C_初始平衡示例.csv”，核对文本预览后点击“校验并导入”。页面应出现63行导入批次，集团收入仍为13,000.00、净利润1,720.00。此时数值不变并不代表没有导入，而是导入数据与原样例口径相同；应同时查看新增批次及审计记录。</w:t>
      </w:r>
    </w:p>
    <w:p>
      <w:r>
        <w:rPr>
          <w:rFonts w:ascii="Arial" w:hAnsi="Arial" w:eastAsia="宋体"/>
          <w:b w:val="0"/>
          <w:i w:val="0"/>
        </w:rPr>
      </w:r>
      <w:r>
        <w:rPr>
          <w:rFonts w:ascii="Arial" w:hAnsi="Arial" w:eastAsia="宋体"/>
          <w:b/>
          <w:i w:val="0"/>
        </w:rPr>
        <w:t>制作能改变结果的文件。</w:t>
      </w:r>
      <w:r>
        <w:rPr>
          <w:rFonts w:ascii="Arial" w:hAnsi="Arial" w:eastAsia="宋体"/>
          <w:b w:val="0"/>
          <w:i w:val="0"/>
        </w:rPr>
        <w:t xml:space="preserve"> 将该样例另存为“案例C_销售收款增加100.csv”，只修改TY01的两行，其他61行全部保留。下面的修改同时增加营业收入和现金，整批借贷仍平衡。</w:t>
      </w:r>
    </w:p>
    <w:tbl>
      <w:tblPr>
        <w:tblStyle w:val="TableGrid"/>
        <w:tblW w:type="auto" w:w="0"/>
        <w:jc w:val="center"/>
        <w:tblLayout w:type="fixed"/>
        <w:tblLook w:firstColumn="1" w:firstRow="1" w:lastColumn="0" w:lastRow="0" w:noHBand="0" w:noVBand="1" w:val="04A0"/>
      </w:tblPr>
      <w:tblGrid>
        <w:gridCol w:w="1970"/>
        <w:gridCol w:w="3092"/>
        <w:gridCol w:w="2288"/>
        <w:gridCol w:w="2288"/>
      </w:tblGrid>
      <w:tr>
        <w:trPr>
          <w:cantSplit/>
          <w:tblHeader w:val="true"/>
        </w:trPr>
        <w:tc>
          <w:tcPr>
            <w:tcW w:type="dxa" w:w="19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法人</w:t>
            </w:r>
          </w:p>
        </w:tc>
        <w:tc>
          <w:tcPr>
            <w:tcW w:type="dxa" w:w="309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科目</w:t>
            </w:r>
          </w:p>
        </w:tc>
        <w:tc>
          <w:tcPr>
            <w:tcW w:type="dxa" w:w="22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原值</w:t>
            </w:r>
          </w:p>
        </w:tc>
        <w:tc>
          <w:tcPr>
            <w:tcW w:type="dxa" w:w="228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改后值</w:t>
            </w:r>
          </w:p>
        </w:tc>
      </w:tr>
      <w:tr>
        <w:trPr>
          <w:cantSplit/>
        </w:trPr>
        <w:tc>
          <w:tcPr>
            <w:tcW w:type="dxa" w:w="1970"/>
            <w:vAlign w:val="top"/>
            <w:tcMar>
              <w:top w:w="65" w:type="dxa"/>
              <w:bottom w:w="65" w:type="dxa"/>
              <w:left w:w="65" w:type="dxa"/>
              <w:right w:w="65" w:type="dxa"/>
            </w:tcMar>
          </w:tcPr>
          <w:p>
            <w:pPr>
              <w:spacing w:before="30" w:after="30" w:line="252" w:lineRule="auto"/>
            </w:pPr>
            <w:r>
              <w:rPr>
                <w:rFonts w:ascii="Arial" w:hAnsi="Arial" w:eastAsia="宋体"/>
                <w:b w:val="0"/>
                <w:i w:val="0"/>
                <w:sz w:val="18"/>
              </w:rPr>
              <w:t>TY01</w:t>
            </w:r>
          </w:p>
        </w:tc>
        <w:tc>
          <w:tcPr>
            <w:tcW w:type="dxa" w:w="3092"/>
            <w:vAlign w:val="top"/>
            <w:tcMar>
              <w:top w:w="65" w:type="dxa"/>
              <w:bottom w:w="65" w:type="dxa"/>
              <w:left w:w="65" w:type="dxa"/>
              <w:right w:w="65" w:type="dxa"/>
            </w:tcMar>
          </w:tcPr>
          <w:p>
            <w:pPr>
              <w:spacing w:before="30" w:after="30" w:line="252" w:lineRule="auto"/>
            </w:pPr>
            <w:r>
              <w:rPr>
                <w:rFonts w:ascii="Arial" w:hAnsi="Arial" w:eastAsia="宋体"/>
                <w:b w:val="0"/>
                <w:i w:val="0"/>
                <w:sz w:val="18"/>
              </w:rPr>
              <w:t>6001营业收入，贷方余额</w:t>
            </w:r>
          </w:p>
        </w:tc>
        <w:tc>
          <w:tcPr>
            <w:tcW w:type="dxa" w:w="2288"/>
            <w:vAlign w:val="top"/>
            <w:tcMar>
              <w:top w:w="65" w:type="dxa"/>
              <w:bottom w:w="65" w:type="dxa"/>
              <w:left w:w="65" w:type="dxa"/>
              <w:right w:w="65" w:type="dxa"/>
            </w:tcMar>
          </w:tcPr>
          <w:p>
            <w:pPr>
              <w:spacing w:before="30" w:after="30" w:line="252" w:lineRule="auto"/>
            </w:pPr>
            <w:r>
              <w:rPr>
                <w:rFonts w:ascii="Arial" w:hAnsi="Arial" w:eastAsia="宋体"/>
                <w:b w:val="0"/>
                <w:i w:val="0"/>
                <w:sz w:val="18"/>
              </w:rPr>
              <w:t>8,000.00</w:t>
            </w:r>
          </w:p>
        </w:tc>
        <w:tc>
          <w:tcPr>
            <w:tcW w:type="dxa" w:w="2288"/>
            <w:vAlign w:val="top"/>
            <w:tcMar>
              <w:top w:w="65" w:type="dxa"/>
              <w:bottom w:w="65" w:type="dxa"/>
              <w:left w:w="65" w:type="dxa"/>
              <w:right w:w="65" w:type="dxa"/>
            </w:tcMar>
          </w:tcPr>
          <w:p>
            <w:pPr>
              <w:spacing w:before="30" w:after="30" w:line="252" w:lineRule="auto"/>
            </w:pPr>
            <w:r>
              <w:rPr>
                <w:rFonts w:ascii="Arial" w:hAnsi="Arial" w:eastAsia="宋体"/>
                <w:b w:val="0"/>
                <w:i w:val="0"/>
                <w:sz w:val="18"/>
              </w:rPr>
              <w:t>8,100.00</w:t>
            </w:r>
          </w:p>
        </w:tc>
      </w:tr>
      <w:tr>
        <w:trPr>
          <w:cantSplit/>
        </w:trPr>
        <w:tc>
          <w:tcPr>
            <w:tcW w:type="dxa" w:w="19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TY01</w:t>
            </w:r>
          </w:p>
        </w:tc>
        <w:tc>
          <w:tcPr>
            <w:tcW w:type="dxa" w:w="30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1002货币资金，借方余额</w:t>
            </w:r>
          </w:p>
        </w:tc>
        <w:tc>
          <w:tcPr>
            <w:tcW w:type="dxa" w:w="22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1,542.00</w:t>
            </w:r>
          </w:p>
        </w:tc>
        <w:tc>
          <w:tcPr>
            <w:tcW w:type="dxa" w:w="228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1,642.00</w:t>
            </w:r>
          </w:p>
        </w:tc>
      </w:tr>
    </w:tbl>
    <w:p>
      <w:pPr>
        <w:spacing w:after="40"/>
      </w:pPr>
    </w:p>
    <w:p>
      <w:r>
        <w:rPr>
          <w:rFonts w:ascii="Arial" w:hAnsi="Arial" w:eastAsia="宋体"/>
          <w:b w:val="0"/>
          <w:i w:val="0"/>
        </w:rPr>
        <w:t>再次导入新文件，来源名称使用同名。导入是替换当前法人当期整套累计余额，不是对原数据再加一遍文件内的全部金额。系统会重算当前期报表，预期集团收入13,100.00、净利润1,820.00、资产9,680.00、负债4,730.00、权益4,950.00、期末现金2,150.00、经营现金净额1,550.00。全部数字均为本例演示口径，经营现金估算规则见第8章。</w:t>
      </w:r>
    </w:p>
    <w:p>
      <w:r>
        <w:rPr>
          <w:rFonts w:ascii="Arial" w:hAnsi="Arial" w:eastAsia="宋体"/>
          <w:b w:val="0"/>
          <w:i w:val="0"/>
        </w:rPr>
      </w:r>
      <w:r>
        <w:rPr>
          <w:rFonts w:ascii="Arial" w:hAnsi="Arial" w:eastAsia="宋体"/>
          <w:b/>
          <w:i w:val="0"/>
        </w:rPr>
        <w:t>验证错误批次零写入。</w:t>
      </w:r>
      <w:r>
        <w:rPr>
          <w:rFonts w:ascii="Arial" w:hAnsi="Arial" w:eastAsia="宋体"/>
          <w:b w:val="0"/>
          <w:i w:val="0"/>
        </w:rPr>
        <w:t xml:space="preserve"> 再复制一个错误文件，将TY01收入8,100.00改成8,099.00，现金保持1,642.00。导入时应收到借贷不平衡等中文原因，整批拒绝。检查收入仍13,100.00、净利润仍1,820.00，成功批次数没有增加。不能出现正确行先写入、错误行留待补录的混合结果。</w:t>
      </w:r>
    </w:p>
    <w:p>
      <w:r>
        <w:rPr>
          <w:rFonts w:ascii="Arial" w:hAnsi="Arial" w:eastAsia="宋体"/>
          <w:b w:val="0"/>
          <w:i w:val="0"/>
        </w:rPr>
      </w:r>
      <w:r>
        <w:rPr>
          <w:rFonts w:ascii="Arial" w:hAnsi="Arial" w:eastAsia="宋体"/>
          <w:b/>
          <w:i w:val="0"/>
        </w:rPr>
        <w:t>期间隔离检查。</w:t>
      </w:r>
      <w:r>
        <w:rPr>
          <w:rFonts w:ascii="Arial" w:hAnsi="Arial" w:eastAsia="宋体"/>
          <w:b w:val="0"/>
          <w:i w:val="0"/>
        </w:rPr>
        <w:t xml:space="preserve"> 在导入前先记录08期报表，导入后再切08期，应仍是此前的08期累计口径，而不是被9月新数字替换。若08期已有签核说明，也不能因本次9月导入被覆盖。确认后恢复09期。</w:t>
      </w:r>
    </w:p>
    <w:p>
      <w:r>
        <w:rPr>
          <w:rFonts w:ascii="Arial" w:hAnsi="Arial" w:eastAsia="宋体"/>
          <w:b w:val="0"/>
          <w:i w:val="0"/>
        </w:rPr>
      </w:r>
      <w:r>
        <w:rPr>
          <w:rFonts w:ascii="Arial" w:hAnsi="Arial" w:eastAsia="宋体"/>
          <w:b/>
          <w:i w:val="0"/>
        </w:rPr>
        <w:t>失败与恢复。</w:t>
      </w:r>
      <w:r>
        <w:rPr>
          <w:rFonts w:ascii="Arial" w:hAnsi="Arial" w:eastAsia="宋体"/>
          <w:b w:val="0"/>
          <w:i w:val="0"/>
        </w:rPr>
        <w:t xml:space="preserve"> 表头必须为“法人编码,期间,科目编码,借方余额,贷方余额”，使用UTF-8 CSV。月份错误、未知科目、重复法人科目或单法人借贷不平衡应先修文件再重试。恢复本案例默认金额时，在本期未签核状态下重新导入完整原始63行样例。已经签核则先由负责人说明原因重新开启；恢复数值并不删除历史批次或审计轨迹。</w:t>
      </w:r>
    </w:p>
    <w:p>
      <w:pPr>
        <w:pStyle w:val="Heading2"/>
      </w:pPr>
      <w:bookmarkStart w:id="26" w:name="epm_26"/>
      <w:r>
        <w:rPr>
          <w:rFonts w:ascii="Arial" w:hAnsi="Arial" w:eastAsia="宋体"/>
          <w:b w:val="0"/>
          <w:i w:val="0"/>
        </w:rPr>
        <w:t>6.5 案例五：凭证草稿不入表，审批后真实影响报表</w:t>
      </w:r>
      <w:bookmarkEnd w:id="26"/>
    </w:p>
    <w:p>
      <w:r>
        <w:rPr>
          <w:rFonts w:ascii="Arial" w:hAnsi="Arial" w:eastAsia="宋体"/>
          <w:b w:val="0"/>
          <w:i w:val="0"/>
        </w:rPr>
      </w:r>
      <w:r>
        <w:rPr>
          <w:rFonts w:ascii="Arial" w:hAnsi="Arial" w:eastAsia="宋体"/>
          <w:b/>
          <w:i w:val="0"/>
        </w:rPr>
        <w:t>业务故事。</w:t>
      </w:r>
      <w:r>
        <w:rPr>
          <w:rFonts w:ascii="Arial" w:hAnsi="Arial" w:eastAsia="宋体"/>
          <w:b w:val="0"/>
          <w:i w:val="0"/>
        </w:rPr>
        <w:t xml:space="preserve"> 集团补录一笔本期经营费用支付10万元。演示者需要说明输入分录、审批与报表生效的时间点，并验证现金流也同步变化。</w:t>
      </w:r>
    </w:p>
    <w:p>
      <w:r>
        <w:rPr>
          <w:rFonts w:ascii="Arial" w:hAnsi="Arial" w:eastAsia="宋体"/>
          <w:b w:val="0"/>
          <w:i w:val="0"/>
        </w:rPr>
      </w:r>
      <w:r>
        <w:rPr>
          <w:rFonts w:ascii="Arial" w:hAnsi="Arial" w:eastAsia="宋体"/>
          <w:b/>
          <w:i w:val="0"/>
        </w:rPr>
        <w:t>前提。</w:t>
      </w:r>
      <w:r>
        <w:rPr>
          <w:rFonts w:ascii="Arial" w:hAnsi="Arial" w:eastAsia="宋体"/>
          <w:b w:val="0"/>
          <w:i w:val="0"/>
        </w:rPr>
        <w:t xml:space="preserve"> 使用新的全新财务样例，或明确恢复到收入13,000.00、净利润1,720.00、现金2,050.00的起点。当前09期未签核，角色为集团财务负责人。预算版本不会影响本案例的实际数变化。</w:t>
      </w:r>
    </w:p>
    <w:p>
      <w:r>
        <w:rPr>
          <w:rFonts w:ascii="Arial" w:hAnsi="Arial" w:eastAsia="宋体"/>
          <w:b w:val="0"/>
          <w:i w:val="0"/>
        </w:rPr>
        <w:t>进入“抵销与调整凭证”，点击“新增调整凭证”。摘要填写“案例D_经营费用支付10”，类型选择“合并调整”，现金流类别选择“经营活动”，调整依据填写“本期演示费用补录，经负责人复核后入表”。输入如下分录，其他空行保持零。</w:t>
      </w:r>
    </w:p>
    <w:tbl>
      <w:tblPr>
        <w:tblStyle w:val="TableGrid"/>
        <w:tblW w:type="auto" w:w="0"/>
        <w:jc w:val="center"/>
        <w:tblLayout w:type="fixed"/>
        <w:tblLook w:firstColumn="1" w:firstRow="1" w:lastColumn="0" w:lastRow="0" w:noHBand="0" w:noVBand="1" w:val="04A0"/>
      </w:tblPr>
      <w:tblGrid>
        <w:gridCol w:w="2268"/>
        <w:gridCol w:w="2834"/>
        <w:gridCol w:w="2268"/>
        <w:gridCol w:w="2268"/>
      </w:tblGrid>
      <w:tr>
        <w:trPr>
          <w:cantSplit/>
          <w:tblHeader w:val="true"/>
        </w:trPr>
        <w:tc>
          <w:tcPr>
            <w:tcW w:type="dxa" w:w="22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分录行</w:t>
            </w:r>
          </w:p>
        </w:tc>
        <w:tc>
          <w:tcPr>
            <w:tcW w:type="dxa" w:w="283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科目</w:t>
            </w:r>
          </w:p>
        </w:tc>
        <w:tc>
          <w:tcPr>
            <w:tcW w:type="dxa" w:w="22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借方金额</w:t>
            </w:r>
          </w:p>
        </w:tc>
        <w:tc>
          <w:tcPr>
            <w:tcW w:type="dxa" w:w="22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贷方金额</w:t>
            </w:r>
          </w:p>
        </w:tc>
      </w:tr>
      <w:tr>
        <w:trPr>
          <w:cantSplit/>
        </w:trPr>
        <w:tc>
          <w:tcPr>
            <w:tcW w:type="dxa" w:w="2268"/>
            <w:vAlign w:val="top"/>
            <w:tcMar>
              <w:top w:w="65" w:type="dxa"/>
              <w:bottom w:w="65" w:type="dxa"/>
              <w:left w:w="65" w:type="dxa"/>
              <w:right w:w="65" w:type="dxa"/>
            </w:tcMar>
          </w:tcPr>
          <w:p>
            <w:pPr>
              <w:spacing w:before="30" w:after="30" w:line="252" w:lineRule="auto"/>
            </w:pPr>
            <w:r>
              <w:rPr>
                <w:rFonts w:ascii="Arial" w:hAnsi="Arial" w:eastAsia="宋体"/>
                <w:b w:val="0"/>
                <w:i w:val="0"/>
                <w:sz w:val="18"/>
              </w:rPr>
              <w:t>1</w:t>
            </w:r>
          </w:p>
        </w:tc>
        <w:tc>
          <w:tcPr>
            <w:tcW w:type="dxa" w:w="2834"/>
            <w:vAlign w:val="top"/>
            <w:tcMar>
              <w:top w:w="65" w:type="dxa"/>
              <w:bottom w:w="65" w:type="dxa"/>
              <w:left w:w="65" w:type="dxa"/>
              <w:right w:w="65" w:type="dxa"/>
            </w:tcMar>
          </w:tcPr>
          <w:p>
            <w:pPr>
              <w:spacing w:before="30" w:after="30" w:line="252" w:lineRule="auto"/>
            </w:pPr>
            <w:r>
              <w:rPr>
                <w:rFonts w:ascii="Arial" w:hAnsi="Arial" w:eastAsia="宋体"/>
                <w:b w:val="0"/>
                <w:i w:val="0"/>
                <w:sz w:val="18"/>
              </w:rPr>
              <w:t>6602 期间费用</w:t>
            </w:r>
          </w:p>
        </w:tc>
        <w:tc>
          <w:tcPr>
            <w:tcW w:type="dxa" w:w="2268"/>
            <w:vAlign w:val="top"/>
            <w:tcMar>
              <w:top w:w="65" w:type="dxa"/>
              <w:bottom w:w="65" w:type="dxa"/>
              <w:left w:w="65" w:type="dxa"/>
              <w:right w:w="65" w:type="dxa"/>
            </w:tcMar>
          </w:tcPr>
          <w:p>
            <w:pPr>
              <w:spacing w:before="30" w:after="30" w:line="252" w:lineRule="auto"/>
            </w:pPr>
            <w:r>
              <w:rPr>
                <w:rFonts w:ascii="Arial" w:hAnsi="Arial" w:eastAsia="宋体"/>
                <w:b w:val="0"/>
                <w:i w:val="0"/>
                <w:sz w:val="18"/>
              </w:rPr>
              <w:t>10.00</w:t>
            </w:r>
          </w:p>
        </w:tc>
        <w:tc>
          <w:tcPr>
            <w:tcW w:type="dxa" w:w="2268"/>
            <w:vAlign w:val="top"/>
            <w:tcMar>
              <w:top w:w="65" w:type="dxa"/>
              <w:bottom w:w="65" w:type="dxa"/>
              <w:left w:w="65" w:type="dxa"/>
              <w:right w:w="65" w:type="dxa"/>
            </w:tcMar>
          </w:tcPr>
          <w:p>
            <w:pPr>
              <w:spacing w:before="30" w:after="30" w:line="252" w:lineRule="auto"/>
            </w:pPr>
            <w:r>
              <w:rPr>
                <w:rFonts w:ascii="Arial" w:hAnsi="Arial" w:eastAsia="宋体"/>
                <w:b w:val="0"/>
                <w:i w:val="0"/>
                <w:sz w:val="18"/>
              </w:rPr>
              <w:t>0.00</w:t>
            </w:r>
          </w:p>
        </w:tc>
      </w:tr>
      <w:tr>
        <w:trPr>
          <w:cantSplit/>
        </w:trPr>
        <w:tc>
          <w:tcPr>
            <w:tcW w:type="dxa" w:w="22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w:t>
            </w:r>
          </w:p>
        </w:tc>
        <w:tc>
          <w:tcPr>
            <w:tcW w:type="dxa" w:w="283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1002 货币资金</w:t>
            </w:r>
          </w:p>
        </w:tc>
        <w:tc>
          <w:tcPr>
            <w:tcW w:type="dxa" w:w="22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0.00</w:t>
            </w:r>
          </w:p>
        </w:tc>
        <w:tc>
          <w:tcPr>
            <w:tcW w:type="dxa" w:w="22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10.00</w:t>
            </w:r>
          </w:p>
        </w:tc>
      </w:tr>
    </w:tbl>
    <w:p>
      <w:pPr>
        <w:spacing w:after="40"/>
      </w:pPr>
    </w:p>
    <w:p>
      <w:r>
        <w:rPr>
          <w:rFonts w:ascii="Arial" w:hAnsi="Arial" w:eastAsia="宋体"/>
          <w:b w:val="0"/>
          <w:i w:val="0"/>
        </w:rPr>
        <w:t>点击“保存凭证草稿”。列表中出现新凭证、借贷合计均10.00、状态草稿。此时回到报表，净利润仍1,720.00、现金仍2,050.00。确认后返回该凭证，点击“复核并审批”，在审批对话框点击“确认审批”。</w:t>
      </w:r>
    </w:p>
    <w:p>
      <w:r>
        <w:rPr>
          <w:rFonts w:ascii="Arial" w:hAnsi="Arial" w:eastAsia="宋体"/>
          <w:b w:val="0"/>
          <w:i w:val="0"/>
        </w:rPr>
      </w:r>
      <w:r>
        <w:rPr>
          <w:rFonts w:ascii="Arial" w:hAnsi="Arial" w:eastAsia="宋体"/>
          <w:b/>
          <w:i w:val="0"/>
        </w:rPr>
        <w:t>审批后的预期结果。</w:t>
      </w:r>
      <w:r>
        <w:rPr>
          <w:rFonts w:ascii="Arial" w:hAnsi="Arial" w:eastAsia="宋体"/>
          <w:b w:val="0"/>
          <w:i w:val="0"/>
        </w:rPr>
        <w:t xml:space="preserve"> 期间费用从2,920.00增至2,930.00，净利润从1,720.00降至1,710.00；现金从2,050.00降至2,040.00，经营现金净额从1,450.00降至1,440.00；资产为9,570.00，负债仍4,730.00，权益4,840.00。财务勾稽应通过，8月实际数不因9月凭证变化而改变。</w:t>
      </w:r>
    </w:p>
    <w:p>
      <w:r>
        <w:rPr>
          <w:rFonts w:ascii="Arial" w:hAnsi="Arial" w:eastAsia="宋体"/>
          <w:b w:val="0"/>
          <w:i w:val="0"/>
        </w:rPr>
      </w:r>
      <w:r>
        <w:rPr>
          <w:rFonts w:ascii="Arial" w:hAnsi="Arial" w:eastAsia="宋体"/>
          <w:b/>
          <w:i w:val="0"/>
        </w:rPr>
        <w:t>关键观察。</w:t>
      </w:r>
      <w:r>
        <w:rPr>
          <w:rFonts w:ascii="Arial" w:hAnsi="Arial" w:eastAsia="宋体"/>
          <w:b w:val="0"/>
          <w:i w:val="0"/>
        </w:rPr>
        <w:t xml:space="preserve"> 如果审批前已经运行过校验或确认过报送，审批后的财务变更会让旧校验和接收确认失效，需要重新执行。已经审批的凭证再次点击审批不能重复计入一次影响。审计页面应记录草稿保存及审批动作，用户可以从报表追溯调整构成。</w:t>
      </w:r>
    </w:p>
    <w:p>
      <w:r>
        <w:rPr>
          <w:rFonts w:ascii="Arial" w:hAnsi="Arial" w:eastAsia="宋体"/>
          <w:b w:val="0"/>
          <w:i w:val="0"/>
        </w:rPr>
      </w:r>
      <w:r>
        <w:rPr>
          <w:rFonts w:ascii="Arial" w:hAnsi="Arial" w:eastAsia="宋体"/>
          <w:b/>
          <w:i w:val="0"/>
        </w:rPr>
        <w:t>失败与恢复。</w:t>
      </w:r>
      <w:r>
        <w:rPr>
          <w:rFonts w:ascii="Arial" w:hAnsi="Arial" w:eastAsia="宋体"/>
          <w:b w:val="0"/>
          <w:i w:val="0"/>
        </w:rPr>
        <w:t xml:space="preserve"> 每行不能同时填写正借方和正贷方，整张借贷必须相等；包含现金变动时必须选择现金流类别。没有类别就保存，应收到中文拒绝而不是生成现金流无法勾稽的已审批记录。演示错误凭证后不要直接改数据库；本Demo没有任意删除已审批凭证的日常流程。需要保留干净基准时，用新的案例数据目录。</w:t>
      </w:r>
    </w:p>
    <w:p>
      <w:pPr>
        <w:pStyle w:val="Heading2"/>
      </w:pPr>
      <w:bookmarkStart w:id="27" w:name="epm_27"/>
      <w:r>
        <w:rPr>
          <w:rFonts w:ascii="Arial" w:hAnsi="Arial" w:eastAsia="宋体"/>
          <w:b w:val="0"/>
          <w:i w:val="0"/>
        </w:rPr>
        <w:t>6.6 案例六：签核保护与重新开启期间</w:t>
      </w:r>
      <w:bookmarkEnd w:id="27"/>
    </w:p>
    <w:p>
      <w:r>
        <w:rPr>
          <w:rFonts w:ascii="Arial" w:hAnsi="Arial" w:eastAsia="宋体"/>
          <w:b w:val="0"/>
          <w:i w:val="0"/>
        </w:rPr>
      </w:r>
      <w:r>
        <w:rPr>
          <w:rFonts w:ascii="Arial" w:hAnsi="Arial" w:eastAsia="宋体"/>
          <w:b/>
          <w:i w:val="0"/>
        </w:rPr>
        <w:t>业务故事。</w:t>
      </w:r>
      <w:r>
        <w:rPr>
          <w:rFonts w:ascii="Arial" w:hAnsi="Arial" w:eastAsia="宋体"/>
          <w:b w:val="0"/>
          <w:i w:val="0"/>
        </w:rPr>
        <w:t xml:space="preserve"> 负责人在案例五补录费用后批准9月关账，希望任何后续修改都必须先解释原因。经营说明也应与调整后的数字一致，而不是沿用旧说明。</w:t>
      </w:r>
    </w:p>
    <w:p>
      <w:r>
        <w:rPr>
          <w:rFonts w:ascii="Arial" w:hAnsi="Arial" w:eastAsia="宋体"/>
          <w:b w:val="0"/>
          <w:i w:val="0"/>
        </w:rPr>
        <w:t>本例承接案例五，所以实际净利润为1,710.00、经营现金净额1,440.00。进入“关账校验与签核”，先阅读校验表，再完成下列步骤：点击“复核报送”；点击“运行关账校验”；点击“内部差异说明”，填写“案例E：本期样例往来已核对，抵销依据已复核”，保存；点击“填写经营说明”，填写“本期补录经营费用10万元，净利润由1720降至1710，经营现金净额由1450降至1440，差异已说明”，保存。</w:t>
      </w:r>
    </w:p>
    <w:p>
      <w:r>
        <w:rPr>
          <w:rFonts w:ascii="Arial" w:hAnsi="Arial" w:eastAsia="宋体"/>
          <w:b w:val="0"/>
          <w:i w:val="0"/>
        </w:rPr>
        <w:t>确认当前角色为负责人、报送和有效校验等前提均完成后，点击“确认并签核”。页面应显示本期已签核和签核时间，工作台关账进度相应变化。此时尝试新增本期财务凭证或导入本期余额，应受签核保护，不能直接成功。</w:t>
      </w:r>
    </w:p>
    <w:p>
      <w:r>
        <w:rPr>
          <w:rFonts w:ascii="Arial" w:hAnsi="Arial" w:eastAsia="宋体"/>
          <w:b w:val="0"/>
          <w:i w:val="0"/>
        </w:rPr>
        <w:t>随后点击“重新打开期间”，原因填写“案例演示：补充财务调整前申请重新开启”，确认。签核标志应解除，旧有效校验及报送确认被清除；这一步不会自动撤销已经审批的10万元费用，也不会将净利润恢复为1,720.00。若继续修改财务数据，应再次复核、校验、说明和签核。</w:t>
      </w:r>
    </w:p>
    <w:tbl>
      <w:tblPr>
        <w:tblStyle w:val="TableGrid"/>
        <w:tblW w:type="auto" w:w="0"/>
        <w:jc w:val="center"/>
        <w:tblLayout w:type="fixed"/>
        <w:tblLook w:firstColumn="1" w:firstRow="1" w:lastColumn="0" w:lastRow="0" w:noHBand="0" w:noVBand="1" w:val="04A0"/>
      </w:tblPr>
      <w:tblGrid>
        <w:gridCol w:w="3936"/>
        <w:gridCol w:w="5702"/>
      </w:tblGrid>
      <w:tr>
        <w:trPr>
          <w:cantSplit/>
          <w:tblHeader w:val="true"/>
        </w:trPr>
        <w:tc>
          <w:tcPr>
            <w:tcW w:type="dxa" w:w="393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需要验证的现象</w:t>
            </w:r>
          </w:p>
        </w:tc>
        <w:tc>
          <w:tcPr>
            <w:tcW w:type="dxa" w:w="570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正确产品行为</w:t>
            </w:r>
          </w:p>
        </w:tc>
      </w:tr>
      <w:tr>
        <w:trPr>
          <w:cantSplit/>
        </w:trPr>
        <w:tc>
          <w:tcPr>
            <w:tcW w:type="dxa" w:w="3936"/>
            <w:vAlign w:val="top"/>
            <w:tcMar>
              <w:top w:w="65" w:type="dxa"/>
              <w:bottom w:w="65" w:type="dxa"/>
              <w:left w:w="65" w:type="dxa"/>
              <w:right w:w="65" w:type="dxa"/>
            </w:tcMar>
          </w:tcPr>
          <w:p>
            <w:pPr>
              <w:spacing w:before="30" w:after="30" w:line="252" w:lineRule="auto"/>
            </w:pPr>
            <w:r>
              <w:rPr>
                <w:rFonts w:ascii="Arial" w:hAnsi="Arial" w:eastAsia="宋体"/>
                <w:b w:val="0"/>
                <w:i w:val="0"/>
                <w:sz w:val="19"/>
              </w:rPr>
              <w:t>只点击签核而未完成前提</w:t>
            </w:r>
          </w:p>
        </w:tc>
        <w:tc>
          <w:tcPr>
            <w:tcW w:type="dxa" w:w="5702"/>
            <w:vAlign w:val="top"/>
            <w:tcMar>
              <w:top w:w="65" w:type="dxa"/>
              <w:bottom w:w="65" w:type="dxa"/>
              <w:left w:w="65" w:type="dxa"/>
              <w:right w:w="65" w:type="dxa"/>
            </w:tcMar>
          </w:tcPr>
          <w:p>
            <w:pPr>
              <w:spacing w:before="30" w:after="30" w:line="252" w:lineRule="auto"/>
            </w:pPr>
            <w:r>
              <w:rPr>
                <w:rFonts w:ascii="Arial" w:hAnsi="Arial" w:eastAsia="宋体"/>
                <w:b w:val="0"/>
                <w:i w:val="0"/>
                <w:sz w:val="19"/>
              </w:rPr>
              <w:t>提示缺少报送、校验或说明等中文原因</w:t>
            </w:r>
          </w:p>
        </w:tc>
      </w:tr>
      <w:tr>
        <w:trPr>
          <w:cantSplit/>
        </w:trPr>
        <w:tc>
          <w:tcPr>
            <w:tcW w:type="dxa" w:w="39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所有前提满足</w:t>
            </w:r>
          </w:p>
        </w:tc>
        <w:tc>
          <w:tcPr>
            <w:tcW w:type="dxa" w:w="57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保存签核时间与期间保护状态</w:t>
            </w:r>
          </w:p>
        </w:tc>
      </w:tr>
      <w:tr>
        <w:trPr>
          <w:cantSplit/>
        </w:trPr>
        <w:tc>
          <w:tcPr>
            <w:tcW w:type="dxa" w:w="3936"/>
            <w:vAlign w:val="top"/>
            <w:tcMar>
              <w:top w:w="65" w:type="dxa"/>
              <w:bottom w:w="65" w:type="dxa"/>
              <w:left w:w="65" w:type="dxa"/>
              <w:right w:w="65" w:type="dxa"/>
            </w:tcMar>
          </w:tcPr>
          <w:p>
            <w:pPr>
              <w:spacing w:before="30" w:after="30" w:line="252" w:lineRule="auto"/>
            </w:pPr>
            <w:r>
              <w:rPr>
                <w:rFonts w:ascii="Arial" w:hAnsi="Arial" w:eastAsia="宋体"/>
                <w:b w:val="0"/>
                <w:i w:val="0"/>
                <w:sz w:val="19"/>
              </w:rPr>
              <w:t>签核后修改财务数据</w:t>
            </w:r>
          </w:p>
        </w:tc>
        <w:tc>
          <w:tcPr>
            <w:tcW w:type="dxa" w:w="5702"/>
            <w:vAlign w:val="top"/>
            <w:tcMar>
              <w:top w:w="65" w:type="dxa"/>
              <w:bottom w:w="65" w:type="dxa"/>
              <w:left w:w="65" w:type="dxa"/>
              <w:right w:w="65" w:type="dxa"/>
            </w:tcMar>
          </w:tcPr>
          <w:p>
            <w:pPr>
              <w:spacing w:before="30" w:after="30" w:line="252" w:lineRule="auto"/>
            </w:pPr>
            <w:r>
              <w:rPr>
                <w:rFonts w:ascii="Arial" w:hAnsi="Arial" w:eastAsia="宋体"/>
                <w:b w:val="0"/>
                <w:i w:val="0"/>
                <w:sz w:val="19"/>
              </w:rPr>
              <w:t>拒绝，并要求先重新打开期间</w:t>
            </w:r>
          </w:p>
        </w:tc>
      </w:tr>
      <w:tr>
        <w:trPr>
          <w:cantSplit/>
        </w:trPr>
        <w:tc>
          <w:tcPr>
            <w:tcW w:type="dxa" w:w="393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重新打开但不改金额</w:t>
            </w:r>
          </w:p>
        </w:tc>
        <w:tc>
          <w:tcPr>
            <w:tcW w:type="dxa" w:w="570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流程状态失效，财务数字仍保留</w:t>
            </w:r>
          </w:p>
        </w:tc>
      </w:tr>
      <w:tr>
        <w:trPr>
          <w:cantSplit/>
        </w:trPr>
        <w:tc>
          <w:tcPr>
            <w:tcW w:type="dxa" w:w="3936"/>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切换到另一个月份</w:t>
            </w:r>
          </w:p>
        </w:tc>
        <w:tc>
          <w:tcPr>
            <w:tcW w:type="dxa" w:w="5702"/>
            <w:vAlign w:val="top"/>
            <w:tcMar>
              <w:top w:w="65" w:type="dxa"/>
              <w:bottom w:w="65" w:type="dxa"/>
              <w:left w:w="65" w:type="dxa"/>
              <w:right w:w="65" w:type="dxa"/>
            </w:tcMar>
          </w:tcPr>
          <w:p>
            <w:pPr>
              <w:spacing w:before="30" w:after="30" w:line="252" w:lineRule="auto"/>
            </w:pPr>
            <w:r>
              <w:rPr>
                <w:rFonts w:ascii="Arial" w:hAnsi="Arial" w:eastAsia="宋体"/>
                <w:b w:val="0"/>
                <w:i w:val="0"/>
                <w:sz w:val="19"/>
              </w:rPr>
              <w:t>显示该月独立流程状态，不能沿用09期签核</w:t>
            </w:r>
          </w:p>
        </w:tc>
      </w:tr>
    </w:tbl>
    <w:p>
      <w:pPr>
        <w:spacing w:after="40"/>
      </w:pPr>
    </w:p>
    <w:p>
      <w:pPr>
        <w:keepNext/>
        <w:jc w:val="center"/>
      </w:pPr>
      <w:r>
        <w:drawing>
          <wp:inline xmlns:a="http://schemas.openxmlformats.org/drawingml/2006/main" xmlns:pic="http://schemas.openxmlformats.org/drawingml/2006/picture">
            <wp:extent cx="6048000" cy="5530140"/>
            <wp:docPr id="4" name="Picture 4"/>
            <wp:cNvGraphicFramePr>
              <a:graphicFrameLocks noChangeAspect="1"/>
            </wp:cNvGraphicFramePr>
            <a:graphic>
              <a:graphicData uri="http://schemas.openxmlformats.org/drawingml/2006/picture">
                <pic:pic>
                  <pic:nvPicPr>
                    <pic:cNvPr id="0" name="closing-signed.png"/>
                    <pic:cNvPicPr/>
                  </pic:nvPicPr>
                  <pic:blipFill>
                    <a:blip r:embed="rId14"/>
                    <a:stretch>
                      <a:fillRect/>
                    </a:stretch>
                  </pic:blipFill>
                  <pic:spPr>
                    <a:xfrm>
                      <a:off x="0" y="0"/>
                      <a:ext cx="6048000" cy="5530140"/>
                    </a:xfrm>
                    <a:prstGeom prst="rect"/>
                  </pic:spPr>
                </pic:pic>
              </a:graphicData>
            </a:graphic>
          </wp:inline>
        </w:drawing>
      </w:r>
    </w:p>
    <w:p>
      <w:pPr>
        <w:jc w:val="center"/>
      </w:pPr>
      <w:r>
        <w:rPr>
          <w:rFonts w:ascii="Arial" w:hAnsi="Arial" w:eastAsia="宋体"/>
          <w:color w:val="66758D"/>
          <w:sz w:val="18"/>
        </w:rPr>
        <w:t>图 4  签核后的关账页面</w:t>
      </w:r>
    </w:p>
    <w:p>
      <w:r>
        <w:rPr>
          <w:rFonts w:ascii="Arial" w:hAnsi="Arial" w:eastAsia="宋体"/>
          <w:b w:val="0"/>
          <w:i w:val="0"/>
        </w:rPr>
      </w:r>
      <w:r>
        <w:rPr>
          <w:rFonts w:ascii="Arial" w:hAnsi="Arial" w:eastAsia="宋体"/>
          <w:b/>
          <w:i w:val="0"/>
        </w:rPr>
        <w:t>异常处理。</w:t>
      </w:r>
      <w:r>
        <w:rPr>
          <w:rFonts w:ascii="Arial" w:hAnsi="Arial" w:eastAsia="宋体"/>
          <w:b w:val="0"/>
          <w:i w:val="0"/>
        </w:rPr>
        <w:t xml:space="preserve"> 如果提示数据已变更、校验过期，应先重新运行校验，不能重复点击签核代替复核。若当前为法人会计或审计只读，应切回负责人演示角色；正式产品需要真实账号授权，不能把本机角色切换当作生产批准。</w:t>
      </w:r>
    </w:p>
    <w:p>
      <w:pPr>
        <w:pStyle w:val="Heading2"/>
      </w:pPr>
      <w:bookmarkStart w:id="28" w:name="epm_28"/>
      <w:r>
        <w:rPr>
          <w:rFonts w:ascii="Arial" w:hAnsi="Arial" w:eastAsia="宋体"/>
          <w:b w:val="0"/>
          <w:i w:val="0"/>
        </w:rPr>
        <w:t>6.7 案例七：只读拒绝与审计留痕</w:t>
      </w:r>
      <w:bookmarkEnd w:id="28"/>
    </w:p>
    <w:p>
      <w:r>
        <w:rPr>
          <w:rFonts w:ascii="Arial" w:hAnsi="Arial" w:eastAsia="宋体"/>
          <w:b w:val="0"/>
          <w:i w:val="0"/>
        </w:rPr>
      </w:r>
      <w:r>
        <w:rPr>
          <w:rFonts w:ascii="Arial" w:hAnsi="Arial" w:eastAsia="宋体"/>
          <w:b/>
          <w:i w:val="0"/>
        </w:rPr>
        <w:t>业务故事。</w:t>
      </w:r>
      <w:r>
        <w:rPr>
          <w:rFonts w:ascii="Arial" w:hAnsi="Arial" w:eastAsia="宋体"/>
          <w:b w:val="0"/>
          <w:i w:val="0"/>
        </w:rPr>
        <w:t xml:space="preserve"> 审计人员可以查看预算和报表，但不应修改已保存数据。产品评审应确认权限不是只隐藏按钮，而是写入请求也会被服务端拒绝。</w:t>
      </w:r>
    </w:p>
    <w:p>
      <w:r>
        <w:rPr>
          <w:rFonts w:ascii="Arial" w:hAnsi="Arial" w:eastAsia="宋体"/>
          <w:b w:val="0"/>
          <w:i w:val="0"/>
        </w:rPr>
        <w:t>切换角色前，先在负责人角色下把活跃预算切到一个“编制中”的草稿，记录当前金额。然后在“组织权限”点击“切换演示角色”，选择“审计只读”，点击“切换角色”。进入预算或财务页面查看已保存结果，确认读取正常。尝试在该编制中预算版本中保存目标或明细，服务端应拒绝并显示“当前为审计只读角色，不能修改数据”等中文原因，原金额保持不变。部分按钮可能因业务状态禁用；要验证只读而非锁定，应事先选择原本可编辑的草稿。预算版本切换本身是保存活跃版本的写动作，不能先切成只读后再依赖它换入草稿。</w:t>
      </w:r>
    </w:p>
    <w:p>
      <w:r>
        <w:rPr>
          <w:rFonts w:ascii="Arial" w:hAnsi="Arial" w:eastAsia="宋体"/>
          <w:b w:val="0"/>
          <w:i w:val="0"/>
        </w:rPr>
        <w:t>重新切回“集团财务负责人”，确认允许执行对应动作。进入“审计轨迹”，查看实际成功写入的时间、角色、中文动作与业务说明，可以导出记录。拒绝的写入不应出现成功业务结果；当前日志重点记录已提交业务事务，不应将它解释为已经覆盖生产安全审计所需的全部失败访问事件。</w:t>
      </w:r>
    </w:p>
    <w:p>
      <w:r>
        <w:rPr>
          <w:rFonts w:ascii="Arial" w:hAnsi="Arial" w:eastAsia="宋体"/>
          <w:b w:val="0"/>
          <w:i w:val="0"/>
        </w:rPr>
      </w:r>
      <w:r>
        <w:rPr>
          <w:rFonts w:ascii="Arial" w:hAnsi="Arial" w:eastAsia="宋体"/>
          <w:b/>
          <w:i w:val="0"/>
        </w:rPr>
        <w:t>恢复与注意。</w:t>
      </w:r>
      <w:r>
        <w:rPr>
          <w:rFonts w:ascii="Arial" w:hAnsi="Arial" w:eastAsia="宋体"/>
          <w:b w:val="0"/>
          <w:i w:val="0"/>
        </w:rPr>
        <w:t xml:space="preserve"> 演示结束前恢复负责人或明确记录当前角色，避免下一位演示者误以为系统不能保存。多个标签页共享同一本机环境时应确认显示和数据版本，避免一边切角色、一边依据旧页面执行审批。完整生产身份、部门岗位及法人数据隔离仍需要正式研发。</w:t>
      </w:r>
    </w:p>
    <w:p>
      <w:pPr>
        <w:pStyle w:val="Heading2"/>
      </w:pPr>
      <w:bookmarkStart w:id="29" w:name="epm_29"/>
      <w:r>
        <w:rPr>
          <w:rFonts w:ascii="Arial" w:hAnsi="Arial" w:eastAsia="宋体"/>
          <w:b w:val="0"/>
          <w:i w:val="0"/>
        </w:rPr>
        <w:t>6.8 案例八：用预算版本解释经营差异</w:t>
      </w:r>
      <w:bookmarkEnd w:id="29"/>
    </w:p>
    <w:p>
      <w:r>
        <w:rPr>
          <w:rFonts w:ascii="Arial" w:hAnsi="Arial" w:eastAsia="宋体"/>
          <w:b w:val="0"/>
          <w:i w:val="0"/>
        </w:rPr>
      </w:r>
      <w:r>
        <w:rPr>
          <w:rFonts w:ascii="Arial" w:hAnsi="Arial" w:eastAsia="宋体"/>
          <w:b/>
          <w:i w:val="0"/>
        </w:rPr>
        <w:t>业务故事。</w:t>
      </w:r>
      <w:r>
        <w:rPr>
          <w:rFonts w:ascii="Arial" w:hAnsi="Arial" w:eastAsia="宋体"/>
          <w:b w:val="0"/>
          <w:i w:val="0"/>
        </w:rPr>
        <w:t xml:space="preserve"> 经营会议上，财务负责人需要说明“业绩没有变，但目标方案变化后完成率为什么变了”。本例采用默认实际数，不承接已修改实际的CSV或费用凭证案例。</w:t>
      </w:r>
    </w:p>
    <w:p>
      <w:r>
        <w:rPr>
          <w:rFonts w:ascii="Arial" w:hAnsi="Arial" w:eastAsia="宋体"/>
          <w:b w:val="0"/>
          <w:i w:val="0"/>
        </w:rPr>
        <w:t>切换到默认“V2 年度目标”，确认全年18,400.00、均匀分摊、09期收入预算13,800.00、实际13,000.00。进入“经营差异与钻取”，记录收入差异-800.00及当前版本名称。点击净利润、毛利或法人贡献的钻取入口，查看法人报送及已审批调整构成。</w:t>
      </w:r>
    </w:p>
    <w:p>
      <w:r>
        <w:rPr>
          <w:rFonts w:ascii="Arial" w:hAnsi="Arial" w:eastAsia="宋体"/>
          <w:b w:val="0"/>
          <w:i w:val="0"/>
        </w:rPr>
        <w:t>再切换案例二锁定的“案例A_收入目标”，全年18,523.45、09期均匀分摊累计13,892.59，实际收入仍13,000.00，收入差异为-892.59。切换批准后的独立调整版，全年18,623.45、09期预算13,967.59，收入差异为-967.59。少数分摊月存在分币尾差，但截至9月累计及全年应与当前方案一致。</w:t>
      </w:r>
    </w:p>
    <w:tbl>
      <w:tblPr>
        <w:tblStyle w:val="TableGrid"/>
        <w:tblW w:type="auto" w:w="0"/>
        <w:jc w:val="center"/>
        <w:tblLayout w:type="fixed"/>
        <w:tblLook w:firstColumn="1" w:firstRow="1" w:lastColumn="0" w:lastRow="0" w:noHBand="0" w:noVBand="1" w:val="04A0"/>
      </w:tblPr>
      <w:tblGrid>
        <w:gridCol w:w="1872"/>
        <w:gridCol w:w="2014"/>
        <w:gridCol w:w="2014"/>
        <w:gridCol w:w="2014"/>
        <w:gridCol w:w="1723"/>
      </w:tblGrid>
      <w:tr>
        <w:trPr>
          <w:cantSplit/>
          <w:tblHeader w:val="true"/>
        </w:trPr>
        <w:tc>
          <w:tcPr>
            <w:tcW w:type="dxa" w:w="187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比较基准</w:t>
            </w:r>
          </w:p>
        </w:tc>
        <w:tc>
          <w:tcPr>
            <w:tcW w:type="dxa" w:w="20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全年收入目标</w:t>
            </w:r>
          </w:p>
        </w:tc>
        <w:tc>
          <w:tcPr>
            <w:tcW w:type="dxa" w:w="20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09期收入预算</w:t>
            </w:r>
          </w:p>
        </w:tc>
        <w:tc>
          <w:tcPr>
            <w:tcW w:type="dxa" w:w="201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实际收入</w:t>
            </w:r>
          </w:p>
        </w:tc>
        <w:tc>
          <w:tcPr>
            <w:tcW w:type="dxa" w:w="172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收入差异</w:t>
            </w:r>
          </w:p>
        </w:tc>
      </w:tr>
      <w:tr>
        <w:trPr>
          <w:cantSplit/>
        </w:trPr>
        <w:tc>
          <w:tcPr>
            <w:tcW w:type="dxa" w:w="1872"/>
            <w:vAlign w:val="top"/>
            <w:tcMar>
              <w:top w:w="65" w:type="dxa"/>
              <w:bottom w:w="65" w:type="dxa"/>
              <w:left w:w="65" w:type="dxa"/>
              <w:right w:w="65" w:type="dxa"/>
            </w:tcMar>
          </w:tcPr>
          <w:p>
            <w:pPr>
              <w:spacing w:before="30" w:after="30" w:line="252" w:lineRule="auto"/>
            </w:pPr>
            <w:r>
              <w:rPr>
                <w:rFonts w:ascii="Arial" w:hAnsi="Arial" w:eastAsia="宋体"/>
                <w:b w:val="0"/>
                <w:i w:val="0"/>
                <w:sz w:val="18"/>
              </w:rPr>
              <w:t>默认V2</w:t>
            </w:r>
          </w:p>
        </w:tc>
        <w:tc>
          <w:tcPr>
            <w:tcW w:type="dxa" w:w="2014"/>
            <w:vAlign w:val="top"/>
            <w:tcMar>
              <w:top w:w="65" w:type="dxa"/>
              <w:bottom w:w="65" w:type="dxa"/>
              <w:left w:w="65" w:type="dxa"/>
              <w:right w:w="65" w:type="dxa"/>
            </w:tcMar>
          </w:tcPr>
          <w:p>
            <w:pPr>
              <w:spacing w:before="30" w:after="30" w:line="252" w:lineRule="auto"/>
            </w:pPr>
            <w:r>
              <w:rPr>
                <w:rFonts w:ascii="Arial" w:hAnsi="Arial" w:eastAsia="宋体"/>
                <w:b w:val="0"/>
                <w:i w:val="0"/>
                <w:sz w:val="18"/>
              </w:rPr>
              <w:t>18,400.00</w:t>
            </w:r>
          </w:p>
        </w:tc>
        <w:tc>
          <w:tcPr>
            <w:tcW w:type="dxa" w:w="2014"/>
            <w:vAlign w:val="top"/>
            <w:tcMar>
              <w:top w:w="65" w:type="dxa"/>
              <w:bottom w:w="65" w:type="dxa"/>
              <w:left w:w="65" w:type="dxa"/>
              <w:right w:w="65" w:type="dxa"/>
            </w:tcMar>
          </w:tcPr>
          <w:p>
            <w:pPr>
              <w:spacing w:before="30" w:after="30" w:line="252" w:lineRule="auto"/>
            </w:pPr>
            <w:r>
              <w:rPr>
                <w:rFonts w:ascii="Arial" w:hAnsi="Arial" w:eastAsia="宋体"/>
                <w:b w:val="0"/>
                <w:i w:val="0"/>
                <w:sz w:val="18"/>
              </w:rPr>
              <w:t>13,800.00</w:t>
            </w:r>
          </w:p>
        </w:tc>
        <w:tc>
          <w:tcPr>
            <w:tcW w:type="dxa" w:w="2014"/>
            <w:vAlign w:val="top"/>
            <w:tcMar>
              <w:top w:w="65" w:type="dxa"/>
              <w:bottom w:w="65" w:type="dxa"/>
              <w:left w:w="65" w:type="dxa"/>
              <w:right w:w="65" w:type="dxa"/>
            </w:tcMar>
          </w:tcPr>
          <w:p>
            <w:pPr>
              <w:spacing w:before="30" w:after="30" w:line="252" w:lineRule="auto"/>
            </w:pPr>
            <w:r>
              <w:rPr>
                <w:rFonts w:ascii="Arial" w:hAnsi="Arial" w:eastAsia="宋体"/>
                <w:b w:val="0"/>
                <w:i w:val="0"/>
                <w:sz w:val="18"/>
              </w:rPr>
              <w:t>13,000.00</w:t>
            </w:r>
          </w:p>
        </w:tc>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-800.00</w:t>
            </w:r>
          </w:p>
        </w:tc>
      </w:tr>
      <w:tr>
        <w:trPr>
          <w:cantSplit/>
        </w:trPr>
        <w:tc>
          <w:tcPr>
            <w:tcW w:type="dxa" w:w="187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案例A锁定版</w:t>
            </w:r>
          </w:p>
        </w:tc>
        <w:tc>
          <w:tcPr>
            <w:tcW w:type="dxa" w:w="20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18,523.45</w:t>
            </w:r>
          </w:p>
        </w:tc>
        <w:tc>
          <w:tcPr>
            <w:tcW w:type="dxa" w:w="20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13,892.59</w:t>
            </w:r>
          </w:p>
        </w:tc>
        <w:tc>
          <w:tcPr>
            <w:tcW w:type="dxa" w:w="201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13,000.00</w:t>
            </w:r>
          </w:p>
        </w:tc>
        <w:tc>
          <w:tcPr>
            <w:tcW w:type="dxa" w:w="17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-892.59</w:t>
            </w:r>
          </w:p>
        </w:tc>
      </w:tr>
      <w:tr>
        <w:trPr>
          <w:cantSplit/>
        </w:trPr>
        <w:tc>
          <w:tcPr>
            <w:tcW w:type="dxa" w:w="1872"/>
            <w:vAlign w:val="top"/>
            <w:tcMar>
              <w:top w:w="65" w:type="dxa"/>
              <w:bottom w:w="65" w:type="dxa"/>
              <w:left w:w="65" w:type="dxa"/>
              <w:right w:w="65" w:type="dxa"/>
            </w:tcMar>
          </w:tcPr>
          <w:p>
            <w:pPr>
              <w:spacing w:before="30" w:after="30" w:line="252" w:lineRule="auto"/>
            </w:pPr>
            <w:r>
              <w:rPr>
                <w:rFonts w:ascii="Arial" w:hAnsi="Arial" w:eastAsia="宋体"/>
                <w:b w:val="0"/>
                <w:i w:val="0"/>
                <w:sz w:val="18"/>
              </w:rPr>
              <w:t>案例A独立调整版</w:t>
            </w:r>
          </w:p>
        </w:tc>
        <w:tc>
          <w:tcPr>
            <w:tcW w:type="dxa" w:w="2014"/>
            <w:vAlign w:val="top"/>
            <w:tcMar>
              <w:top w:w="65" w:type="dxa"/>
              <w:bottom w:w="65" w:type="dxa"/>
              <w:left w:w="65" w:type="dxa"/>
              <w:right w:w="65" w:type="dxa"/>
            </w:tcMar>
          </w:tcPr>
          <w:p>
            <w:pPr>
              <w:spacing w:before="30" w:after="30" w:line="252" w:lineRule="auto"/>
            </w:pPr>
            <w:r>
              <w:rPr>
                <w:rFonts w:ascii="Arial" w:hAnsi="Arial" w:eastAsia="宋体"/>
                <w:b w:val="0"/>
                <w:i w:val="0"/>
                <w:sz w:val="18"/>
              </w:rPr>
              <w:t>18,623.45</w:t>
            </w:r>
          </w:p>
        </w:tc>
        <w:tc>
          <w:tcPr>
            <w:tcW w:type="dxa" w:w="2014"/>
            <w:vAlign w:val="top"/>
            <w:tcMar>
              <w:top w:w="65" w:type="dxa"/>
              <w:bottom w:w="65" w:type="dxa"/>
              <w:left w:w="65" w:type="dxa"/>
              <w:right w:w="65" w:type="dxa"/>
            </w:tcMar>
          </w:tcPr>
          <w:p>
            <w:pPr>
              <w:spacing w:before="30" w:after="30" w:line="252" w:lineRule="auto"/>
            </w:pPr>
            <w:r>
              <w:rPr>
                <w:rFonts w:ascii="Arial" w:hAnsi="Arial" w:eastAsia="宋体"/>
                <w:b w:val="0"/>
                <w:i w:val="0"/>
                <w:sz w:val="18"/>
              </w:rPr>
              <w:t>13,967.59</w:t>
            </w:r>
          </w:p>
        </w:tc>
        <w:tc>
          <w:tcPr>
            <w:tcW w:type="dxa" w:w="2014"/>
            <w:vAlign w:val="top"/>
            <w:tcMar>
              <w:top w:w="65" w:type="dxa"/>
              <w:bottom w:w="65" w:type="dxa"/>
              <w:left w:w="65" w:type="dxa"/>
              <w:right w:w="65" w:type="dxa"/>
            </w:tcMar>
          </w:tcPr>
          <w:p>
            <w:pPr>
              <w:spacing w:before="30" w:after="30" w:line="252" w:lineRule="auto"/>
            </w:pPr>
            <w:r>
              <w:rPr>
                <w:rFonts w:ascii="Arial" w:hAnsi="Arial" w:eastAsia="宋体"/>
                <w:b w:val="0"/>
                <w:i w:val="0"/>
                <w:sz w:val="18"/>
              </w:rPr>
              <w:t>13,000.00</w:t>
            </w:r>
          </w:p>
        </w:tc>
        <w:tc>
          <w:tcPr>
            <w:tcW w:type="dxa" w:w="1723"/>
            <w:vAlign w:val="top"/>
            <w:tcMar>
              <w:top w:w="65" w:type="dxa"/>
              <w:bottom w:w="65" w:type="dxa"/>
              <w:left w:w="65" w:type="dxa"/>
              <w:right w:w="65" w:type="dxa"/>
            </w:tcMar>
          </w:tcPr>
          <w:p>
            <w:pPr>
              <w:spacing w:before="30" w:after="30" w:line="252" w:lineRule="auto"/>
            </w:pPr>
            <w:r>
              <w:rPr>
                <w:rFonts w:ascii="Arial" w:hAnsi="Arial" w:eastAsia="宋体"/>
                <w:b w:val="0"/>
                <w:i w:val="0"/>
                <w:sz w:val="18"/>
              </w:rPr>
              <w:t>-967.59</w:t>
            </w:r>
          </w:p>
        </w:tc>
      </w:tr>
    </w:tbl>
    <w:p>
      <w:pPr>
        <w:spacing w:after="40"/>
      </w:pPr>
    </w:p>
    <w:p>
      <w:r>
        <w:rPr>
          <w:rFonts w:ascii="Arial" w:hAnsi="Arial" w:eastAsia="宋体"/>
          <w:b w:val="0"/>
          <w:i w:val="0"/>
        </w:rPr>
        <w:t>利润差异桥把预算利润到实际利润的变化分为收入、成本、费用和财税影响；各项合计应解释整体差额。页面的法人贡献为抵销前法人实际，集团结果另含已审批调整。导出时应同时保留公司、期间、币种和比较版本信息，以免会议材料混用口径。</w:t>
      </w:r>
    </w:p>
    <w:p>
      <w:r>
        <w:rPr>
          <w:rFonts w:ascii="Arial" w:hAnsi="Arial" w:eastAsia="宋体"/>
          <w:b w:val="0"/>
          <w:i w:val="0"/>
        </w:rPr>
      </w:r>
      <w:r>
        <w:rPr>
          <w:rFonts w:ascii="Arial" w:hAnsi="Arial" w:eastAsia="宋体"/>
          <w:b/>
          <w:i w:val="0"/>
        </w:rPr>
        <w:t>恢复。</w:t>
      </w:r>
      <w:r>
        <w:rPr>
          <w:rFonts w:ascii="Arial" w:hAnsi="Arial" w:eastAsia="宋体"/>
          <w:b w:val="0"/>
          <w:i w:val="0"/>
        </w:rPr>
        <w:t xml:space="preserve"> 演示完成后切回团队约定的活跃版本。切换版本是环境保存状态的一部分，下一次打开可能仍使用最后选择的版本。该能力用于展示情景比较，不是自动预测未来订单或自动生成管理层经营决策。</w:t>
      </w:r>
    </w:p>
    <w:p>
      <w:pPr>
        <w:keepNext/>
        <w:jc w:val="center"/>
      </w:pPr>
      <w:r>
        <w:drawing>
          <wp:inline xmlns:a="http://schemas.openxmlformats.org/drawingml/2006/main" xmlns:pic="http://schemas.openxmlformats.org/drawingml/2006/picture">
            <wp:extent cx="6048000" cy="4622940"/>
            <wp:docPr id="5" name="Picture 5"/>
            <wp:cNvGraphicFramePr>
              <a:graphicFrameLocks noChangeAspect="1"/>
            </wp:cNvGraphicFramePr>
            <a:graphic>
              <a:graphicData uri="http://schemas.openxmlformats.org/drawingml/2006/picture">
                <pic:pic>
                  <pic:nvPicPr>
                    <pic:cNvPr id="0" name="analysis.png"/>
                    <pic:cNvPicPr/>
                  </pic:nvPicPr>
                  <pic:blipFill>
                    <a:blip r:embed="rId15"/>
                    <a:stretch>
                      <a:fillRect/>
                    </a:stretch>
                  </pic:blipFill>
                  <pic:spPr>
                    <a:xfrm>
                      <a:off x="0" y="0"/>
                      <a:ext cx="6048000" cy="4622940"/>
                    </a:xfrm>
                    <a:prstGeom prst="rect"/>
                  </pic:spPr>
                </pic:pic>
              </a:graphicData>
            </a:graphic>
          </wp:inline>
        </w:drawing>
      </w:r>
    </w:p>
    <w:p>
      <w:pPr>
        <w:jc w:val="center"/>
      </w:pPr>
      <w:r>
        <w:rPr>
          <w:rFonts w:ascii="Arial" w:hAnsi="Arial" w:eastAsia="宋体"/>
          <w:color w:val="66758D"/>
          <w:sz w:val="18"/>
        </w:rPr>
        <w:t>图 5  经营差异与钻取</w:t>
      </w:r>
    </w:p>
    <w:p>
      <w:pPr>
        <w:pStyle w:val="Heading1"/>
      </w:pPr>
      <w:bookmarkStart w:id="30" w:name="epm_30"/>
      <w:r>
        <w:rPr>
          <w:rFonts w:ascii="Arial" w:hAnsi="Arial" w:eastAsia="宋体"/>
          <w:b w:val="0"/>
          <w:i w:val="0"/>
        </w:rPr>
        <w:t>7. 演示评审记录与验收建议</w:t>
      </w:r>
      <w:bookmarkEnd w:id="30"/>
    </w:p>
    <w:p>
      <w:pPr>
        <w:pStyle w:val="Heading2"/>
      </w:pPr>
      <w:bookmarkStart w:id="31" w:name="epm_31"/>
      <w:r>
        <w:rPr>
          <w:rFonts w:ascii="Arial" w:hAnsi="Arial" w:eastAsia="宋体"/>
          <w:b w:val="0"/>
          <w:i w:val="0"/>
        </w:rPr>
        <w:t>7.1 如何判断一个案例已经完成</w:t>
      </w:r>
      <w:bookmarkEnd w:id="31"/>
    </w:p>
    <w:p>
      <w:r>
        <w:rPr>
          <w:rFonts w:ascii="Arial" w:hAnsi="Arial" w:eastAsia="宋体"/>
          <w:b w:val="0"/>
          <w:i w:val="0"/>
        </w:rPr>
        <w:t>一个完整案例至少应有明确的起点、实际输入、成功或失败反馈、结果数值、对应记录和恢复方式。对写入案例，还应至少刷新一次，或在安全退出后重新双击EXE，确认结果来自数据库而非暂存在浏览器。只看按钮能点击、只看到“保存成功”提示，而不核对业务结果，不能完成产品评审。</w:t>
      </w:r>
    </w:p>
    <w:tbl>
      <w:tblPr>
        <w:tblStyle w:val="TableGrid"/>
        <w:tblW w:type="auto" w:w="0"/>
        <w:jc w:val="center"/>
        <w:tblLayout w:type="fixed"/>
        <w:tblLook w:firstColumn="1" w:firstRow="1" w:lastColumn="0" w:lastRow="0" w:noHBand="0" w:noVBand="1" w:val="04A0"/>
      </w:tblPr>
      <w:tblGrid>
        <w:gridCol w:w="1993"/>
        <w:gridCol w:w="4086"/>
        <w:gridCol w:w="3558"/>
      </w:tblGrid>
      <w:tr>
        <w:trPr>
          <w:cantSplit/>
          <w:tblHeader w:val="true"/>
        </w:trPr>
        <w:tc>
          <w:tcPr>
            <w:tcW w:type="dxa" w:w="199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评审维度</w:t>
            </w:r>
          </w:p>
        </w:tc>
        <w:tc>
          <w:tcPr>
            <w:tcW w:type="dxa" w:w="408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建议记录的问题</w:t>
            </w:r>
          </w:p>
        </w:tc>
        <w:tc>
          <w:tcPr>
            <w:tcW w:type="dxa" w:w="355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合格证据示例</w:t>
            </w:r>
          </w:p>
        </w:tc>
      </w:tr>
      <w:tr>
        <w:trPr>
          <w:cantSplit/>
        </w:trPr>
        <w:tc>
          <w:tcPr>
            <w:tcW w:type="dxa" w:w="1993"/>
            <w:vAlign w:val="top"/>
            <w:tcMar>
              <w:top w:w="65" w:type="dxa"/>
              <w:bottom w:w="65" w:type="dxa"/>
              <w:left w:w="65" w:type="dxa"/>
              <w:right w:w="65" w:type="dxa"/>
            </w:tcMar>
          </w:tcPr>
          <w:p>
            <w:pPr>
              <w:spacing w:before="30" w:after="30" w:line="252" w:lineRule="auto"/>
            </w:pPr>
            <w:r>
              <w:rPr>
                <w:rFonts w:ascii="Arial" w:hAnsi="Arial" w:eastAsia="宋体"/>
                <w:b w:val="0"/>
                <w:i w:val="0"/>
                <w:sz w:val="19"/>
              </w:rPr>
              <w:t>交互可理解性</w:t>
            </w:r>
          </w:p>
        </w:tc>
        <w:tc>
          <w:tcPr>
            <w:tcW w:type="dxa" w:w="4086"/>
            <w:vAlign w:val="top"/>
            <w:tcMar>
              <w:top w:w="65" w:type="dxa"/>
              <w:bottom w:w="65" w:type="dxa"/>
              <w:left w:w="65" w:type="dxa"/>
              <w:right w:w="65" w:type="dxa"/>
            </w:tcMar>
          </w:tcPr>
          <w:p>
            <w:pPr>
              <w:spacing w:before="30" w:after="30" w:line="252" w:lineRule="auto"/>
            </w:pPr>
            <w:r>
              <w:rPr>
                <w:rFonts w:ascii="Arial" w:hAnsi="Arial" w:eastAsia="宋体"/>
                <w:b w:val="0"/>
                <w:i w:val="0"/>
                <w:sz w:val="19"/>
              </w:rPr>
              <w:t>业务人员能否找到入口、知道当前口径及状态</w:t>
            </w:r>
          </w:p>
        </w:tc>
        <w:tc>
          <w:tcPr>
            <w:tcW w:type="dxa" w:w="3558"/>
            <w:vAlign w:val="top"/>
            <w:tcMar>
              <w:top w:w="65" w:type="dxa"/>
              <w:bottom w:w="65" w:type="dxa"/>
              <w:left w:w="65" w:type="dxa"/>
              <w:right w:w="65" w:type="dxa"/>
            </w:tcMar>
          </w:tcPr>
          <w:p>
            <w:pPr>
              <w:spacing w:before="30" w:after="30" w:line="252" w:lineRule="auto"/>
            </w:pPr>
            <w:r>
              <w:rPr>
                <w:rFonts w:ascii="Arial" w:hAnsi="Arial" w:eastAsia="宋体"/>
                <w:b w:val="0"/>
                <w:i w:val="0"/>
                <w:sz w:val="19"/>
              </w:rPr>
              <w:t>页面名称、输入字段和中文提示截图</w:t>
            </w:r>
          </w:p>
        </w:tc>
      </w:tr>
      <w:tr>
        <w:trPr>
          <w:cantSplit/>
        </w:trPr>
        <w:tc>
          <w:tcPr>
            <w:tcW w:type="dxa" w:w="19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业务正确性</w:t>
            </w:r>
          </w:p>
        </w:tc>
        <w:tc>
          <w:tcPr>
            <w:tcW w:type="dxa" w:w="40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草稿与审批是否区分，锁定及签核是否生效</w:t>
            </w:r>
          </w:p>
        </w:tc>
        <w:tc>
          <w:tcPr>
            <w:tcW w:type="dxa" w:w="35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审批前后对比，原版与新版本对比</w:t>
            </w:r>
          </w:p>
        </w:tc>
      </w:tr>
      <w:tr>
        <w:trPr>
          <w:cantSplit/>
        </w:trPr>
        <w:tc>
          <w:tcPr>
            <w:tcW w:type="dxa" w:w="1993"/>
            <w:vAlign w:val="top"/>
            <w:tcMar>
              <w:top w:w="65" w:type="dxa"/>
              <w:bottom w:w="65" w:type="dxa"/>
              <w:left w:w="65" w:type="dxa"/>
              <w:right w:w="65" w:type="dxa"/>
            </w:tcMar>
          </w:tcPr>
          <w:p>
            <w:pPr>
              <w:spacing w:before="30" w:after="30" w:line="252" w:lineRule="auto"/>
            </w:pPr>
            <w:r>
              <w:rPr>
                <w:rFonts w:ascii="Arial" w:hAnsi="Arial" w:eastAsia="宋体"/>
                <w:b w:val="0"/>
                <w:i w:val="0"/>
                <w:sz w:val="19"/>
              </w:rPr>
              <w:t>数值可核对性</w:t>
            </w:r>
          </w:p>
        </w:tc>
        <w:tc>
          <w:tcPr>
            <w:tcW w:type="dxa" w:w="4086"/>
            <w:vAlign w:val="top"/>
            <w:tcMar>
              <w:top w:w="65" w:type="dxa"/>
              <w:bottom w:w="65" w:type="dxa"/>
              <w:left w:w="65" w:type="dxa"/>
              <w:right w:w="65" w:type="dxa"/>
            </w:tcMar>
          </w:tcPr>
          <w:p>
            <w:pPr>
              <w:spacing w:before="30" w:after="30" w:line="252" w:lineRule="auto"/>
            </w:pPr>
            <w:r>
              <w:rPr>
                <w:rFonts w:ascii="Arial" w:hAnsi="Arial" w:eastAsia="宋体"/>
                <w:b w:val="0"/>
                <w:i w:val="0"/>
                <w:sz w:val="19"/>
              </w:rPr>
              <w:t>报表、差异、现金及权益是否一致</w:t>
            </w:r>
          </w:p>
        </w:tc>
        <w:tc>
          <w:tcPr>
            <w:tcW w:type="dxa" w:w="3558"/>
            <w:vAlign w:val="top"/>
            <w:tcMar>
              <w:top w:w="65" w:type="dxa"/>
              <w:bottom w:w="65" w:type="dxa"/>
              <w:left w:w="65" w:type="dxa"/>
              <w:right w:w="65" w:type="dxa"/>
            </w:tcMar>
          </w:tcPr>
          <w:p>
            <w:pPr>
              <w:spacing w:before="30" w:after="30" w:line="252" w:lineRule="auto"/>
            </w:pPr>
            <w:r>
              <w:rPr>
                <w:rFonts w:ascii="Arial" w:hAnsi="Arial" w:eastAsia="宋体"/>
                <w:b w:val="0"/>
                <w:i w:val="0"/>
                <w:sz w:val="19"/>
              </w:rPr>
              <w:t>案例中的预期数值和三表勾稽通过</w:t>
            </w:r>
          </w:p>
        </w:tc>
      </w:tr>
      <w:tr>
        <w:trPr>
          <w:cantSplit/>
        </w:trPr>
        <w:tc>
          <w:tcPr>
            <w:tcW w:type="dxa" w:w="19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失败可恢复性</w:t>
            </w:r>
          </w:p>
        </w:tc>
        <w:tc>
          <w:tcPr>
            <w:tcW w:type="dxa" w:w="40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错误输入是否整批拒绝，用户知道如何修正</w:t>
            </w:r>
          </w:p>
        </w:tc>
        <w:tc>
          <w:tcPr>
            <w:tcW w:type="dxa" w:w="35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不平衡CSV中文错误及金额零变化</w:t>
            </w:r>
          </w:p>
        </w:tc>
      </w:tr>
      <w:tr>
        <w:trPr>
          <w:cantSplit/>
        </w:trPr>
        <w:tc>
          <w:tcPr>
            <w:tcW w:type="dxa" w:w="1993"/>
            <w:vAlign w:val="top"/>
            <w:tcMar>
              <w:top w:w="65" w:type="dxa"/>
              <w:bottom w:w="65" w:type="dxa"/>
              <w:left w:w="65" w:type="dxa"/>
              <w:right w:w="65" w:type="dxa"/>
            </w:tcMar>
          </w:tcPr>
          <w:p>
            <w:pPr>
              <w:spacing w:before="30" w:after="30" w:line="252" w:lineRule="auto"/>
            </w:pPr>
            <w:r>
              <w:rPr>
                <w:rFonts w:ascii="Arial" w:hAnsi="Arial" w:eastAsia="宋体"/>
                <w:b w:val="0"/>
                <w:i w:val="0"/>
                <w:sz w:val="19"/>
              </w:rPr>
              <w:t>持久化</w:t>
            </w:r>
          </w:p>
        </w:tc>
        <w:tc>
          <w:tcPr>
            <w:tcW w:type="dxa" w:w="4086"/>
            <w:vAlign w:val="top"/>
            <w:tcMar>
              <w:top w:w="65" w:type="dxa"/>
              <w:bottom w:w="65" w:type="dxa"/>
              <w:left w:w="65" w:type="dxa"/>
              <w:right w:w="65" w:type="dxa"/>
            </w:tcMar>
          </w:tcPr>
          <w:p>
            <w:pPr>
              <w:spacing w:before="30" w:after="30" w:line="252" w:lineRule="auto"/>
            </w:pPr>
            <w:r>
              <w:rPr>
                <w:rFonts w:ascii="Arial" w:hAnsi="Arial" w:eastAsia="宋体"/>
                <w:b w:val="0"/>
                <w:i w:val="0"/>
                <w:sz w:val="19"/>
              </w:rPr>
              <w:t>刷新及完整重启是否保留</w:t>
            </w:r>
          </w:p>
        </w:tc>
        <w:tc>
          <w:tcPr>
            <w:tcW w:type="dxa" w:w="3558"/>
            <w:vAlign w:val="top"/>
            <w:tcMar>
              <w:top w:w="65" w:type="dxa"/>
              <w:bottom w:w="65" w:type="dxa"/>
              <w:left w:w="65" w:type="dxa"/>
              <w:right w:w="65" w:type="dxa"/>
            </w:tcMar>
          </w:tcPr>
          <w:p>
            <w:pPr>
              <w:spacing w:before="30" w:after="30" w:line="252" w:lineRule="auto"/>
            </w:pPr>
            <w:r>
              <w:rPr>
                <w:rFonts w:ascii="Arial" w:hAnsi="Arial" w:eastAsia="宋体"/>
                <w:b w:val="0"/>
                <w:i w:val="0"/>
                <w:sz w:val="19"/>
              </w:rPr>
              <w:t>重新进入后相同版本、金额和状态</w:t>
            </w:r>
          </w:p>
        </w:tc>
      </w:tr>
      <w:tr>
        <w:trPr>
          <w:cantSplit/>
        </w:trPr>
        <w:tc>
          <w:tcPr>
            <w:tcW w:type="dxa" w:w="199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可追溯性</w:t>
            </w:r>
          </w:p>
        </w:tc>
        <w:tc>
          <w:tcPr>
            <w:tcW w:type="dxa" w:w="408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来源、操作、批准是否有记录</w:t>
            </w:r>
          </w:p>
        </w:tc>
        <w:tc>
          <w:tcPr>
            <w:tcW w:type="dxa" w:w="355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导入批次、凭证状态及审计事务</w:t>
            </w:r>
          </w:p>
        </w:tc>
      </w:tr>
    </w:tbl>
    <w:p>
      <w:pPr>
        <w:spacing w:after="40"/>
      </w:pPr>
    </w:p>
    <w:p>
      <w:r>
        <w:rPr>
          <w:rFonts w:ascii="Arial" w:hAnsi="Arial" w:eastAsia="宋体"/>
          <w:b w:val="0"/>
          <w:i w:val="0"/>
        </w:rPr>
        <w:t>可以为每个问题记录“现象、期望、实际、复现步骤、责任模块、优先级和处理结论”。产品评审中的会计政策意见，应与界面缺陷分开记录，避免把Demo尚未实现的复杂规则当作本轮操作错误，也避免把实际计算错误归为外观优化。</w:t>
      </w:r>
    </w:p>
    <w:p>
      <w:pPr>
        <w:pStyle w:val="Heading2"/>
      </w:pPr>
      <w:bookmarkStart w:id="32" w:name="epm_32"/>
      <w:r>
        <w:rPr>
          <w:rFonts w:ascii="Arial" w:hAnsi="Arial" w:eastAsia="宋体"/>
          <w:b w:val="0"/>
          <w:i w:val="0"/>
        </w:rPr>
        <w:t>7.2 本轮可引用的验证证据</w:t>
      </w:r>
      <w:bookmarkEnd w:id="32"/>
    </w:p>
    <w:p>
      <w:r>
        <w:rPr>
          <w:rFonts w:ascii="Arial" w:hAnsi="Arial" w:eastAsia="宋体"/>
          <w:b w:val="0"/>
          <w:i w:val="0"/>
        </w:rPr>
        <w:t>交付环境已有独立HTTP与浏览器验收，覆盖20项中文导航、预算保存和完整服务重启、预算审批与独立调整、CSV真实文件导入及错误拒绝、凭证草稿和审批、签核及重新开启、本机数据位置和安全退出。另有Windows原生EXE经包内Windows解释器进入HTTP和SQLite的Wine兼容环境验证，包含中文及空格路径、重复启动和数据保留。</w:t>
      </w:r>
    </w:p>
    <w:p>
      <w:r>
        <w:rPr>
          <w:rFonts w:ascii="Arial" w:hAnsi="Arial" w:eastAsia="宋体"/>
          <w:b w:val="0"/>
          <w:i w:val="0"/>
        </w:rPr>
        <w:t>本说明书的金额案例在全新隔离HTTP服务中另行核对，记录见随文档的案例核验资料。该核验未使用公司真实数据，也没有修改用户已有账套。Windows真机、单位终端策略、真实ERP连接、实际集团财务数字以及生产容量仍需各自的专项验收，不能由本机样例或Wine结果替代。</w:t>
      </w:r>
    </w:p>
    <w:p>
      <w:pPr>
        <w:pStyle w:val="Heading1"/>
      </w:pPr>
      <w:bookmarkStart w:id="33" w:name="epm_33"/>
      <w:r>
        <w:rPr>
          <w:rFonts w:ascii="Arial" w:hAnsi="Arial" w:eastAsia="宋体"/>
          <w:b w:val="0"/>
          <w:i w:val="0"/>
        </w:rPr>
        <w:t>8. 当前产品边界与正式研发方向</w:t>
      </w:r>
      <w:bookmarkEnd w:id="33"/>
    </w:p>
    <w:p>
      <w:pPr>
        <w:pStyle w:val="Heading2"/>
      </w:pPr>
      <w:bookmarkStart w:id="34" w:name="epm_34"/>
      <w:r>
        <w:rPr>
          <w:rFonts w:ascii="Arial" w:hAnsi="Arial" w:eastAsia="宋体"/>
          <w:b w:val="0"/>
          <w:i w:val="0"/>
        </w:rPr>
        <w:t>8.1 财务合并的边界</w:t>
      </w:r>
      <w:bookmarkEnd w:id="34"/>
    </w:p>
    <w:p>
      <w:r>
        <w:rPr>
          <w:rFonts w:ascii="Arial" w:hAnsi="Arial" w:eastAsia="宋体"/>
          <w:b w:val="0"/>
          <w:i w:val="0"/>
        </w:rPr>
        <w:t>本Demo实现同本位币的累计样例、试算余额导入、已审批调整、三表及勾稽，展示报送数与调整数的关系。样例持股比例和少数股东项目不代表完成真实多层持股链、购买日、处置、权益法、汇率折算差额、复杂准则判断及未实现利润自动测算。实际项目需要财务专家确认政策、科目映射和金样，并以真实集团场景验收。</w:t>
      </w:r>
    </w:p>
    <w:p>
      <w:r>
        <w:rPr>
          <w:rFonts w:ascii="Arial" w:hAnsi="Arial" w:eastAsia="宋体"/>
          <w:b w:val="0"/>
          <w:i w:val="0"/>
        </w:rPr>
        <w:t>现金流在默认样例中有预置分类；含现金调整凭证需选择经营、投资或筹资类别。仅用CSV试算余额不能重建正式现金流明细。当前导入后的经营现金流通过现金变动减去样例投资和筹资现金流估算，并保留估算标记；这可以演示报表联动，但不构成正式现金流分类方法。正式研发应增加现金流辅助核算、分类及调整依据。</w:t>
      </w:r>
    </w:p>
    <w:p>
      <w:pPr>
        <w:pStyle w:val="Heading2"/>
      </w:pPr>
      <w:bookmarkStart w:id="35" w:name="epm_35"/>
      <w:r>
        <w:rPr>
          <w:rFonts w:ascii="Arial" w:hAnsi="Arial" w:eastAsia="宋体"/>
          <w:b w:val="0"/>
          <w:i w:val="0"/>
        </w:rPr>
        <w:t>8.2 全面预算的边界</w:t>
      </w:r>
      <w:bookmarkEnd w:id="35"/>
    </w:p>
    <w:p>
      <w:r>
        <w:rPr>
          <w:rFonts w:ascii="Arial" w:hAnsi="Arial" w:eastAsia="宋体"/>
          <w:b w:val="0"/>
          <w:i w:val="0"/>
        </w:rPr>
        <w:t>本Demo以四层销售收入目标、量价驱动、全年分摊、业务预算明细、审批和版本控制展示预算管理流程。成本、费用及财税预算比较使用已标明的演示基准，其他业务明细独立保存。生产级全面预算还需要业务驱动及关联关系、存货与产销平衡、人员和资本计划、融资税务假设、资产负债与现金流联动、模型计算次序和预算校验体系。</w:t>
      </w:r>
    </w:p>
    <w:p>
      <w:r>
        <w:rPr>
          <w:rFonts w:ascii="Arial" w:hAnsi="Arial" w:eastAsia="宋体"/>
          <w:b w:val="0"/>
          <w:i w:val="0"/>
        </w:rPr>
        <w:t>“滚动预测”当前指复制完整预算快照、标记预测情景并独立编制审批，不包括订单自动预测、统计预测或智能算法。评审时可确认版本及流程设计，正式研发时再增加预测输入、实际锁定月份、滚动区间、算法和人工调整机制。</w:t>
      </w:r>
    </w:p>
    <w:p>
      <w:pPr>
        <w:pStyle w:val="Heading2"/>
      </w:pPr>
      <w:bookmarkStart w:id="36" w:name="epm_36"/>
      <w:r>
        <w:rPr>
          <w:rFonts w:ascii="Arial" w:hAnsi="Arial" w:eastAsia="宋体"/>
          <w:b w:val="0"/>
          <w:i w:val="0"/>
        </w:rPr>
        <w:t>8.3 经营分析与治理的边界</w:t>
      </w:r>
      <w:bookmarkEnd w:id="36"/>
    </w:p>
    <w:p>
      <w:r>
        <w:rPr>
          <w:rFonts w:ascii="Arial" w:hAnsi="Arial" w:eastAsia="宋体"/>
          <w:b w:val="0"/>
          <w:i w:val="0"/>
        </w:rPr>
        <w:t>经营分析使用当前已保存实际和预算做差异、贡献及钻取，尚未连接多来源指标库和实时经营事件。正式平台需要统一指标定义、分析维度、数据血缘、预警规则和权限，确保财务与业务口径一致。</w:t>
      </w:r>
    </w:p>
    <w:p>
      <w:r>
        <w:rPr>
          <w:rFonts w:ascii="Arial" w:hAnsi="Arial" w:eastAsia="宋体"/>
          <w:b w:val="0"/>
          <w:i w:val="0"/>
        </w:rPr>
        <w:t>本机数据库适合演示保存与追溯，当前角色切换适合体验流程。生产部署仍需真实身份认证、组织与法人隔离、职责分离、不可抵赖审计、并发冲突策略、备份恢复、升级迁移、运行监控和发布治理。是否采用当前技术栈继续扩展，应由团队根据部署模式、数据规模和维护能力评估，不应将Demo架构直接当作集团生产架构的最终结论。</w:t>
      </w:r>
    </w:p>
    <w:p>
      <w:pPr>
        <w:pStyle w:val="Heading1"/>
      </w:pPr>
      <w:bookmarkStart w:id="37" w:name="epm_37"/>
      <w:r>
        <w:rPr>
          <w:rFonts w:ascii="Arial" w:hAnsi="Arial" w:eastAsia="宋体"/>
          <w:b w:val="0"/>
          <w:i w:val="0"/>
        </w:rPr>
        <w:t>9. 常用术语与沟通口径</w:t>
      </w:r>
      <w:bookmarkEnd w:id="37"/>
    </w:p>
    <w:tbl>
      <w:tblPr>
        <w:tblStyle w:val="TableGrid"/>
        <w:tblW w:type="auto" w:w="0"/>
        <w:jc w:val="center"/>
        <w:tblLayout w:type="fixed"/>
        <w:tblLook w:firstColumn="1" w:firstRow="1" w:lastColumn="0" w:lastRow="0" w:noHBand="0" w:noVBand="1" w:val="04A0"/>
      </w:tblPr>
      <w:tblGrid>
        <w:gridCol w:w="1742"/>
        <w:gridCol w:w="3896"/>
        <w:gridCol w:w="4000"/>
      </w:tblGrid>
      <w:tr>
        <w:trPr>
          <w:cantSplit/>
          <w:tblHeader w:val="true"/>
        </w:trPr>
        <w:tc>
          <w:tcPr>
            <w:tcW w:type="dxa" w:w="174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术语</w:t>
            </w:r>
          </w:p>
        </w:tc>
        <w:tc>
          <w:tcPr>
            <w:tcW w:type="dxa" w:w="389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本产品中的含义</w:t>
            </w:r>
          </w:p>
        </w:tc>
        <w:tc>
          <w:tcPr>
            <w:tcW w:type="dxa" w:w="40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容易混淆的地方</w:t>
            </w:r>
          </w:p>
        </w:tc>
      </w:tr>
      <w:tr>
        <w:trPr>
          <w:cantSplit/>
        </w:trPr>
        <w:tc>
          <w:tcPr>
            <w:tcW w:type="dxa" w:w="1742"/>
            <w:vAlign w:val="top"/>
            <w:tcMar>
              <w:top w:w="65" w:type="dxa"/>
              <w:bottom w:w="65" w:type="dxa"/>
              <w:left w:w="65" w:type="dxa"/>
              <w:right w:w="65" w:type="dxa"/>
            </w:tcMar>
          </w:tcPr>
          <w:p>
            <w:pPr>
              <w:spacing w:before="30" w:after="30" w:line="252" w:lineRule="auto"/>
            </w:pPr>
            <w:r>
              <w:rPr>
                <w:rFonts w:ascii="Arial" w:hAnsi="Arial" w:eastAsia="宋体"/>
                <w:b w:val="0"/>
                <w:i w:val="0"/>
                <w:sz w:val="19"/>
              </w:rPr>
              <w:t>EPM</w:t>
            </w:r>
          </w:p>
        </w:tc>
        <w:tc>
          <w:tcPr>
            <w:tcW w:type="dxa" w:w="3896"/>
            <w:vAlign w:val="top"/>
            <w:tcMar>
              <w:top w:w="65" w:type="dxa"/>
              <w:bottom w:w="65" w:type="dxa"/>
              <w:left w:w="65" w:type="dxa"/>
              <w:right w:w="65" w:type="dxa"/>
            </w:tcMar>
          </w:tcPr>
          <w:p>
            <w:pPr>
              <w:spacing w:before="30" w:after="30" w:line="252" w:lineRule="auto"/>
            </w:pPr>
            <w:r>
              <w:rPr>
                <w:rFonts w:ascii="Arial" w:hAnsi="Arial" w:eastAsia="宋体"/>
                <w:b w:val="0"/>
                <w:i w:val="0"/>
                <w:sz w:val="19"/>
              </w:rPr>
              <w:t>企业绩效管理，连接财务合并、预算和经营分析</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9"/>
              </w:rPr>
              <w:t>不是仅有报表展示或仅有记账功能</w:t>
            </w:r>
          </w:p>
        </w:tc>
      </w:tr>
      <w:tr>
        <w:trPr>
          <w:cantSplit/>
        </w:trPr>
        <w:tc>
          <w:tcPr>
            <w:tcW w:type="dxa" w:w="17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法人报送</w:t>
            </w:r>
          </w:p>
        </w:tc>
        <w:tc>
          <w:tcPr>
            <w:tcW w:type="dxa" w:w="3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按法人、期间提交累计试算余额</w:t>
            </w:r>
          </w:p>
        </w:tc>
        <w:tc>
          <w:tcPr>
            <w:tcW w:type="dxa" w:w="40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不能只上传两笔差额并当作整套余额</w:t>
            </w:r>
          </w:p>
        </w:tc>
      </w:tr>
      <w:tr>
        <w:trPr>
          <w:cantSplit/>
        </w:trPr>
        <w:tc>
          <w:tcPr>
            <w:tcW w:type="dxa" w:w="1742"/>
            <w:vAlign w:val="top"/>
            <w:tcMar>
              <w:top w:w="65" w:type="dxa"/>
              <w:bottom w:w="65" w:type="dxa"/>
              <w:left w:w="65" w:type="dxa"/>
              <w:right w:w="65" w:type="dxa"/>
            </w:tcMar>
          </w:tcPr>
          <w:p>
            <w:pPr>
              <w:spacing w:before="30" w:after="30" w:line="252" w:lineRule="auto"/>
            </w:pPr>
            <w:r>
              <w:rPr>
                <w:rFonts w:ascii="Arial" w:hAnsi="Arial" w:eastAsia="宋体"/>
                <w:b w:val="0"/>
                <w:i w:val="0"/>
                <w:sz w:val="19"/>
              </w:rPr>
              <w:t>合并口径</w:t>
            </w:r>
          </w:p>
        </w:tc>
        <w:tc>
          <w:tcPr>
            <w:tcW w:type="dxa" w:w="3896"/>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法人源数加适用的已审批抵销及调整</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9"/>
              </w:rPr>
              <w:t>不等同各法人指标直接相加</w:t>
            </w:r>
          </w:p>
        </w:tc>
      </w:tr>
      <w:tr>
        <w:trPr>
          <w:cantSplit/>
        </w:trPr>
        <w:tc>
          <w:tcPr>
            <w:tcW w:type="dxa" w:w="17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勾稽</w:t>
            </w:r>
          </w:p>
        </w:tc>
        <w:tc>
          <w:tcPr>
            <w:tcW w:type="dxa" w:w="3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不同财务项目之间的约束关系</w:t>
            </w:r>
          </w:p>
        </w:tc>
        <w:tc>
          <w:tcPr>
            <w:tcW w:type="dxa" w:w="40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显示报表不代表勾稽已经通过</w:t>
            </w:r>
          </w:p>
        </w:tc>
      </w:tr>
      <w:tr>
        <w:trPr>
          <w:cantSplit/>
        </w:trPr>
        <w:tc>
          <w:tcPr>
            <w:tcW w:type="dxa" w:w="1742"/>
            <w:vAlign w:val="top"/>
            <w:tcMar>
              <w:top w:w="65" w:type="dxa"/>
              <w:bottom w:w="65" w:type="dxa"/>
              <w:left w:w="65" w:type="dxa"/>
              <w:right w:w="65" w:type="dxa"/>
            </w:tcMar>
          </w:tcPr>
          <w:p>
            <w:pPr>
              <w:spacing w:before="30" w:after="30" w:line="252" w:lineRule="auto"/>
            </w:pPr>
            <w:r>
              <w:rPr>
                <w:rFonts w:ascii="Arial" w:hAnsi="Arial" w:eastAsia="宋体"/>
                <w:b w:val="0"/>
                <w:i w:val="0"/>
                <w:sz w:val="19"/>
              </w:rPr>
              <w:t>草稿凭证</w:t>
            </w:r>
          </w:p>
        </w:tc>
        <w:tc>
          <w:tcPr>
            <w:tcW w:type="dxa" w:w="3896"/>
            <w:vAlign w:val="top"/>
            <w:tcMar>
              <w:top w:w="65" w:type="dxa"/>
              <w:bottom w:w="65" w:type="dxa"/>
              <w:left w:w="65" w:type="dxa"/>
              <w:right w:w="65" w:type="dxa"/>
            </w:tcMar>
          </w:tcPr>
          <w:p>
            <w:pPr>
              <w:spacing w:before="30" w:after="30" w:line="252" w:lineRule="auto"/>
            </w:pPr>
            <w:r>
              <w:rPr>
                <w:rFonts w:ascii="Arial" w:hAnsi="Arial" w:eastAsia="宋体"/>
                <w:b w:val="0"/>
                <w:i w:val="0"/>
                <w:sz w:val="19"/>
              </w:rPr>
              <w:t>已保存但尚未审批的调整</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9"/>
              </w:rPr>
              <w:t>草稿不会影响当前合并报表</w:t>
            </w:r>
          </w:p>
        </w:tc>
      </w:tr>
      <w:tr>
        <w:trPr>
          <w:cantSplit/>
        </w:trPr>
        <w:tc>
          <w:tcPr>
            <w:tcW w:type="dxa" w:w="17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签核</w:t>
            </w:r>
          </w:p>
        </w:tc>
        <w:tc>
          <w:tcPr>
            <w:tcW w:type="dxa" w:w="3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负责人在前置任务完成后保护期间</w:t>
            </w:r>
          </w:p>
        </w:tc>
        <w:tc>
          <w:tcPr>
            <w:tcW w:type="dxa" w:w="40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重新开启会失效流程确认，不自动撤销金额</w:t>
            </w:r>
          </w:p>
        </w:tc>
      </w:tr>
      <w:tr>
        <w:trPr>
          <w:cantSplit/>
        </w:trPr>
        <w:tc>
          <w:tcPr>
            <w:tcW w:type="dxa" w:w="1742"/>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预算版本</w:t>
            </w:r>
          </w:p>
        </w:tc>
        <w:tc>
          <w:tcPr>
            <w:tcW w:type="dxa" w:w="3896"/>
            <w:vAlign w:val="top"/>
            <w:tcMar>
              <w:top w:w="65" w:type="dxa"/>
              <w:bottom w:w="65" w:type="dxa"/>
              <w:left w:w="65" w:type="dxa"/>
              <w:right w:w="65" w:type="dxa"/>
            </w:tcMar>
          </w:tcPr>
          <w:p>
            <w:pPr>
              <w:spacing w:before="30" w:after="30" w:line="252" w:lineRule="auto"/>
            </w:pPr>
            <w:r>
              <w:rPr>
                <w:rFonts w:ascii="Arial" w:hAnsi="Arial" w:eastAsia="宋体"/>
                <w:b w:val="0"/>
                <w:i w:val="0"/>
                <w:sz w:val="19"/>
              </w:rPr>
              <w:t>完整的预算金额、分摊、业务明细及状态快照</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切换版本改变比较基准，不改实际数</w:t>
            </w:r>
          </w:p>
        </w:tc>
      </w:tr>
      <w:tr>
        <w:trPr>
          <w:cantSplit/>
        </w:trPr>
        <w:tc>
          <w:tcPr>
            <w:tcW w:type="dxa" w:w="17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预算调整</w:t>
            </w:r>
          </w:p>
        </w:tc>
        <w:tc>
          <w:tcPr>
            <w:tcW w:type="dxa" w:w="3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记录来源快照的申请，批准后形成独立版</w:t>
            </w:r>
          </w:p>
        </w:tc>
        <w:tc>
          <w:tcPr>
            <w:tcW w:type="dxa" w:w="40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不是直接覆盖原锁定目标</w:t>
            </w:r>
          </w:p>
        </w:tc>
      </w:tr>
      <w:tr>
        <w:trPr>
          <w:cantSplit/>
        </w:trPr>
        <w:tc>
          <w:tcPr>
            <w:tcW w:type="dxa" w:w="1742"/>
            <w:vAlign w:val="top"/>
            <w:tcMar>
              <w:top w:w="65" w:type="dxa"/>
              <w:bottom w:w="65" w:type="dxa"/>
              <w:left w:w="65" w:type="dxa"/>
              <w:right w:w="65" w:type="dxa"/>
            </w:tcMar>
          </w:tcPr>
          <w:p>
            <w:pPr>
              <w:spacing w:before="30" w:after="30" w:line="252" w:lineRule="auto"/>
            </w:pPr>
            <w:r>
              <w:rPr>
                <w:rFonts w:ascii="Arial" w:hAnsi="Arial" w:eastAsia="宋体"/>
                <w:b w:val="0"/>
                <w:i w:val="0"/>
                <w:sz w:val="19"/>
              </w:rPr>
              <w:t>预实差异</w:t>
            </w:r>
          </w:p>
        </w:tc>
        <w:tc>
          <w:tcPr>
            <w:tcW w:type="dxa" w:w="3896"/>
            <w:vAlign w:val="top"/>
            <w:tcMar>
              <w:top w:w="65" w:type="dxa"/>
              <w:bottom w:w="65" w:type="dxa"/>
              <w:left w:w="65" w:type="dxa"/>
              <w:right w:w="65" w:type="dxa"/>
            </w:tcMar>
          </w:tcPr>
          <w:p>
            <w:pPr>
              <w:spacing w:before="30" w:after="30" w:line="252" w:lineRule="auto"/>
            </w:pPr>
            <w:r>
              <w:rPr>
                <w:rFonts w:ascii="Arial" w:hAnsi="Arial" w:eastAsia="宋体"/>
                <w:b w:val="0"/>
                <w:i w:val="0"/>
                <w:sz w:val="19"/>
              </w:rPr>
              <w:t>实际数与当前预算比较基准之差</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9"/>
              </w:rPr>
              <w:t>必须同时说明期间、范围、币种和版本</w:t>
            </w:r>
          </w:p>
        </w:tc>
      </w:tr>
      <w:tr>
        <w:trPr>
          <w:cantSplit/>
        </w:trPr>
        <w:tc>
          <w:tcPr>
            <w:tcW w:type="dxa" w:w="17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演示基准</w:t>
            </w:r>
          </w:p>
        </w:tc>
        <w:tc>
          <w:tcPr>
            <w:tcW w:type="dxa" w:w="3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为产品演示设置的固定比较参数</w:t>
            </w:r>
          </w:p>
        </w:tc>
        <w:tc>
          <w:tcPr>
            <w:tcW w:type="dxa" w:w="40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不能解释为已完成企业真实预算模型</w:t>
            </w:r>
          </w:p>
        </w:tc>
      </w:tr>
      <w:tr>
        <w:trPr>
          <w:cantSplit/>
        </w:trPr>
        <w:tc>
          <w:tcPr>
            <w:tcW w:type="dxa" w:w="1742"/>
            <w:vAlign w:val="top"/>
            <w:tcMar>
              <w:top w:w="65" w:type="dxa"/>
              <w:bottom w:w="65" w:type="dxa"/>
              <w:left w:w="65" w:type="dxa"/>
              <w:right w:w="65" w:type="dxa"/>
            </w:tcMar>
          </w:tcPr>
          <w:p>
            <w:pPr>
              <w:spacing w:before="30" w:after="30" w:line="252" w:lineRule="auto"/>
            </w:pPr>
            <w:r>
              <w:rPr>
                <w:rFonts w:ascii="Arial" w:hAnsi="Arial" w:eastAsia="宋体"/>
                <w:b w:val="0"/>
                <w:i w:val="0"/>
                <w:sz w:val="19"/>
              </w:rPr>
              <w:t>集成金样</w:t>
            </w:r>
          </w:p>
        </w:tc>
        <w:tc>
          <w:tcPr>
            <w:tcW w:type="dxa" w:w="3896"/>
            <w:vAlign w:val="top"/>
            <w:tcMar>
              <w:top w:w="65" w:type="dxa"/>
              <w:bottom w:w="65" w:type="dxa"/>
              <w:left w:w="65" w:type="dxa"/>
              <w:right w:w="65" w:type="dxa"/>
            </w:tcMar>
          </w:tcPr>
          <w:p>
            <w:pPr>
              <w:spacing w:before="30" w:after="30" w:line="252" w:lineRule="auto"/>
            </w:pPr>
            <w:r>
              <w:rPr>
                <w:rFonts w:ascii="Arial" w:hAnsi="Arial" w:eastAsia="宋体"/>
                <w:b w:val="0"/>
                <w:i w:val="0"/>
                <w:sz w:val="19"/>
              </w:rPr>
              <w:t>一组输入、操作和预期结果均明确的端到端验收样例</w:t>
            </w:r>
          </w:p>
        </w:tc>
        <w:tc>
          <w:tcPr>
            <w:tcW w:type="dxa" w:w="4000"/>
            <w:vAlign w:val="top"/>
            <w:tcMar>
              <w:top w:w="65" w:type="dxa"/>
              <w:bottom w:w="65" w:type="dxa"/>
              <w:left w:w="65" w:type="dxa"/>
              <w:right w:w="65" w:type="dxa"/>
            </w:tcMar>
          </w:tcPr>
          <w:p>
            <w:pPr>
              <w:spacing w:before="30" w:after="30" w:line="252" w:lineRule="auto"/>
            </w:pPr>
            <w:r>
              <w:rPr>
                <w:rFonts w:ascii="Arial" w:hAnsi="Arial" w:eastAsia="宋体"/>
                <w:b w:val="0"/>
                <w:i w:val="0"/>
                <w:sz w:val="19"/>
              </w:rPr>
              <w:t>不是生产数据，也不是只看页面截图</w:t>
            </w:r>
          </w:p>
        </w:tc>
      </w:tr>
      <w:tr>
        <w:trPr>
          <w:cantSplit/>
        </w:trPr>
        <w:tc>
          <w:tcPr>
            <w:tcW w:type="dxa" w:w="174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本机保存</w:t>
            </w:r>
          </w:p>
        </w:tc>
        <w:tc>
          <w:tcPr>
            <w:tcW w:type="dxa" w:w="389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数据由本地服务提交到独立数据库</w:t>
            </w:r>
          </w:p>
        </w:tc>
        <w:tc>
          <w:tcPr>
            <w:tcW w:type="dxa" w:w="40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浏览器关闭不等于服务停止，运行目录不等于数据目录</w:t>
            </w:r>
          </w:p>
        </w:tc>
      </w:tr>
    </w:tbl>
    <w:p>
      <w:pPr>
        <w:spacing w:after="40"/>
      </w:pPr>
    </w:p>
    <w:p>
      <w:r>
        <w:rPr>
          <w:rFonts w:ascii="Arial" w:hAnsi="Arial" w:eastAsia="宋体"/>
          <w:b w:val="0"/>
          <w:i w:val="0"/>
        </w:rPr>
        <w:t>本说明书涉及的“案例金额正确”以明确的演示起点和所述操作顺序为前提。评审者在已有环境继续操作时，应先核对当前版本、期间、报送和凭证，说明差异来源，再比较预期结果。这样形成的评审记录，才能直接支持下一阶段的需求确认与研发拆解。</w:t>
      </w:r>
    </w:p>
    <w:sectPr w:rsidR="00FC693F" w:rsidRPr="0006063C" w:rsidSect="00034616">
      <w:headerReference w:type="default" r:id="rId9"/>
      <w:footerReference w:type="default" r:id="rId10"/>
      <w:pgSz w:w="11906" w:h="16838"/>
      <w:pgMar w:top="1106" w:right="1134" w:bottom="1049"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宋体"/>
        <w:sz w:val="16"/>
      </w:rPr>
      <w:t xml:space="preserve">TY-EPM-PROD-001  ·  V1.0  ·  第 </w:t>
    </w:r>
    <w:fldSimple w:instr="PAGE"/>
    <w:r>
      <w:rPr>
        <w:rFonts w:ascii="Arial" w:hAnsi="Arial" w:eastAsia="宋体"/>
        <w:sz w:val="16"/>
      </w:rPr>
      <w:t xml:space="preserve"> 页 / 共 </w:t>
    </w:r>
    <w:fldSimple w:instr="NUMPAGES"/>
    <w:r>
      <w:rPr>
        <w:rFonts w:ascii="Arial" w:hAnsi="Arial" w:eastAsia="宋体"/>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color w:val="66758D"/>
        <w:sz w:val="16"/>
      </w:rPr>
      <w:t>杭州天元宠物用品有限公司  |  产品说明书（含演示案例）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8" w:lineRule="auto"/>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宋体"/>
      <w:b/>
      <w:bCs/>
      <w:color w:val="173F6E"/>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宋体"/>
      <w:b/>
      <w:bCs/>
      <w:color w:val="173F6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宋体"/>
      <w:b/>
      <w:bCs/>
      <w:color w:val="173F6E"/>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eastAsia="宋体"/>
      <w:b/>
      <w:bCs/>
      <w:i/>
      <w:iCs/>
      <w:color w:val="173F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天元EPM · 产品说明书（含演示案例）</dc:title>
  <dc:subject>杭州天元宠物用品有限公司：中文本机EPM Demo文档</dc:subject>
  <dc:creator>自研EPM项目文档</dc:creator>
  <cp:keywords>集团财务合并,全面预算,经营分析,中文Demo,研发交互,用户手册</cp:keywords>
  <dc:description>generated by python-docx</dc:description>
  <cp:lastModifiedBy/>
  <cp:revision>1</cp:revision>
  <dcterms:created xsi:type="dcterms:W3CDTF">2013-12-23T23:15:00Z</dcterms:created>
  <dcterms:modified xsi:type="dcterms:W3CDTF">2013-12-23T23:15:00Z</dcterms:modified>
  <cp:category/>
</cp:coreProperties>
</file>