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中文本机演示版</w:t>
      </w:r>
    </w:p>
    <w:p>
      <w:pPr>
        <w:spacing w:before="240" w:after="280"/>
      </w:pPr>
      <w:r>
        <w:rPr>
          <w:rFonts w:ascii="Arial" w:hAnsi="Arial" w:eastAsia="宋体"/>
          <w:b/>
          <w:color w:val="173F6E"/>
          <w:sz w:val="50"/>
        </w:rPr>
        <w:t>系统研发与交互说明书</w:t>
      </w:r>
    </w:p>
    <w:p>
      <w:r>
        <w:rPr>
          <w:rFonts w:ascii="Arial" w:hAnsi="Arial" w:eastAsia="宋体"/>
          <w:sz w:val="30"/>
        </w:rPr>
        <w:t>杭州天元宠物用品有限公司</w:t>
      </w:r>
    </w:p>
    <w:p>
      <w:r>
        <w:rPr>
          <w:rFonts w:ascii="Arial" w:hAnsi="Arial" w:eastAsia="宋体"/>
          <w:color w:val="66758D"/>
          <w:sz w:val="22"/>
        </w:rPr>
        <w:t>研发架构 · 交互协议 · 数据持久化 · 构建交付</w:t>
      </w:r>
    </w:p>
    <w:p/>
    <w:tbl>
      <w:tblPr>
        <w:tblStyle w:val="TableGrid"/>
        <w:tblW w:type="auto" w:w="0"/>
        <w:jc w:val="center"/>
        <w:tblLayout w:type="fixed"/>
        <w:tblLook w:firstColumn="1" w:firstRow="1" w:lastColumn="0" w:lastRow="0" w:noHBand="0" w:noVBand="1" w:val="04A0"/>
      </w:tblPr>
      <w:tblGrid>
        <w:gridCol w:w="2939"/>
        <w:gridCol w:w="6699"/>
      </w:tblGrid>
      <w:tr>
        <w:trPr>
          <w:cantSplit/>
          <w:tblHeader w:val="true"/>
        </w:trPr>
        <w:tc>
          <w:tcPr>
            <w:tcW w:type="dxa" w:w="29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69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TY-EPM-SYS-001</w:t>
            </w:r>
          </w:p>
        </w:tc>
      </w:tr>
      <w:tr>
        <w:trPr>
          <w:cantSplit/>
        </w:trPr>
        <w:tc>
          <w:tcPr>
            <w:tcW w:type="dxa" w:w="2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6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V1.0 / 2026年10月20日</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适配软件版本</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20261020-cn-demo1 · 已交付全中文持久化 Demo</w:t>
            </w:r>
          </w:p>
        </w:tc>
      </w:tr>
      <w:tr>
        <w:trPr>
          <w:cantSplit/>
        </w:trPr>
        <w:tc>
          <w:tcPr>
            <w:tcW w:type="dxa" w:w="2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6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研发、测试、实施及技术负责人</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主公司名称由用户提供；演示子法人、人员、交易与金额均为虚构。</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文档控制与阅读约定</w:t>
        </w:r>
      </w:hyperlink>
    </w:p>
    <w:p>
      <w:pPr>
        <w:spacing w:after="80"/>
      </w:pPr>
      <w:hyperlink w:anchor="epm_2">
        <w:r>
          <w:rPr>
            <w:color w:val="245CA8"/>
            <w:rFonts w:ascii="Arial" w:eastAsia="宋体"/>
            <w:sz w:val="21"/>
          </w:rPr>
          <w:t xml:space="preserve">1. 系统定位与研发思路</w:t>
        </w:r>
      </w:hyperlink>
    </w:p>
    <w:p>
      <w:pPr>
        <w:spacing w:after="80"/>
      </w:pPr>
      <w:hyperlink w:anchor="epm_6">
        <w:r>
          <w:rPr>
            <w:color w:val="245CA8"/>
            <w:rFonts w:ascii="Arial" w:eastAsia="宋体"/>
            <w:sz w:val="21"/>
          </w:rPr>
          <w:t xml:space="preserve">2. 总体架构与源码定位</w:t>
        </w:r>
      </w:hyperlink>
    </w:p>
    <w:p>
      <w:pPr>
        <w:spacing w:after="80"/>
      </w:pPr>
      <w:hyperlink w:anchor="epm_10">
        <w:r>
          <w:rPr>
            <w:color w:val="245CA8"/>
            <w:rFonts w:ascii="Arial" w:eastAsia="宋体"/>
            <w:sz w:val="21"/>
          </w:rPr>
          <w:t xml:space="preserve">3. 启动、会话与退出生命周期</w:t>
        </w:r>
      </w:hyperlink>
    </w:p>
    <w:p>
      <w:pPr>
        <w:spacing w:after="80"/>
      </w:pPr>
      <w:hyperlink w:anchor="epm_14">
        <w:r>
          <w:rPr>
            <w:color w:val="245CA8"/>
            <w:rFonts w:ascii="Arial" w:eastAsia="宋体"/>
            <w:sz w:val="21"/>
          </w:rPr>
          <w:t xml:space="preserve">4. 页面、路由与业务交互</w:t>
        </w:r>
      </w:hyperlink>
    </w:p>
    <w:p>
      <w:pPr>
        <w:spacing w:after="80"/>
      </w:pPr>
      <w:hyperlink w:anchor="epm_19">
        <w:r>
          <w:rPr>
            <w:color w:val="245CA8"/>
            <w:rFonts w:ascii="Arial" w:eastAsia="宋体"/>
            <w:sz w:val="21"/>
          </w:rPr>
          <w:t xml:space="preserve">5. HTTP 接口与字段契约</w:t>
        </w:r>
      </w:hyperlink>
    </w:p>
    <w:p>
      <w:pPr>
        <w:spacing w:after="80"/>
      </w:pPr>
      <w:hyperlink w:anchor="epm_24">
        <w:r>
          <w:rPr>
            <w:color w:val="245CA8"/>
            <w:rFonts w:ascii="Arial" w:eastAsia="宋体"/>
            <w:sz w:val="21"/>
          </w:rPr>
          <w:t xml:space="preserve">6. SQLite 数据模型与持久化</w:t>
        </w:r>
      </w:hyperlink>
    </w:p>
    <w:p>
      <w:pPr>
        <w:spacing w:after="80"/>
      </w:pPr>
      <w:hyperlink w:anchor="epm_29">
        <w:r>
          <w:rPr>
            <w:color w:val="245CA8"/>
            <w:rFonts w:ascii="Arial" w:eastAsia="宋体"/>
            <w:sz w:val="21"/>
          </w:rPr>
          <w:t xml:space="preserve">7. 财务计算与三表联动</w:t>
        </w:r>
      </w:hyperlink>
    </w:p>
    <w:p>
      <w:pPr>
        <w:spacing w:after="80"/>
      </w:pPr>
      <w:hyperlink w:anchor="epm_35">
        <w:r>
          <w:rPr>
            <w:color w:val="245CA8"/>
            <w:rFonts w:ascii="Arial" w:eastAsia="宋体"/>
            <w:sz w:val="21"/>
          </w:rPr>
          <w:t xml:space="preserve">8. 导入、凭证、预算及关账规则</w:t>
        </w:r>
      </w:hyperlink>
    </w:p>
    <w:p>
      <w:pPr>
        <w:spacing w:after="80"/>
      </w:pPr>
      <w:hyperlink w:anchor="epm_40">
        <w:r>
          <w:rPr>
            <w:color w:val="245CA8"/>
            <w:rFonts w:ascii="Arial" w:eastAsia="宋体"/>
            <w:sz w:val="21"/>
          </w:rPr>
          <w:t xml:space="preserve">9. 权限、交互安全与日志</w:t>
        </w:r>
      </w:hyperlink>
    </w:p>
    <w:p>
      <w:pPr>
        <w:spacing w:after="80"/>
      </w:pPr>
      <w:hyperlink w:anchor="epm_44">
        <w:r>
          <w:rPr>
            <w:color w:val="245CA8"/>
            <w:rFonts w:ascii="Arial" w:eastAsia="宋体"/>
            <w:sz w:val="21"/>
          </w:rPr>
          <w:t xml:space="preserve">10. 开发、构建与交付复现</w:t>
        </w:r>
      </w:hyperlink>
    </w:p>
    <w:p>
      <w:pPr>
        <w:spacing w:after="80"/>
      </w:pPr>
      <w:hyperlink w:anchor="epm_48">
        <w:r>
          <w:rPr>
            <w:color w:val="245CA8"/>
            <w:rFonts w:ascii="Arial" w:eastAsia="宋体"/>
            <w:sz w:val="21"/>
          </w:rPr>
          <w:t xml:space="preserve">11. 测试证据与已验证范围</w:t>
        </w:r>
      </w:hyperlink>
    </w:p>
    <w:p>
      <w:pPr>
        <w:spacing w:after="80"/>
      </w:pPr>
      <w:hyperlink w:anchor="epm_49">
        <w:r>
          <w:rPr>
            <w:color w:val="245CA8"/>
            <w:rFonts w:ascii="Arial" w:eastAsia="宋体"/>
            <w:sz w:val="21"/>
          </w:rPr>
          <w:t xml:space="preserve">12. 生产扩展建议与交接清单</w:t>
        </w:r>
      </w:hyperlink>
    </w:p>
    <w:p>
      <w:r>
        <w:br w:type="page"/>
      </w:r>
    </w:p>
    <w:p>
      <w:r>
        <w:rPr>
          <w:rFonts w:ascii="Arial" w:hAnsi="Arial" w:eastAsia="宋体"/>
          <w:b w:val="0"/>
          <w:i w:val="0"/>
        </w:rPr>
        <w:t>公司：杭州天元宠物用品有限公司</w:t>
      </w:r>
      <w:r>
        <w:br/>
      </w:r>
      <w:r>
        <w:rPr>
          <w:rFonts w:ascii="Arial" w:hAnsi="Arial" w:eastAsia="宋体"/>
          <w:b w:val="0"/>
          <w:i w:val="0"/>
        </w:rPr>
        <w:t>文档版本：V1.0</w:t>
      </w:r>
      <w:r>
        <w:br/>
      </w:r>
      <w:r>
        <w:rPr>
          <w:rFonts w:ascii="Arial" w:hAnsi="Arial" w:eastAsia="宋体"/>
          <w:b w:val="0"/>
          <w:i w:val="0"/>
        </w:rPr>
        <w:t>编制日期：2026 年 10 月 20 日</w:t>
      </w:r>
      <w:r>
        <w:br/>
      </w:r>
      <w:r>
        <w:rPr>
          <w:rFonts w:ascii="Arial" w:hAnsi="Arial" w:eastAsia="宋体"/>
          <w:b w:val="0"/>
          <w:i w:val="0"/>
        </w:rPr>
        <w:t>适用软件：20261020-cn-demo1 中文本机演示版</w:t>
      </w:r>
      <w:r>
        <w:br/>
      </w:r>
      <w:r>
        <w:rPr>
          <w:rFonts w:ascii="Arial" w:hAnsi="Arial" w:eastAsia="宋体"/>
          <w:b w:val="0"/>
          <w:i w:val="0"/>
        </w:rPr>
        <w:t>读者：技术负责人、产品经理、前后端开发、财务模型开发、测试与交付人员</w:t>
      </w:r>
    </w:p>
    <w:p>
      <w:pPr>
        <w:pStyle w:val="Heading1"/>
      </w:pPr>
      <w:bookmarkStart w:id="1" w:name="epm_1"/>
      <w:r>
        <w:rPr>
          <w:rFonts w:ascii="Arial" w:hAnsi="Arial" w:eastAsia="宋体"/>
          <w:b w:val="0"/>
          <w:i w:val="0"/>
        </w:rPr>
        <w:t>文档控制与阅读约定</w:t>
      </w:r>
      <w:bookmarkEnd w:id="1"/>
    </w:p>
    <w:p>
      <w:r>
        <w:rPr>
          <w:rFonts w:ascii="Arial" w:hAnsi="Arial" w:eastAsia="宋体"/>
          <w:b w:val="0"/>
          <w:i w:val="0"/>
        </w:rPr>
        <w:t>本说明书描述已经交付的程序怎样构成、怎样响应操作、怎样保存数据，以及开发人员怎样继续研发和构建。所述“已实现”以本轮运行源码、冻结构建和独立验收为依据；“生产扩展建议”单独说明，不代表当前 Demo 已具备对应能力。</w:t>
      </w:r>
    </w:p>
    <w:p>
      <w:r>
        <w:rPr>
          <w:rFonts w:ascii="Arial" w:hAnsi="Arial" w:eastAsia="宋体"/>
          <w:b w:val="0"/>
          <w:i w:val="0"/>
        </w:rPr>
        <w:t>本轮应用依据用户确认的完整产品原型重新实现，提供中文界面、业务规则、SQLite 持久化和 Windows 便携入口。此前 Konsolidat／Konsol 的研究及运行材料用于理解 EPM 业务和制定研发目标；本轮运行应用采用独立的前端、领域模型与本机服务，不依赖旧 Frappe／QEMU 平台，也不自动读取旧账套。研发人员应分别维护“原项目研究材料”“当前演示实现”和“拟研发的生产产品”三类基线。</w:t>
      </w:r>
    </w:p>
    <w:p>
      <w:r>
        <w:rPr>
          <w:rFonts w:ascii="Arial" w:hAnsi="Arial" w:eastAsia="宋体"/>
          <w:b w:val="0"/>
          <w:i w:val="0"/>
        </w:rPr>
        <w:t>主公司名称由用户指定；子公司、责任人、交易和财务数字均为虚构样例。文中的金额默认以人民币万元为单位。技术字段、路径、币种代码和接口动作名保留实际源码名称，普通业务界面使用简体中文。</w:t>
      </w:r>
    </w:p>
    <w:tbl>
      <w:tblPr>
        <w:tblStyle w:val="TableGrid"/>
        <w:tblW w:type="auto" w:w="0"/>
        <w:jc w:val="center"/>
        <w:tblLayout w:type="fixed"/>
        <w:tblLook w:firstColumn="1" w:firstRow="1" w:lastColumn="0" w:lastRow="0" w:noHBand="0" w:noVBand="1" w:val="04A0"/>
      </w:tblPr>
      <w:tblGrid>
        <w:gridCol w:w="3016"/>
        <w:gridCol w:w="6622"/>
      </w:tblGrid>
      <w:tr>
        <w:trPr>
          <w:cantSplit/>
          <w:tblHeader w:val="true"/>
        </w:trPr>
        <w:tc>
          <w:tcPr>
            <w:tcW w:type="dxa" w:w="3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基线项目</w:t>
            </w:r>
          </w:p>
        </w:tc>
        <w:tc>
          <w:tcPr>
            <w:tcW w:type="dxa" w:w="66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准确内容</w:t>
            </w:r>
          </w:p>
        </w:tc>
      </w:tr>
      <w:tr>
        <w:trPr>
          <w:cantSplit/>
        </w:trPr>
        <w:tc>
          <w:tcPr>
            <w:tcW w:type="dxa" w:w="3016"/>
            <w:vAlign w:val="top"/>
            <w:tcMar>
              <w:top w:w="65" w:type="dxa"/>
              <w:bottom w:w="65" w:type="dxa"/>
              <w:left w:w="65" w:type="dxa"/>
              <w:right w:w="65" w:type="dxa"/>
            </w:tcMar>
          </w:tcPr>
          <w:p>
            <w:pPr>
              <w:spacing w:before="30" w:after="30" w:line="252" w:lineRule="auto"/>
            </w:pPr>
            <w:r>
              <w:rPr>
                <w:rFonts w:ascii="Arial" w:hAnsi="Arial" w:eastAsia="宋体"/>
                <w:b w:val="0"/>
                <w:i w:val="0"/>
                <w:sz w:val="19"/>
              </w:rPr>
              <w:t>运行包</w:t>
            </w:r>
          </w:p>
        </w:tc>
        <w:tc>
          <w:tcPr>
            <w:tcW w:type="dxa" w:w="6622"/>
            <w:vAlign w:val="top"/>
            <w:tcMar>
              <w:top w:w="65" w:type="dxa"/>
              <w:bottom w:w="65" w:type="dxa"/>
              <w:left w:w="65" w:type="dxa"/>
              <w:right w:w="65" w:type="dxa"/>
            </w:tcMar>
          </w:tcPr>
          <w:p>
            <w:pPr>
              <w:spacing w:before="30" w:after="30" w:line="252" w:lineRule="auto"/>
            </w:pPr>
            <w:r>
              <w:rPr>
                <w:rFonts w:ascii="Arial" w:hAnsi="Arial" w:eastAsia="宋体"/>
                <w:b w:val="0"/>
                <w:i w:val="0"/>
                <w:sz w:val="19"/>
              </w:rPr>
              <w:t>TianyuanEPMDemo-Windows-x64.zip</w:t>
            </w:r>
          </w:p>
        </w:tc>
      </w:tr>
      <w:tr>
        <w:trPr>
          <w:cantSplit/>
        </w:trPr>
        <w:tc>
          <w:tcPr>
            <w:tcW w:type="dxa" w:w="3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运行包字节数</w:t>
            </w:r>
          </w:p>
        </w:tc>
        <w:tc>
          <w:tcPr>
            <w:tcW w:type="dxa" w:w="66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16,473,129</w:t>
            </w:r>
          </w:p>
        </w:tc>
      </w:tr>
      <w:tr>
        <w:trPr>
          <w:cantSplit/>
        </w:trPr>
        <w:tc>
          <w:tcPr>
            <w:tcW w:type="dxa" w:w="3016"/>
            <w:vAlign w:val="top"/>
            <w:tcMar>
              <w:top w:w="65" w:type="dxa"/>
              <w:bottom w:w="65" w:type="dxa"/>
              <w:left w:w="65" w:type="dxa"/>
              <w:right w:w="65" w:type="dxa"/>
            </w:tcMar>
          </w:tcPr>
          <w:p>
            <w:pPr>
              <w:spacing w:before="30" w:after="30" w:line="252" w:lineRule="auto"/>
            </w:pPr>
            <w:r>
              <w:rPr>
                <w:rFonts w:ascii="Arial" w:hAnsi="Arial" w:eastAsia="宋体"/>
                <w:b w:val="0"/>
                <w:i w:val="0"/>
                <w:sz w:val="19"/>
              </w:rPr>
              <w:t>运行包 SHA-256</w:t>
            </w:r>
          </w:p>
        </w:tc>
        <w:tc>
          <w:tcPr>
            <w:tcW w:type="dxa" w:w="6622"/>
            <w:vAlign w:val="top"/>
            <w:tcMar>
              <w:top w:w="65" w:type="dxa"/>
              <w:bottom w:w="65" w:type="dxa"/>
              <w:left w:w="65" w:type="dxa"/>
              <w:right w:w="65" w:type="dxa"/>
            </w:tcMar>
          </w:tcPr>
          <w:p>
            <w:pPr>
              <w:spacing w:before="30" w:after="30" w:line="252" w:lineRule="auto"/>
            </w:pPr>
            <w:r>
              <w:rPr>
                <w:rFonts w:ascii="Arial" w:hAnsi="Arial" w:eastAsia="宋体"/>
                <w:b w:val="0"/>
                <w:i w:val="0"/>
                <w:sz w:val="19"/>
              </w:rPr>
              <w:t>55d6ebe5318055dce47aa03638dff357f2ec46b86e61240b0f3d1541383f5519</w:t>
            </w:r>
          </w:p>
        </w:tc>
      </w:tr>
      <w:tr>
        <w:trPr>
          <w:cantSplit/>
        </w:trPr>
        <w:tc>
          <w:tcPr>
            <w:tcW w:type="dxa" w:w="3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浏览器最终 HTML SHA-256</w:t>
            </w:r>
          </w:p>
        </w:tc>
        <w:tc>
          <w:tcPr>
            <w:tcW w:type="dxa" w:w="66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6130c8117ed84a29a45431a4565f4af60c75ee7181380d77ef98b1074970061f</w:t>
            </w:r>
          </w:p>
        </w:tc>
      </w:tr>
      <w:tr>
        <w:trPr>
          <w:cantSplit/>
        </w:trPr>
        <w:tc>
          <w:tcPr>
            <w:tcW w:type="dxa" w:w="3016"/>
            <w:vAlign w:val="top"/>
            <w:tcMar>
              <w:top w:w="65" w:type="dxa"/>
              <w:bottom w:w="65" w:type="dxa"/>
              <w:left w:w="65" w:type="dxa"/>
              <w:right w:w="65" w:type="dxa"/>
            </w:tcMar>
          </w:tcPr>
          <w:p>
            <w:pPr>
              <w:spacing w:before="30" w:after="30" w:line="252" w:lineRule="auto"/>
            </w:pPr>
            <w:r>
              <w:rPr>
                <w:rFonts w:ascii="Arial" w:hAnsi="Arial" w:eastAsia="宋体"/>
                <w:b w:val="0"/>
                <w:i w:val="0"/>
                <w:sz w:val="19"/>
              </w:rPr>
              <w:t>软件发布提交</w:t>
            </w:r>
          </w:p>
        </w:tc>
        <w:tc>
          <w:tcPr>
            <w:tcW w:type="dxa" w:w="6622"/>
            <w:vAlign w:val="top"/>
            <w:tcMar>
              <w:top w:w="65" w:type="dxa"/>
              <w:bottom w:w="65" w:type="dxa"/>
              <w:left w:w="65" w:type="dxa"/>
              <w:right w:w="65" w:type="dxa"/>
            </w:tcMar>
          </w:tcPr>
          <w:p>
            <w:pPr>
              <w:spacing w:before="30" w:after="30" w:line="252" w:lineRule="auto"/>
            </w:pPr>
            <w:r>
              <w:rPr>
                <w:rFonts w:ascii="Arial" w:hAnsi="Arial" w:eastAsia="宋体"/>
                <w:b w:val="0"/>
                <w:i w:val="0"/>
                <w:sz w:val="19"/>
              </w:rPr>
              <w:t>a68390de1e21e857f9db12a903f2718d37d79edc</w:t>
            </w:r>
          </w:p>
        </w:tc>
      </w:tr>
      <w:tr>
        <w:trPr>
          <w:cantSplit/>
        </w:trPr>
        <w:tc>
          <w:tcPr>
            <w:tcW w:type="dxa" w:w="3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 目标</w:t>
            </w:r>
          </w:p>
        </w:tc>
        <w:tc>
          <w:tcPr>
            <w:tcW w:type="dxa" w:w="66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 10／11，x64</w:t>
            </w:r>
          </w:p>
        </w:tc>
      </w:tr>
      <w:tr>
        <w:trPr>
          <w:cantSplit/>
        </w:trPr>
        <w:tc>
          <w:tcPr>
            <w:tcW w:type="dxa" w:w="3016"/>
            <w:vAlign w:val="top"/>
            <w:tcMar>
              <w:top w:w="65" w:type="dxa"/>
              <w:bottom w:w="65" w:type="dxa"/>
              <w:left w:w="65" w:type="dxa"/>
              <w:right w:w="65" w:type="dxa"/>
            </w:tcMar>
          </w:tcPr>
          <w:p>
            <w:pPr>
              <w:spacing w:before="30" w:after="30" w:line="252" w:lineRule="auto"/>
            </w:pPr>
            <w:r>
              <w:rPr>
                <w:rFonts w:ascii="Arial" w:hAnsi="Arial" w:eastAsia="宋体"/>
                <w:b w:val="0"/>
                <w:i w:val="0"/>
                <w:sz w:val="19"/>
              </w:rPr>
              <w:t>包内运行时</w:t>
            </w:r>
          </w:p>
        </w:tc>
        <w:tc>
          <w:tcPr>
            <w:tcW w:type="dxa" w:w="6622"/>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 Python 3.12.10，SQLite 3.49.1</w:t>
            </w:r>
          </w:p>
        </w:tc>
      </w:tr>
      <w:tr>
        <w:trPr>
          <w:cantSplit/>
        </w:trPr>
        <w:tc>
          <w:tcPr>
            <w:tcW w:type="dxa" w:w="3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开发端运行依赖</w:t>
            </w:r>
          </w:p>
        </w:tc>
        <w:tc>
          <w:tcPr>
            <w:tcW w:type="dxa" w:w="66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后端和前端构建使用 Python 标准库；浏览器执行原生 JavaScript</w:t>
            </w:r>
          </w:p>
        </w:tc>
      </w:tr>
    </w:tbl>
    <w:p>
      <w:pPr>
        <w:spacing w:after="40"/>
      </w:pPr>
    </w:p>
    <w:p>
      <w:pPr>
        <w:pStyle w:val="Heading1"/>
      </w:pPr>
      <w:bookmarkStart w:id="2" w:name="epm_2"/>
      <w:r>
        <w:rPr>
          <w:rFonts w:ascii="Arial" w:hAnsi="Arial" w:eastAsia="宋体"/>
          <w:b w:val="0"/>
          <w:i w:val="0"/>
        </w:rPr>
        <w:t>1. 系统定位与研发思路</w:t>
      </w:r>
      <w:bookmarkEnd w:id="2"/>
    </w:p>
    <w:p>
      <w:pPr>
        <w:pStyle w:val="Heading2"/>
      </w:pPr>
      <w:bookmarkStart w:id="3" w:name="epm_3"/>
      <w:r>
        <w:rPr>
          <w:rFonts w:ascii="Arial" w:hAnsi="Arial" w:eastAsia="宋体"/>
          <w:b w:val="0"/>
          <w:i w:val="0"/>
        </w:rPr>
        <w:t>1.1 要解决的问题</w:t>
      </w:r>
      <w:bookmarkEnd w:id="3"/>
    </w:p>
    <w:p>
      <w:r>
        <w:rPr>
          <w:rFonts w:ascii="Arial" w:hAnsi="Arial" w:eastAsia="宋体"/>
          <w:b w:val="0"/>
          <w:i w:val="0"/>
        </w:rPr>
        <w:t>系统围绕集团财务管理的三个连续问题组织功能：各法人怎样报送一致口径的数据，集团怎样形成调整后的合并报表，以及管理层怎样比较预算与实际。界面将主数据、报送、合并关账、预算和经营分析放在同一导航体系内，使用户可以从经营指标继续追到法人报送、合并凭证和操作记录。</w:t>
      </w:r>
    </w:p>
    <w:p>
      <w:r>
        <w:rPr>
          <w:rFonts w:ascii="Arial" w:hAnsi="Arial" w:eastAsia="宋体"/>
          <w:b w:val="0"/>
          <w:i w:val="0"/>
        </w:rPr>
        <w:t>本轮首先实现可重复演示的闭环：录入或导入数据，服务器校验并保存，重新计算页面投影，再执行审批或签核。它解决了纯 HTML 原型刷新即重置、按钮只展示说明以及界面与交付软件不一致的问题。Demo 的合并及预算模型仍有明确简化，不能直接用于公司的正式财务报账和监管申报。</w:t>
      </w:r>
    </w:p>
    <w:p>
      <w:pPr>
        <w:pStyle w:val="Heading2"/>
      </w:pPr>
      <w:bookmarkStart w:id="4" w:name="epm_4"/>
      <w:r>
        <w:rPr>
          <w:rFonts w:ascii="Arial" w:hAnsi="Arial" w:eastAsia="宋体"/>
          <w:b w:val="0"/>
          <w:i w:val="0"/>
        </w:rPr>
        <w:t>1.2 本轮采用的分层方法</w:t>
      </w:r>
      <w:bookmarkEnd w:id="4"/>
    </w:p>
    <w:tbl>
      <w:tblPr>
        <w:tblStyle w:val="TableGrid"/>
        <w:tblW w:type="auto" w:w="0"/>
        <w:jc w:val="center"/>
        <w:tblLayout w:type="fixed"/>
        <w:tblLook w:firstColumn="1" w:firstRow="1" w:lastColumn="0" w:lastRow="0" w:noHBand="0" w:noVBand="1" w:val="04A0"/>
      </w:tblPr>
      <w:tblGrid>
        <w:gridCol w:w="2109"/>
        <w:gridCol w:w="3848"/>
        <w:gridCol w:w="3681"/>
      </w:tblGrid>
      <w:tr>
        <w:trPr>
          <w:cantSplit/>
          <w:tblHeader w:val="true"/>
        </w:trPr>
        <w:tc>
          <w:tcPr>
            <w:tcW w:type="dxa" w:w="21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层次</w:t>
            </w:r>
          </w:p>
        </w:tc>
        <w:tc>
          <w:tcPr>
            <w:tcW w:type="dxa" w:w="38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承担职责</w:t>
            </w:r>
          </w:p>
        </w:tc>
        <w:tc>
          <w:tcPr>
            <w:tcW w:type="dxa" w:w="36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设计理由</w:t>
            </w:r>
          </w:p>
        </w:tc>
      </w:tr>
      <w:tr>
        <w:trPr>
          <w:cantSplit/>
        </w:trPr>
        <w:tc>
          <w:tcPr>
            <w:tcW w:type="dxa" w:w="2109"/>
            <w:vAlign w:val="top"/>
            <w:tcMar>
              <w:top w:w="65" w:type="dxa"/>
              <w:bottom w:w="65" w:type="dxa"/>
              <w:left w:w="65" w:type="dxa"/>
              <w:right w:w="65" w:type="dxa"/>
            </w:tcMar>
          </w:tcPr>
          <w:p>
            <w:pPr>
              <w:spacing w:before="30" w:after="30" w:line="252" w:lineRule="auto"/>
            </w:pPr>
            <w:r>
              <w:rPr>
                <w:rFonts w:ascii="Arial" w:hAnsi="Arial" w:eastAsia="宋体"/>
                <w:b w:val="0"/>
                <w:i w:val="0"/>
                <w:sz w:val="19"/>
              </w:rPr>
              <w:t>产品交互层</w:t>
            </w:r>
          </w:p>
        </w:tc>
        <w:tc>
          <w:tcPr>
            <w:tcW w:type="dxa" w:w="3848"/>
            <w:vAlign w:val="top"/>
            <w:tcMar>
              <w:top w:w="65" w:type="dxa"/>
              <w:bottom w:w="65" w:type="dxa"/>
              <w:left w:w="65" w:type="dxa"/>
              <w:right w:w="65" w:type="dxa"/>
            </w:tcMar>
          </w:tcPr>
          <w:p>
            <w:pPr>
              <w:spacing w:before="30" w:after="30" w:line="252" w:lineRule="auto"/>
            </w:pPr>
            <w:r>
              <w:rPr>
                <w:rFonts w:ascii="Arial" w:hAnsi="Arial" w:eastAsia="宋体"/>
                <w:b w:val="0"/>
                <w:i w:val="0"/>
                <w:sz w:val="19"/>
              </w:rPr>
              <w:t>统一导航、上下文筛选、表单、图表、钻取、中文反馈</w:t>
            </w:r>
          </w:p>
        </w:tc>
        <w:tc>
          <w:tcPr>
            <w:tcW w:type="dxa" w:w="3681"/>
            <w:vAlign w:val="top"/>
            <w:tcMar>
              <w:top w:w="65" w:type="dxa"/>
              <w:bottom w:w="65" w:type="dxa"/>
              <w:left w:w="65" w:type="dxa"/>
              <w:right w:w="65" w:type="dxa"/>
            </w:tcMar>
          </w:tcPr>
          <w:p>
            <w:pPr>
              <w:spacing w:before="30" w:after="30" w:line="252" w:lineRule="auto"/>
            </w:pPr>
            <w:r>
              <w:rPr>
                <w:rFonts w:ascii="Arial" w:hAnsi="Arial" w:eastAsia="宋体"/>
                <w:b w:val="0"/>
                <w:i w:val="0"/>
                <w:sz w:val="19"/>
              </w:rPr>
              <w:t>沿用完整原型的信息结构，减少从原型到程序的认知差异</w:t>
            </w:r>
          </w:p>
        </w:tc>
      </w:tr>
      <w:tr>
        <w:trPr>
          <w:cantSplit/>
        </w:trPr>
        <w:tc>
          <w:tcPr>
            <w:tcW w:type="dxa" w:w="2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HTTP 与会话层</w:t>
            </w:r>
          </w:p>
        </w:tc>
        <w:tc>
          <w:tcPr>
            <w:tcW w:type="dxa" w:w="38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接收请求、校验来源和会话、控制静态目录、返回 JSON</w:t>
            </w:r>
          </w:p>
        </w:tc>
        <w:tc>
          <w:tcPr>
            <w:tcW w:type="dxa" w:w="36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将页面表现与可信业务规则分开</w:t>
            </w:r>
          </w:p>
        </w:tc>
      </w:tr>
      <w:tr>
        <w:trPr>
          <w:cantSplit/>
        </w:trPr>
        <w:tc>
          <w:tcPr>
            <w:tcW w:type="dxa" w:w="2109"/>
            <w:vAlign w:val="top"/>
            <w:tcMar>
              <w:top w:w="65" w:type="dxa"/>
              <w:bottom w:w="65" w:type="dxa"/>
              <w:left w:w="65" w:type="dxa"/>
              <w:right w:w="65" w:type="dxa"/>
            </w:tcMar>
          </w:tcPr>
          <w:p>
            <w:pPr>
              <w:spacing w:before="30" w:after="30" w:line="252" w:lineRule="auto"/>
            </w:pPr>
            <w:r>
              <w:rPr>
                <w:rFonts w:ascii="Arial" w:hAnsi="Arial" w:eastAsia="宋体"/>
                <w:b w:val="0"/>
                <w:i w:val="0"/>
                <w:sz w:val="19"/>
              </w:rPr>
              <w:t>业务动作层</w:t>
            </w:r>
          </w:p>
        </w:tc>
        <w:tc>
          <w:tcPr>
            <w:tcW w:type="dxa" w:w="3848"/>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预算状态、导入、凭证、签核、角色和输入约束</w:t>
            </w:r>
          </w:p>
        </w:tc>
        <w:tc>
          <w:tcPr>
            <w:tcW w:type="dxa" w:w="3681"/>
            <w:vAlign w:val="top"/>
            <w:tcMar>
              <w:top w:w="65" w:type="dxa"/>
              <w:bottom w:w="65" w:type="dxa"/>
              <w:left w:w="65" w:type="dxa"/>
              <w:right w:w="65" w:type="dxa"/>
            </w:tcMar>
          </w:tcPr>
          <w:p>
            <w:pPr>
              <w:spacing w:before="30" w:after="30" w:line="252" w:lineRule="auto"/>
            </w:pPr>
            <w:r>
              <w:rPr>
                <w:rFonts w:ascii="Arial" w:hAnsi="Arial" w:eastAsia="宋体"/>
                <w:b w:val="0"/>
                <w:i w:val="0"/>
                <w:sz w:val="19"/>
              </w:rPr>
              <w:t>客户端只能申请动作，不能直接替换服务器业务状态</w:t>
            </w:r>
          </w:p>
        </w:tc>
      </w:tr>
      <w:tr>
        <w:trPr>
          <w:cantSplit/>
        </w:trPr>
        <w:tc>
          <w:tcPr>
            <w:tcW w:type="dxa" w:w="2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财务计算层</w:t>
            </w:r>
          </w:p>
        </w:tc>
        <w:tc>
          <w:tcPr>
            <w:tcW w:type="dxa" w:w="38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源余额、已审批分录、三表、币种展示及勾稽</w:t>
            </w:r>
          </w:p>
        </w:tc>
        <w:tc>
          <w:tcPr>
            <w:tcW w:type="dxa" w:w="36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把金额计算放在可独立测试的纯计算模块</w:t>
            </w:r>
          </w:p>
        </w:tc>
      </w:tr>
      <w:tr>
        <w:trPr>
          <w:cantSplit/>
        </w:trPr>
        <w:tc>
          <w:tcPr>
            <w:tcW w:type="dxa" w:w="2109"/>
            <w:vAlign w:val="top"/>
            <w:tcMar>
              <w:top w:w="65" w:type="dxa"/>
              <w:bottom w:w="65" w:type="dxa"/>
              <w:left w:w="65" w:type="dxa"/>
              <w:right w:w="65" w:type="dxa"/>
            </w:tcMar>
          </w:tcPr>
          <w:p>
            <w:pPr>
              <w:spacing w:before="30" w:after="30" w:line="252" w:lineRule="auto"/>
            </w:pPr>
            <w:r>
              <w:rPr>
                <w:rFonts w:ascii="Arial" w:hAnsi="Arial" w:eastAsia="宋体"/>
                <w:b w:val="0"/>
                <w:i w:val="0"/>
                <w:sz w:val="19"/>
              </w:rPr>
              <w:t>存储层</w:t>
            </w:r>
          </w:p>
        </w:tc>
        <w:tc>
          <w:tcPr>
            <w:tcW w:type="dxa" w:w="3848"/>
            <w:vAlign w:val="top"/>
            <w:tcMar>
              <w:top w:w="65" w:type="dxa"/>
              <w:bottom w:w="65" w:type="dxa"/>
              <w:left w:w="65" w:type="dxa"/>
              <w:right w:w="65" w:type="dxa"/>
            </w:tcMar>
          </w:tcPr>
          <w:p>
            <w:pPr>
              <w:spacing w:before="30" w:after="30" w:line="252" w:lineRule="auto"/>
            </w:pPr>
            <w:r>
              <w:rPr>
                <w:rFonts w:ascii="Arial" w:hAnsi="Arial" w:eastAsia="宋体"/>
                <w:b w:val="0"/>
                <w:i w:val="0"/>
                <w:sz w:val="19"/>
              </w:rPr>
              <w:t>单库事务、版本号、JSON 业务快照、审计</w:t>
            </w:r>
          </w:p>
        </w:tc>
        <w:tc>
          <w:tcPr>
            <w:tcW w:type="dxa" w:w="3681"/>
            <w:vAlign w:val="top"/>
            <w:tcMar>
              <w:top w:w="65" w:type="dxa"/>
              <w:bottom w:w="65" w:type="dxa"/>
              <w:left w:w="65" w:type="dxa"/>
              <w:right w:w="65" w:type="dxa"/>
            </w:tcMar>
          </w:tcPr>
          <w:p>
            <w:pPr>
              <w:spacing w:before="30" w:after="30" w:line="252" w:lineRule="auto"/>
            </w:pPr>
            <w:r>
              <w:rPr>
                <w:rFonts w:ascii="Arial" w:hAnsi="Arial" w:eastAsia="宋体"/>
                <w:b w:val="0"/>
                <w:i w:val="0"/>
                <w:sz w:val="19"/>
              </w:rPr>
              <w:t>在单机 Demo 中减少部署依赖，同时保留持久性和回滚</w:t>
            </w:r>
          </w:p>
        </w:tc>
      </w:tr>
      <w:tr>
        <w:trPr>
          <w:cantSplit/>
        </w:trPr>
        <w:tc>
          <w:tcPr>
            <w:tcW w:type="dxa" w:w="2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 交付层</w:t>
            </w:r>
          </w:p>
        </w:tc>
        <w:tc>
          <w:tcPr>
            <w:tcW w:type="dxa" w:w="38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Unicode 原生入口、包内解释器、进程复用、打开浏览器</w:t>
            </w:r>
          </w:p>
        </w:tc>
        <w:tc>
          <w:tcPr>
            <w:tcW w:type="dxa" w:w="36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实现完整解压后双击运行，不要求用户安装开发环境</w:t>
            </w:r>
          </w:p>
        </w:tc>
      </w:tr>
    </w:tbl>
    <w:p>
      <w:pPr>
        <w:spacing w:after="40"/>
      </w:pPr>
    </w:p>
    <w:p>
      <w:pPr>
        <w:pStyle w:val="Heading2"/>
      </w:pPr>
      <w:bookmarkStart w:id="5" w:name="epm_5"/>
      <w:r>
        <w:rPr>
          <w:rFonts w:ascii="Arial" w:hAnsi="Arial" w:eastAsia="宋体"/>
          <w:b w:val="0"/>
          <w:i w:val="0"/>
        </w:rPr>
        <w:t>1.3 研发顺序</w:t>
      </w:r>
      <w:bookmarkEnd w:id="5"/>
    </w:p>
    <w:p>
      <w:r>
        <w:rPr>
          <w:rFonts w:ascii="Arial" w:hAnsi="Arial" w:eastAsia="宋体"/>
          <w:b w:val="0"/>
          <w:i w:val="0"/>
        </w:rPr>
        <w:t>实际研发以“原型页面—业务动作—后端契约—持久化—集成验收”为主线。先明确每个页面读取的字段与按钮提交的动作，再统一 API 字段，随后实现可在事务中执行的领域命令。界面只在服务器确认成功后更新为新状态，财务变动由后端计算，最后通过真实 HTTP、浏览器和 Windows 启动链路验证。</w:t>
      </w:r>
    </w:p>
    <w:p>
      <w:r>
        <w:rPr>
          <w:rFonts w:ascii="Arial" w:hAnsi="Arial" w:eastAsia="宋体"/>
          <w:b w:val="0"/>
          <w:i w:val="0"/>
        </w:rPr>
        <w:t>继续研发时也应保持这一顺序。增加一个业务按钮，需要同时说明：输入字段是什么，当前角色能否执行，前置状态是什么，保存到哪里，会影响哪些报表和校验，失败时用户看到什么，以及怎样验证重启后仍然正确。只新增弹窗或只新增数据库字段，都不足以构成完整功能。</w:t>
      </w:r>
    </w:p>
    <w:p>
      <w:pPr>
        <w:pStyle w:val="Heading1"/>
      </w:pPr>
      <w:bookmarkStart w:id="6" w:name="epm_6"/>
      <w:r>
        <w:rPr>
          <w:rFonts w:ascii="Arial" w:hAnsi="Arial" w:eastAsia="宋体"/>
          <w:b w:val="0"/>
          <w:i w:val="0"/>
        </w:rPr>
        <w:t>2. 总体架构与源码定位</w:t>
      </w:r>
      <w:bookmarkEnd w:id="6"/>
    </w:p>
    <w:p>
      <w:pPr>
        <w:keepNext/>
        <w:jc w:val="center"/>
      </w:pPr>
      <w:r>
        <w:drawing>
          <wp:inline xmlns:a="http://schemas.openxmlformats.org/drawingml/2006/main" xmlns:pic="http://schemas.openxmlformats.org/drawingml/2006/picture">
            <wp:extent cx="6048000" cy="5324094"/>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6048000" cy="5324094"/>
                    </a:xfrm>
                    <a:prstGeom prst="rect"/>
                  </pic:spPr>
                </pic:pic>
              </a:graphicData>
            </a:graphic>
          </wp:inline>
        </w:drawing>
      </w:r>
    </w:p>
    <w:p>
      <w:pPr>
        <w:jc w:val="center"/>
      </w:pPr>
      <w:r>
        <w:rPr>
          <w:rFonts w:ascii="Arial" w:hAnsi="Arial" w:eastAsia="宋体"/>
          <w:color w:val="66758D"/>
          <w:sz w:val="18"/>
        </w:rPr>
        <w:t>图 1  系统架构</w:t>
      </w:r>
    </w:p>
    <w:p>
      <w:pPr>
        <w:pStyle w:val="Heading2"/>
      </w:pPr>
      <w:bookmarkStart w:id="7" w:name="epm_7"/>
      <w:r>
        <w:rPr>
          <w:rFonts w:ascii="Arial" w:hAnsi="Arial" w:eastAsia="宋体"/>
          <w:b w:val="0"/>
          <w:i w:val="0"/>
        </w:rPr>
        <w:t>2.1 运行时结构</w:t>
      </w:r>
      <w:bookmarkEnd w:id="7"/>
    </w:p>
    <w:p>
      <w:r>
        <w:rPr>
          <w:rFonts w:ascii="Arial" w:hAnsi="Arial" w:eastAsia="宋体"/>
          <w:b w:val="0"/>
          <w:i w:val="0"/>
        </w:rPr>
        <w:t>用户双击原生 EXE 后，由包内 Python 启动管理器拉起本机 HTTP 服务。HTTP 服务提供前端 HTML，并读写用户目录中的 SQLite 数据库。浏览器、业务服务与数据库均运行在用户电脑上；网络绑定为 127.0.0.1，端口默认由操作系统分配。首次启动初始化虚构演示账套，以后启动读取已经保存的业务快照。</w:t>
      </w:r>
    </w:p>
    <w:p>
      <w:r>
        <w:rPr>
          <w:rFonts w:ascii="Arial" w:hAnsi="Arial" w:eastAsia="宋体"/>
          <w:b w:val="0"/>
          <w:i w:val="0"/>
        </w:rPr>
        <w:t>浏览器不直接访问 SQLite，也不直接运行原生 EXE 的命令。浏览器通过受会话保护的 HTTP 接口读取和提交动作；“打开数据目录”只请求服务打开它已知的固定数据路径，“安全退出”请求服务停止。旧平台的固定端口 18480 不用于识别此 Demo。</w:t>
      </w:r>
    </w:p>
    <w:p>
      <w:pPr>
        <w:pStyle w:val="Heading2"/>
      </w:pPr>
      <w:bookmarkStart w:id="8" w:name="epm_8"/>
      <w:r>
        <w:rPr>
          <w:rFonts w:ascii="Arial" w:hAnsi="Arial" w:eastAsia="宋体"/>
          <w:b w:val="0"/>
          <w:i w:val="0"/>
        </w:rPr>
        <w:t>2.2 源码索引</w:t>
      </w:r>
      <w:bookmarkEnd w:id="8"/>
    </w:p>
    <w:tbl>
      <w:tblPr>
        <w:tblStyle w:val="TableGrid"/>
        <w:tblW w:type="auto" w:w="0"/>
        <w:jc w:val="center"/>
        <w:tblLayout w:type="fixed"/>
        <w:tblLook w:firstColumn="1" w:firstRow="1" w:lastColumn="0" w:lastRow="0" w:noHBand="0" w:noVBand="1" w:val="04A0"/>
      </w:tblPr>
      <w:tblGrid>
        <w:gridCol w:w="3207"/>
        <w:gridCol w:w="3748"/>
        <w:gridCol w:w="2683"/>
      </w:tblGrid>
      <w:tr>
        <w:trPr>
          <w:cantSplit/>
          <w:tblHeader w:val="true"/>
        </w:trPr>
        <w:tc>
          <w:tcPr>
            <w:tcW w:type="dxa" w:w="32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源码位置</w:t>
            </w:r>
          </w:p>
        </w:tc>
        <w:tc>
          <w:tcPr>
            <w:tcW w:type="dxa" w:w="37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主要内容</w:t>
            </w:r>
          </w:p>
        </w:tc>
        <w:tc>
          <w:tcPr>
            <w:tcW w:type="dxa" w:w="26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修改时应联动检查</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frontend/src/shell.html</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页面外壳、全局导航容器与顶部控件</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元素标识与 app.js 事件绑定</w:t>
            </w:r>
          </w:p>
        </w:tc>
      </w:tr>
      <w:tr>
        <w:trPr>
          <w:cantSplit/>
        </w:trPr>
        <w:tc>
          <w:tcPr>
            <w:tcW w:type="dxa" w:w="32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frontend/src/style.css</w:t>
            </w:r>
          </w:p>
        </w:tc>
        <w:tc>
          <w:tcPr>
            <w:tcW w:type="dxa" w:w="37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布局、卡片、表格、弹窗、图表及响应式样式</w:t>
            </w:r>
          </w:p>
        </w:tc>
        <w:tc>
          <w:tcPr>
            <w:tcW w:type="dxa" w:w="2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1920、1366 等桌面宽度和窄屏溢出</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frontend/src/app.js</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20 个页面、路由、API 调用、表单、钻取及 CSV 导出</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动作字段、后端返回值、中文提示和用户值转义</w:t>
            </w:r>
          </w:p>
        </w:tc>
      </w:tr>
      <w:tr>
        <w:trPr>
          <w:cantSplit/>
        </w:trPr>
        <w:tc>
          <w:tcPr>
            <w:tcW w:type="dxa" w:w="32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frontend-build.py</w:t>
            </w:r>
          </w:p>
        </w:tc>
        <w:tc>
          <w:tcPr>
            <w:tcW w:type="dxa" w:w="37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把外壳、CSS、配置及脚本内嵌为最终 HTML</w:t>
            </w:r>
          </w:p>
        </w:tc>
        <w:tc>
          <w:tcPr>
            <w:tcW w:type="dxa" w:w="2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构建后 index.html 的实际字节</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backend/server.py</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 HTTP、会话、CSRF、静态文件及运行控制</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来源校验、接口状态码、日志中不输出凭据</w:t>
            </w:r>
          </w:p>
        </w:tc>
      </w:tr>
      <w:tr>
        <w:trPr>
          <w:cantSplit/>
        </w:trPr>
        <w:tc>
          <w:tcPr>
            <w:tcW w:type="dxa" w:w="32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backend/engine.py</w:t>
            </w:r>
          </w:p>
        </w:tc>
        <w:tc>
          <w:tcPr>
            <w:tcW w:type="dxa" w:w="37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种子账套、领域动作、状态机、CSV 导入、页面投影</w:t>
            </w:r>
          </w:p>
        </w:tc>
        <w:tc>
          <w:tcPr>
            <w:tcW w:type="dxa" w:w="2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金额和权限、事务回滚、期间隔离</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backend/finance.py</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Decimal 校验、法人源数据、凭证影响、三表及勾稽</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财务基准、现金流桥接、币种和期间口径</w:t>
            </w:r>
          </w:p>
        </w:tc>
      </w:tr>
      <w:tr>
        <w:trPr>
          <w:cantSplit/>
        </w:trPr>
        <w:tc>
          <w:tcPr>
            <w:tcW w:type="dxa" w:w="32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backend/store.py</w:t>
            </w:r>
          </w:p>
        </w:tc>
        <w:tc>
          <w:tcPr>
            <w:tcW w:type="dxa" w:w="37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SQLite 结构、读取、BEGIN IMMEDIATE、版本冲突和审计</w:t>
            </w:r>
          </w:p>
        </w:tc>
        <w:tc>
          <w:tcPr>
            <w:tcW w:type="dxa" w:w="2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并发版本、业务与审计同事务提交</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backend/API-CONTRACT.md</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当前接口及动作的字段契约</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修改接口时同步更新本说明及验收</w:t>
            </w:r>
          </w:p>
        </w:tc>
      </w:tr>
      <w:tr>
        <w:trPr>
          <w:cantSplit/>
        </w:trPr>
        <w:tc>
          <w:tcPr>
            <w:tcW w:type="dxa" w:w="32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backend/examples</w:t>
            </w:r>
          </w:p>
        </w:tc>
        <w:tc>
          <w:tcPr>
            <w:tcW w:type="dxa" w:w="37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空白 CSV 模板及平衡示例</w:t>
            </w:r>
          </w:p>
        </w:tc>
        <w:tc>
          <w:tcPr>
            <w:tcW w:type="dxa" w:w="2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表头、法人科目编码、期间和余额口径</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windows/launcher.c</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Unicode 原生入口、参数编码、启动包内解释器</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中文路径、空格、命令参数及错误反馈</w:t>
            </w:r>
          </w:p>
        </w:tc>
      </w:tr>
      <w:tr>
        <w:trPr>
          <w:cantSplit/>
        </w:trPr>
        <w:tc>
          <w:tcPr>
            <w:tcW w:type="dxa" w:w="32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windows/app/demo_launcher.py</w:t>
            </w:r>
          </w:p>
        </w:tc>
        <w:tc>
          <w:tcPr>
            <w:tcW w:type="dxa" w:w="37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数据路径、互斥、进程身份、启动、复用和退出</w:t>
            </w:r>
          </w:p>
        </w:tc>
        <w:tc>
          <w:tcPr>
            <w:tcW w:type="dxa" w:w="2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PID 复用、启动竞态、私有实例文件</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build_windows.py</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编译 EXE，装配运行树、源码、许可和文档</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输入输出路径分离及构建工具参数</w:t>
            </w:r>
          </w:p>
        </w:tc>
      </w:tr>
      <w:tr>
        <w:trPr>
          <w:cantSplit/>
        </w:trPr>
        <w:tc>
          <w:tcPr>
            <w:tcW w:type="dxa" w:w="32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package_windows.py</w:t>
            </w:r>
          </w:p>
        </w:tc>
        <w:tc>
          <w:tcPr>
            <w:tcW w:type="dxa" w:w="37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ZIP、逐文件 SHA-256 和私有数据拒收</w:t>
            </w:r>
          </w:p>
        </w:tc>
        <w:tc>
          <w:tcPr>
            <w:tcW w:type="dxa" w:w="2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ZIP 完整性、实际交付字节和清单</w:t>
            </w:r>
          </w:p>
        </w:tc>
      </w:tr>
      <w:tr>
        <w:trPr>
          <w:cantSplit/>
        </w:trPr>
        <w:tc>
          <w:tcPr>
            <w:tcW w:type="dxa" w:w="3207"/>
            <w:vAlign w:val="top"/>
            <w:tcMar>
              <w:top w:w="65" w:type="dxa"/>
              <w:bottom w:w="65" w:type="dxa"/>
              <w:left w:w="65" w:type="dxa"/>
              <w:right w:w="65" w:type="dxa"/>
            </w:tcMar>
          </w:tcPr>
          <w:p>
            <w:pPr>
              <w:spacing w:before="30" w:after="30" w:line="252" w:lineRule="auto"/>
            </w:pPr>
            <w:r>
              <w:rPr>
                <w:rFonts w:ascii="Arial" w:hAnsi="Arial" w:eastAsia="宋体"/>
                <w:b w:val="0"/>
                <w:i w:val="0"/>
                <w:sz w:val="19"/>
              </w:rPr>
              <w:t>acceptance</w:t>
            </w:r>
          </w:p>
        </w:tc>
        <w:tc>
          <w:tcPr>
            <w:tcW w:type="dxa" w:w="3748"/>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 HTTP／浏览器测试与冻结证据</w:t>
            </w:r>
          </w:p>
        </w:tc>
        <w:tc>
          <w:tcPr>
            <w:tcW w:type="dxa" w:w="2683"/>
            <w:vAlign w:val="top"/>
            <w:tcMar>
              <w:top w:w="65" w:type="dxa"/>
              <w:bottom w:w="65" w:type="dxa"/>
              <w:left w:w="65" w:type="dxa"/>
              <w:right w:w="65" w:type="dxa"/>
            </w:tcMar>
          </w:tcPr>
          <w:p>
            <w:pPr>
              <w:spacing w:before="30" w:after="30" w:line="252" w:lineRule="auto"/>
            </w:pPr>
            <w:r>
              <w:rPr>
                <w:rFonts w:ascii="Arial" w:hAnsi="Arial" w:eastAsia="宋体"/>
                <w:b w:val="0"/>
                <w:i w:val="0"/>
                <w:sz w:val="19"/>
              </w:rPr>
              <w:t>不以原型静态加载替代实际服务验收</w:t>
            </w:r>
          </w:p>
        </w:tc>
      </w:tr>
    </w:tbl>
    <w:p>
      <w:pPr>
        <w:spacing w:after="40"/>
      </w:pPr>
    </w:p>
    <w:p>
      <w:pPr>
        <w:pStyle w:val="Heading2"/>
      </w:pPr>
      <w:bookmarkStart w:id="9" w:name="epm_9"/>
      <w:r>
        <w:rPr>
          <w:rFonts w:ascii="Arial" w:hAnsi="Arial" w:eastAsia="宋体"/>
          <w:b w:val="0"/>
          <w:i w:val="0"/>
        </w:rPr>
        <w:t>2.3 运行目录与源码目录</w:t>
      </w:r>
      <w:bookmarkEnd w:id="9"/>
    </w:p>
    <w:p>
      <w:r>
        <w:rPr>
          <w:rFonts w:ascii="Arial" w:hAnsi="Arial" w:eastAsia="宋体"/>
          <w:b w:val="0"/>
          <w:i w:val="0"/>
        </w:rPr>
        <w:t>运行包中 app、backend、frontend 为实际执行内容，其中 frontend/index.html 是构建结果；source 目录另附可重建的源码树。源码工程中浏览器构建结果位于 frontend/dist/index.html。服务启动器显式传入实际静态根，因此开发路径与运行路径可以不同。</w:t>
      </w:r>
    </w:p>
    <w:p>
      <w:r>
        <w:rPr>
          <w:rFonts w:ascii="Arial" w:hAnsi="Arial" w:eastAsia="宋体"/>
          <w:b w:val="0"/>
          <w:i w:val="0"/>
        </w:rPr>
        <w:t xml:space="preserve">程序目录与数据目录必须分开。默认业务数据路径为 </w:t>
      </w:r>
      <w:r>
        <w:rPr>
          <w:rFonts w:ascii="Consolas" w:hAnsi="Consolas" w:eastAsia="宋体"/>
          <w:b w:val="0"/>
          <w:i w:val="0"/>
          <w:sz w:val="18"/>
        </w:rPr>
        <w:t>%LOCALAPPDATA%\TianyuanEPMDemo</w:t>
      </w:r>
      <w:r>
        <w:rPr>
          <w:rFonts w:ascii="Arial" w:hAnsi="Arial" w:eastAsia="宋体"/>
          <w:b w:val="0"/>
          <w:i w:val="0"/>
        </w:rPr>
        <w:t>，其中有 epm-demo.sqlite3、运行锁、当前实例文件和 logs。重新解压程序不等于初始化或删除数据库。不要把用户数据库放进 source 或运行 ZIP 中。</w:t>
      </w:r>
    </w:p>
    <w:p>
      <w:pPr>
        <w:pStyle w:val="Heading1"/>
      </w:pPr>
      <w:bookmarkStart w:id="10" w:name="epm_10"/>
      <w:r>
        <w:rPr>
          <w:rFonts w:ascii="Arial" w:hAnsi="Arial" w:eastAsia="宋体"/>
          <w:b w:val="0"/>
          <w:i w:val="0"/>
        </w:rPr>
        <w:t>3. 启动、会话与退出生命周期</w:t>
      </w:r>
      <w:bookmarkEnd w:id="10"/>
    </w:p>
    <w:p>
      <w:pPr>
        <w:pStyle w:val="Heading2"/>
      </w:pPr>
      <w:bookmarkStart w:id="11" w:name="epm_11"/>
      <w:r>
        <w:rPr>
          <w:rFonts w:ascii="Arial" w:hAnsi="Arial" w:eastAsia="宋体"/>
          <w:b w:val="0"/>
          <w:i w:val="0"/>
        </w:rPr>
        <w:t>3.1 从 EXE 到可访问页面</w:t>
      </w:r>
      <w:bookmarkEnd w:id="11"/>
    </w:p>
    <w:p>
      <w:pPr>
        <w:ind w:left="283" w:hanging="198"/>
      </w:pPr>
      <w:r>
        <w:rPr>
          <w:rFonts w:ascii="Arial" w:hAnsi="Arial" w:eastAsia="宋体"/>
        </w:rPr>
        <w:t xml:space="preserve">1. </w:t>
      </w:r>
      <w:r>
        <w:rPr>
          <w:rFonts w:ascii="Arial" w:hAnsi="Arial" w:eastAsia="宋体"/>
          <w:b w:val="0"/>
          <w:i w:val="0"/>
        </w:rPr>
        <w:t>原生入口取得自身目录，定位同目录的 python/pythonw.exe；终端参数模式使用 python/python.exe。它不从系统 PATH 搜索 Python，不通过 shell 拼接运行命令。</w:t>
      </w:r>
    </w:p>
    <w:p>
      <w:pPr>
        <w:ind w:left="283" w:hanging="198"/>
      </w:pPr>
      <w:r>
        <w:rPr>
          <w:rFonts w:ascii="Arial" w:hAnsi="Arial" w:eastAsia="宋体"/>
        </w:rPr>
        <w:t xml:space="preserve">2. </w:t>
      </w:r>
      <w:r>
        <w:rPr>
          <w:rFonts w:ascii="Arial" w:hAnsi="Arial" w:eastAsia="宋体"/>
          <w:b w:val="0"/>
          <w:i w:val="0"/>
        </w:rPr>
        <w:t xml:space="preserve">以 </w:t>
      </w:r>
      <w:r>
        <w:rPr>
          <w:rFonts w:ascii="Consolas" w:hAnsi="Consolas" w:eastAsia="宋体"/>
          <w:b w:val="0"/>
          <w:i w:val="0"/>
          <w:sz w:val="18"/>
        </w:rPr>
        <w:t>-I -X utf8</w:t>
      </w:r>
      <w:r>
        <w:rPr>
          <w:rFonts w:ascii="Arial" w:hAnsi="Arial" w:eastAsia="宋体"/>
          <w:b w:val="0"/>
          <w:i w:val="0"/>
        </w:rPr>
        <w:t xml:space="preserve"> 参数启动 app/demo_launcher.py。隔离模式减少用户环境对包内解释器的影响，UTF-8 配合 Unicode Windows API 处理中文和空格路径。</w:t>
      </w:r>
    </w:p>
    <w:p>
      <w:pPr>
        <w:ind w:left="283" w:hanging="198"/>
      </w:pPr>
      <w:r>
        <w:rPr>
          <w:rFonts w:ascii="Arial" w:hAnsi="Arial" w:eastAsia="宋体"/>
        </w:rPr>
        <w:t xml:space="preserve">3. </w:t>
      </w:r>
      <w:r>
        <w:rPr>
          <w:rFonts w:ascii="Arial" w:hAnsi="Arial" w:eastAsia="宋体"/>
          <w:b w:val="0"/>
          <w:i w:val="0"/>
        </w:rPr>
        <w:t>管理器确定用户数据目录，建立 logs，获取 launcher.lock 的进程锁。锁用于协调同一数据目录的重复启动，不用于财务记录锁。</w:t>
      </w:r>
    </w:p>
    <w:p>
      <w:pPr>
        <w:ind w:left="283" w:hanging="198"/>
      </w:pPr>
      <w:r>
        <w:rPr>
          <w:rFonts w:ascii="Arial" w:hAnsi="Arial" w:eastAsia="宋体"/>
        </w:rPr>
        <w:t xml:space="preserve">4. </w:t>
      </w:r>
      <w:r>
        <w:rPr>
          <w:rFonts w:ascii="Arial" w:hAnsi="Arial" w:eastAsia="宋体"/>
          <w:b w:val="0"/>
          <w:i w:val="0"/>
        </w:rPr>
        <w:t>若已有实例，管理器同时校验进程创建时间、健康接口产品名及随机 instanceId；只有身份一致时才复用。不能仅凭 PID 或端口判断“这是自己的服务”。</w:t>
      </w:r>
    </w:p>
    <w:p>
      <w:pPr>
        <w:ind w:left="283" w:hanging="198"/>
      </w:pPr>
      <w:r>
        <w:rPr>
          <w:rFonts w:ascii="Arial" w:hAnsi="Arial" w:eastAsia="宋体"/>
        </w:rPr>
        <w:t xml:space="preserve">5. </w:t>
      </w:r>
      <w:r>
        <w:rPr>
          <w:rFonts w:ascii="Arial" w:hAnsi="Arial" w:eastAsia="宋体"/>
          <w:b w:val="0"/>
          <w:i w:val="0"/>
        </w:rPr>
        <w:t>若无可复用实例，启动 backend/server.py，传入数据目录、端口和静态目录。数据库没有业务快照时才生成种子账套。</w:t>
      </w:r>
    </w:p>
    <w:p>
      <w:pPr>
        <w:ind w:left="283" w:hanging="198"/>
      </w:pPr>
      <w:r>
        <w:rPr>
          <w:rFonts w:ascii="Arial" w:hAnsi="Arial" w:eastAsia="宋体"/>
        </w:rPr>
        <w:t xml:space="preserve">6. </w:t>
      </w:r>
      <w:r>
        <w:rPr>
          <w:rFonts w:ascii="Arial" w:hAnsi="Arial" w:eastAsia="宋体"/>
          <w:b w:val="0"/>
          <w:i w:val="0"/>
        </w:rPr>
        <w:t>服务绑定本机地址，输出只给启动管理器使用的 ready JSON。管理器校验地址、端口、进程创建时间及健康身份，确认有效后才原子写入 instance.json。</w:t>
      </w:r>
    </w:p>
    <w:p>
      <w:pPr>
        <w:ind w:left="283" w:hanging="198"/>
      </w:pPr>
      <w:r>
        <w:rPr>
          <w:rFonts w:ascii="Arial" w:hAnsi="Arial" w:eastAsia="宋体"/>
        </w:rPr>
        <w:t xml:space="preserve">7. </w:t>
      </w:r>
      <w:r>
        <w:rPr>
          <w:rFonts w:ascii="Arial" w:hAnsi="Arial" w:eastAsia="宋体"/>
          <w:b w:val="0"/>
          <w:i w:val="0"/>
        </w:rPr>
        <w:t>管理器在后台线程打开浏览器，地址片段含当前进程启动凭据；浏览器交换本机会话后删除该片段，进入集团经营总览。</w:t>
      </w:r>
    </w:p>
    <w:p>
      <w:pPr>
        <w:pStyle w:val="Heading2"/>
      </w:pPr>
      <w:bookmarkStart w:id="12" w:name="epm_12"/>
      <w:r>
        <w:rPr>
          <w:rFonts w:ascii="Arial" w:hAnsi="Arial" w:eastAsia="宋体"/>
          <w:b w:val="0"/>
          <w:i w:val="0"/>
        </w:rPr>
        <w:t>3.2 凭据、会话与角色</w:t>
      </w:r>
      <w:bookmarkEnd w:id="12"/>
    </w:p>
    <w:tbl>
      <w:tblPr>
        <w:tblStyle w:val="TableGrid"/>
        <w:tblW w:type="auto" w:w="0"/>
        <w:jc w:val="center"/>
        <w:tblLayout w:type="fixed"/>
        <w:tblLook w:firstColumn="1" w:firstRow="1" w:lastColumn="0" w:lastRow="0" w:noHBand="0" w:noVBand="1" w:val="04A0"/>
      </w:tblPr>
      <w:tblGrid>
        <w:gridCol w:w="1978"/>
        <w:gridCol w:w="4053"/>
        <w:gridCol w:w="3607"/>
      </w:tblGrid>
      <w:tr>
        <w:trPr>
          <w:cantSplit/>
          <w:tblHeader w:val="true"/>
        </w:trPr>
        <w:tc>
          <w:tcPr>
            <w:tcW w:type="dxa" w:w="19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对象</w:t>
            </w:r>
          </w:p>
        </w:tc>
        <w:tc>
          <w:tcPr>
            <w:tcW w:type="dxa" w:w="40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存放位置</w:t>
            </w:r>
          </w:p>
        </w:tc>
        <w:tc>
          <w:tcPr>
            <w:tcW w:type="dxa" w:w="36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生命周期与用途</w:t>
            </w:r>
          </w:p>
        </w:tc>
      </w:tr>
      <w:tr>
        <w:trPr>
          <w:cantSplit/>
        </w:trPr>
        <w:tc>
          <w:tcPr>
            <w:tcW w:type="dxa" w:w="1978"/>
            <w:vAlign w:val="top"/>
            <w:tcMar>
              <w:top w:w="65" w:type="dxa"/>
              <w:bottom w:w="65" w:type="dxa"/>
              <w:left w:w="65" w:type="dxa"/>
              <w:right w:w="65" w:type="dxa"/>
            </w:tcMar>
          </w:tcPr>
          <w:p>
            <w:pPr>
              <w:spacing w:before="30" w:after="30" w:line="252" w:lineRule="auto"/>
            </w:pPr>
            <w:r>
              <w:rPr>
                <w:rFonts w:ascii="Arial" w:hAnsi="Arial" w:eastAsia="宋体"/>
                <w:b w:val="0"/>
                <w:i w:val="0"/>
                <w:sz w:val="19"/>
              </w:rPr>
              <w:t>启动 token</w:t>
            </w:r>
          </w:p>
        </w:tc>
        <w:tc>
          <w:tcPr>
            <w:tcW w:type="dxa" w:w="4053"/>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服务内存、当前用户的私有 instance.json</w:t>
            </w:r>
          </w:p>
        </w:tc>
        <w:tc>
          <w:tcPr>
            <w:tcW w:type="dxa" w:w="3607"/>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当前服务进程有效；用于交换本机会话及启动器安全停止</w:t>
            </w:r>
          </w:p>
        </w:tc>
      </w:tr>
      <w:tr>
        <w:trPr>
          <w:cantSplit/>
        </w:trPr>
        <w:tc>
          <w:tcPr>
            <w:tcW w:type="dxa" w:w="19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instanceId</w:t>
            </w:r>
          </w:p>
        </w:tc>
        <w:tc>
          <w:tcPr>
            <w:tcW w:type="dxa" w:w="4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服务内存与私有实例文件</w:t>
            </w:r>
          </w:p>
        </w:tc>
        <w:tc>
          <w:tcPr>
            <w:tcW w:type="dxa" w:w="36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随机服务身份，配合 PID 创建时间验证复用对象</w:t>
            </w:r>
          </w:p>
        </w:tc>
      </w:tr>
      <w:tr>
        <w:trPr>
          <w:cantSplit/>
        </w:trPr>
        <w:tc>
          <w:tcPr>
            <w:tcW w:type="dxa" w:w="1978"/>
            <w:vAlign w:val="top"/>
            <w:tcMar>
              <w:top w:w="65" w:type="dxa"/>
              <w:bottom w:w="65" w:type="dxa"/>
              <w:left w:w="65" w:type="dxa"/>
              <w:right w:w="65" w:type="dxa"/>
            </w:tcMar>
          </w:tcPr>
          <w:p>
            <w:pPr>
              <w:spacing w:before="30" w:after="30" w:line="252" w:lineRule="auto"/>
            </w:pPr>
            <w:r>
              <w:rPr>
                <w:rFonts w:ascii="Arial" w:hAnsi="Arial" w:eastAsia="宋体"/>
                <w:b w:val="0"/>
                <w:i w:val="0"/>
                <w:sz w:val="19"/>
              </w:rPr>
              <w:t>会话 cookie</w:t>
            </w:r>
          </w:p>
        </w:tc>
        <w:tc>
          <w:tcPr>
            <w:tcW w:type="dxa" w:w="4053"/>
            <w:vAlign w:val="top"/>
            <w:tcMar>
              <w:top w:w="65" w:type="dxa"/>
              <w:bottom w:w="65" w:type="dxa"/>
              <w:left w:w="65" w:type="dxa"/>
              <w:right w:w="65" w:type="dxa"/>
            </w:tcMar>
          </w:tcPr>
          <w:p>
            <w:pPr>
              <w:spacing w:before="30" w:after="30" w:line="252" w:lineRule="auto"/>
            </w:pPr>
            <w:r>
              <w:rPr>
                <w:rFonts w:ascii="Arial" w:hAnsi="Arial" w:eastAsia="宋体"/>
                <w:b w:val="0"/>
                <w:i w:val="0"/>
                <w:sz w:val="19"/>
              </w:rPr>
              <w:t>浏览器 HttpOnly、SameSite=Strict cookie</w:t>
            </w:r>
          </w:p>
        </w:tc>
        <w:tc>
          <w:tcPr>
            <w:tcW w:type="dxa" w:w="3607"/>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服务器内存会话；进程退出后不可继续使用</w:t>
            </w:r>
          </w:p>
        </w:tc>
      </w:tr>
      <w:tr>
        <w:trPr>
          <w:cantSplit/>
        </w:trPr>
        <w:tc>
          <w:tcPr>
            <w:tcW w:type="dxa" w:w="19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csrfToken</w:t>
            </w:r>
          </w:p>
        </w:tc>
        <w:tc>
          <w:tcPr>
            <w:tcW w:type="dxa" w:w="4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会话内存与浏览器运行状态</w:t>
            </w:r>
          </w:p>
        </w:tc>
        <w:tc>
          <w:tcPr>
            <w:tcW w:type="dxa" w:w="36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写请求必须带 X-CSRF-Token；不是业务数据库字段</w:t>
            </w:r>
          </w:p>
        </w:tc>
      </w:tr>
      <w:tr>
        <w:trPr>
          <w:cantSplit/>
        </w:trPr>
        <w:tc>
          <w:tcPr>
            <w:tcW w:type="dxa" w:w="1978"/>
            <w:vAlign w:val="top"/>
            <w:tcMar>
              <w:top w:w="65" w:type="dxa"/>
              <w:bottom w:w="65" w:type="dxa"/>
              <w:left w:w="65" w:type="dxa"/>
              <w:right w:w="65" w:type="dxa"/>
            </w:tcMar>
          </w:tcPr>
          <w:p>
            <w:pPr>
              <w:spacing w:before="30" w:after="30" w:line="252" w:lineRule="auto"/>
            </w:pPr>
            <w:r>
              <w:rPr>
                <w:rFonts w:ascii="Arial" w:hAnsi="Arial" w:eastAsia="宋体"/>
                <w:b w:val="0"/>
                <w:i w:val="0"/>
                <w:sz w:val="19"/>
              </w:rPr>
              <w:t>sessionRole</w:t>
            </w:r>
          </w:p>
        </w:tc>
        <w:tc>
          <w:tcPr>
            <w:tcW w:type="dxa" w:w="4053"/>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服务器会话对象</w:t>
            </w:r>
          </w:p>
        </w:tc>
        <w:tc>
          <w:tcPr>
            <w:tcW w:type="dxa" w:w="3607"/>
            <w:vAlign w:val="top"/>
            <w:tcMar>
              <w:top w:w="65" w:type="dxa"/>
              <w:bottom w:w="65" w:type="dxa"/>
              <w:left w:w="65" w:type="dxa"/>
              <w:right w:w="65" w:type="dxa"/>
            </w:tcMar>
          </w:tcPr>
          <w:p>
            <w:pPr>
              <w:spacing w:before="30" w:after="30" w:line="252" w:lineRule="auto"/>
            </w:pPr>
            <w:r>
              <w:rPr>
                <w:rFonts w:ascii="Arial" w:hAnsi="Arial" w:eastAsia="宋体"/>
                <w:b w:val="0"/>
                <w:i w:val="0"/>
                <w:sz w:val="19"/>
              </w:rPr>
              <w:t>默认集团财务负责人；可切换为法人会计、审计只读</w:t>
            </w:r>
          </w:p>
        </w:tc>
      </w:tr>
      <w:tr>
        <w:trPr>
          <w:cantSplit/>
        </w:trPr>
        <w:tc>
          <w:tcPr>
            <w:tcW w:type="dxa" w:w="19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业务 revision</w:t>
            </w:r>
          </w:p>
        </w:tc>
        <w:tc>
          <w:tcPr>
            <w:tcW w:type="dxa" w:w="4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SQLite state 表</w:t>
            </w:r>
          </w:p>
        </w:tc>
        <w:tc>
          <w:tcPr>
            <w:tcW w:type="dxa" w:w="36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跨重启保留，表示全库业务快照版本</w:t>
            </w:r>
          </w:p>
        </w:tc>
      </w:tr>
    </w:tbl>
    <w:p>
      <w:pPr>
        <w:spacing w:after="40"/>
      </w:pPr>
    </w:p>
    <w:p>
      <w:r>
        <w:rPr>
          <w:rFonts w:ascii="Arial" w:hAnsi="Arial" w:eastAsia="宋体"/>
          <w:b w:val="0"/>
          <w:i w:val="0"/>
        </w:rPr>
        <w:t>启动 token 是当前本机环境的访问凭据，不是 Gmail、Google OAuth 或企业账号密码。它放在 URL fragment 中，不作为 HTTP 查询字符串发送；页面交换会话后用 history.replaceState 清除。源码、公开截图和验收报告只使用占位值，不应包含实际 token、cookie 或 instance.json。</w:t>
      </w:r>
    </w:p>
    <w:p>
      <w:r>
        <w:rPr>
          <w:rFonts w:ascii="Arial" w:hAnsi="Arial" w:eastAsia="宋体"/>
          <w:b w:val="0"/>
          <w:i w:val="0"/>
        </w:rPr>
        <w:t>角色切换接口改变当前演示会话中的角色，不创建真实用户，也不构成企业身份认证。持有本机启动凭据的人能够切换演示角色，因此生产级职责分离不能直接依赖这套演示登录机制。</w:t>
      </w:r>
    </w:p>
    <w:p>
      <w:pPr>
        <w:pStyle w:val="Heading2"/>
      </w:pPr>
      <w:bookmarkStart w:id="13" w:name="epm_13"/>
      <w:r>
        <w:rPr>
          <w:rFonts w:ascii="Arial" w:hAnsi="Arial" w:eastAsia="宋体"/>
          <w:b w:val="0"/>
          <w:i w:val="0"/>
        </w:rPr>
        <w:t>3.3 重复启动和安全退出</w:t>
      </w:r>
      <w:bookmarkEnd w:id="13"/>
    </w:p>
    <w:p>
      <w:r>
        <w:rPr>
          <w:rFonts w:ascii="Arial" w:hAnsi="Arial" w:eastAsia="宋体"/>
          <w:b w:val="0"/>
          <w:i w:val="0"/>
        </w:rPr>
        <w:t>再次双击 EXE 时，同一数据目录的启动管理器优先复用已验证实例并打开浏览器。关闭浏览器仅关闭用户界面，后台服务和数据仍在。页面“本机环境—安全退出”通过会话、CSRF 和同源校验提交停止请求；管理器等待服务正常结束并清理属于当前 instanceId 的实例记录。</w:t>
      </w:r>
    </w:p>
    <w:p>
      <w:r>
        <w:rPr>
          <w:rFonts w:ascii="Arial" w:hAnsi="Arial" w:eastAsia="宋体"/>
          <w:b w:val="0"/>
          <w:i w:val="0"/>
        </w:rPr>
        <w:t>终端停止模式使用本机实例 token 调用 /api/shutdown，随后核对进程创建身份是否消失。它不会因退出超时而任意终止其他 PID。服务重新启动后会生成新的本机访问凭据，同时读取相同 SQLite 文件；业务 revision 和审计记录仍保留。</w:t>
      </w:r>
    </w:p>
    <w:p>
      <w:pPr>
        <w:pStyle w:val="Heading1"/>
      </w:pPr>
      <w:bookmarkStart w:id="14" w:name="epm_14"/>
      <w:r>
        <w:rPr>
          <w:rFonts w:ascii="Arial" w:hAnsi="Arial" w:eastAsia="宋体"/>
          <w:b w:val="0"/>
          <w:i w:val="0"/>
        </w:rPr>
        <w:t>4. 页面、路由与业务交互</w:t>
      </w:r>
      <w:bookmarkEnd w:id="14"/>
    </w:p>
    <w:p>
      <w:pPr>
        <w:pStyle w:val="Heading2"/>
      </w:pPr>
      <w:bookmarkStart w:id="15" w:name="epm_15"/>
      <w:r>
        <w:rPr>
          <w:rFonts w:ascii="Arial" w:hAnsi="Arial" w:eastAsia="宋体"/>
          <w:b w:val="0"/>
          <w:i w:val="0"/>
        </w:rPr>
        <w:t>4.1 20 项导航与职责</w:t>
      </w:r>
      <w:bookmarkEnd w:id="15"/>
    </w:p>
    <w:tbl>
      <w:tblPr>
        <w:tblStyle w:val="TableGrid"/>
        <w:tblW w:type="auto" w:w="0"/>
        <w:jc w:val="center"/>
        <w:tblLayout w:type="fixed"/>
        <w:tblLook w:firstColumn="1" w:firstRow="1" w:lastColumn="0" w:lastRow="0" w:noHBand="0" w:noVBand="1" w:val="04A0"/>
      </w:tblPr>
      <w:tblGrid>
        <w:gridCol w:w="2837"/>
        <w:gridCol w:w="2157"/>
        <w:gridCol w:w="4644"/>
      </w:tblGrid>
      <w:tr>
        <w:trPr>
          <w:cantSplit/>
          <w:tblHeader w:val="true"/>
        </w:trPr>
        <w:tc>
          <w:tcPr>
            <w:tcW w:type="dxa" w:w="28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路由</w:t>
            </w:r>
          </w:p>
        </w:tc>
        <w:tc>
          <w:tcPr>
            <w:tcW w:type="dxa" w:w="21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中文页面</w:t>
            </w:r>
          </w:p>
        </w:tc>
        <w:tc>
          <w:tcPr>
            <w:tcW w:type="dxa" w:w="46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主要读取与实际交互</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overview</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集团经营总览</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读取当前期三表指标、趋势、预算比较和关账进度；进入关联模块</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org</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集团组织与持股</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查看法人范围；保存法人标识、编码、名称、责任人与币种</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master</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科目与维度</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查看和维护集团科目与内置报表字段映射；导出科目</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sources</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数据接入</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说明当前 CSV 方式、模板和预留的外部系统连接边界</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submissions</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试算平衡报送</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选文件或粘贴 CSV、整批导入、查看批次、确认报送</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rates</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集团汇率</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维护美元展示汇率并刷新币种展示</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ownership</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持股与企业合并</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读取示例持股比例、方法和边界说明</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intercompany</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内部往来核对</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查看演示交易关系，保存核对说明；不会自动生成抵销分录</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journals</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抵销与调整凭证</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保存借贷平衡草稿、查看分录、由负责人审批</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closing</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关账校验与签核</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报送、说明、校验、签核及重新开启的状态闭环</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statements</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集团三张报表</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切换利润、资产负债、现金流；钻取及导出当前报表</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budget-cycle</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预算周期与审批</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查看版本、提交、审批、锁定和复制</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budget-sheet</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预算编制与分摊</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四层目标、量价驱动、分摊方案与业务预算明细保存</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budget-adjust</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预算调整与滚动预测</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记录调整快照，批准后生成独立版本</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budget-version</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版本与多情景</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查看、比较、复制和切换完整预算快照</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analysis</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经营差异与钻取</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当前预算与实际的收入、成本、费用和财税差异</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reports</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管理报表中心</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关联三表、关账、报送和预算等实际页面</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permissions</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组织权限</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显示演示权限矩阵，并申请会话角色切换</w:t>
            </w:r>
          </w:p>
        </w:tc>
      </w:tr>
      <w:tr>
        <w:trPr>
          <w:cantSplit/>
        </w:trPr>
        <w:tc>
          <w:tcPr>
            <w:tcW w:type="dxa" w:w="2837"/>
            <w:vAlign w:val="top"/>
            <w:tcMar>
              <w:top w:w="65" w:type="dxa"/>
              <w:bottom w:w="65" w:type="dxa"/>
              <w:left w:w="65" w:type="dxa"/>
              <w:right w:w="65" w:type="dxa"/>
            </w:tcMar>
          </w:tcPr>
          <w:p>
            <w:pPr>
              <w:spacing w:before="30" w:after="30" w:line="252" w:lineRule="auto"/>
            </w:pPr>
            <w:r>
              <w:rPr>
                <w:rFonts w:ascii="Arial" w:hAnsi="Arial" w:eastAsia="宋体"/>
                <w:b w:val="0"/>
                <w:i w:val="0"/>
                <w:sz w:val="19"/>
              </w:rPr>
              <w:t>audit</w:t>
            </w:r>
          </w:p>
        </w:tc>
        <w:tc>
          <w:tcPr>
            <w:tcW w:type="dxa" w:w="2157"/>
            <w:vAlign w:val="top"/>
            <w:tcMar>
              <w:top w:w="65" w:type="dxa"/>
              <w:bottom w:w="65" w:type="dxa"/>
              <w:left w:w="65" w:type="dxa"/>
              <w:right w:w="65" w:type="dxa"/>
            </w:tcMar>
          </w:tcPr>
          <w:p>
            <w:pPr>
              <w:spacing w:before="30" w:after="30" w:line="252" w:lineRule="auto"/>
            </w:pPr>
            <w:r>
              <w:rPr>
                <w:rFonts w:ascii="Arial" w:hAnsi="Arial" w:eastAsia="宋体"/>
                <w:b w:val="0"/>
                <w:i w:val="0"/>
                <w:sz w:val="19"/>
              </w:rPr>
              <w:t>审计轨迹</w:t>
            </w:r>
          </w:p>
        </w:tc>
        <w:tc>
          <w:tcPr>
            <w:tcW w:type="dxa" w:w="4644"/>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读取实际保存动作、中文动作标签与事务版本</w:t>
            </w:r>
          </w:p>
        </w:tc>
      </w:tr>
      <w:tr>
        <w:trPr>
          <w:cantSplit/>
        </w:trPr>
        <w:tc>
          <w:tcPr>
            <w:tcW w:type="dxa" w:w="28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settings</w:t>
            </w:r>
          </w:p>
        </w:tc>
        <w:tc>
          <w:tcPr>
            <w:tcW w:type="dxa" w:w="21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系统配置</w:t>
            </w:r>
          </w:p>
        </w:tc>
        <w:tc>
          <w:tcPr>
            <w:tcW w:type="dxa" w:w="4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维护公司名称；展示固定 2026 年度及简体中文；打开本机工具</w:t>
            </w:r>
          </w:p>
        </w:tc>
      </w:tr>
    </w:tbl>
    <w:p>
      <w:pPr>
        <w:spacing w:after="40"/>
      </w:pPr>
    </w:p>
    <w:p>
      <w:pPr>
        <w:pStyle w:val="Heading2"/>
      </w:pPr>
      <w:bookmarkStart w:id="16" w:name="epm_16"/>
      <w:r>
        <w:rPr>
          <w:rFonts w:ascii="Arial" w:hAnsi="Arial" w:eastAsia="宋体"/>
          <w:b w:val="0"/>
          <w:i w:val="0"/>
        </w:rPr>
        <w:t>4.2 路由和上下文的区别</w:t>
      </w:r>
      <w:bookmarkEnd w:id="16"/>
    </w:p>
    <w:p>
      <w:r>
        <w:rPr>
          <w:rFonts w:ascii="Arial" w:hAnsi="Arial" w:eastAsia="宋体"/>
          <w:b w:val="0"/>
          <w:i w:val="0"/>
        </w:rPr>
        <w:t>路由控制“显示哪一页”，上下文控制“按哪个范围和期间读取数据”。页面上下文包括 group、month、currency、entity。group 取 group 或 mfg，month 为 1—12，currency 为 CNY 或 USD，entity 为 all 或已存在法人标识。固定会计年度为 2026，不能通过改年度标签创建新账套。</w:t>
      </w:r>
    </w:p>
    <w:p>
      <w:r>
        <w:rPr>
          <w:rFonts w:ascii="Arial" w:hAnsi="Arial" w:eastAsia="宋体"/>
          <w:b w:val="0"/>
          <w:i w:val="0"/>
        </w:rPr>
        <w:t>切换期间、集团、币种或法人时，前端重新调用 bootstrap；切换预算类型等纯展示选项时，可以只重新渲染已取得的数据。切换集团会清理法人钻取范围。经营分析和三表可以保留法人筛选，转到其他业务页时会按程序规则回到整体口径，避免把局部分析筛选误当集团业务提交对象。</w:t>
      </w:r>
    </w:p>
    <w:p>
      <w:r>
        <w:rPr>
          <w:rFonts w:ascii="Arial" w:hAnsi="Arial" w:eastAsia="宋体"/>
          <w:b w:val="0"/>
          <w:i w:val="0"/>
        </w:rPr>
        <w:t>当前预算的活跃版本保存于业务快照中，切换版本使用 budget_switch 动作并持久化。它不是生产多用户应用中的“每个用户独立偏好”。新增多人版本协作时，应重新设计活跃版本与编辑范围。</w:t>
      </w:r>
    </w:p>
    <w:p>
      <w:pPr>
        <w:pStyle w:val="Heading2"/>
      </w:pPr>
      <w:bookmarkStart w:id="17" w:name="epm_17"/>
      <w:r>
        <w:rPr>
          <w:rFonts w:ascii="Arial" w:hAnsi="Arial" w:eastAsia="宋体"/>
          <w:b w:val="0"/>
          <w:i w:val="0"/>
        </w:rPr>
        <w:t>4.3 一次正常读取</w:t>
      </w:r>
      <w:bookmarkEnd w:id="17"/>
    </w:p>
    <w:p>
      <w:r>
        <w:rPr>
          <w:rFonts w:ascii="Arial" w:hAnsi="Arial" w:eastAsia="宋体"/>
          <w:b w:val="0"/>
          <w:i w:val="0"/>
        </w:rPr>
        <w:t>页面初始化时执行 start：发现启动 token 后先 POST /api/session，收到会话 cookie，再清除地址中的凭据；随后 GET /api/bootstrap，并把返回对象写入浏览器运行状态。渲染函数依据当前路由产生页面内容，统一更新公司名、期间、金额单位、角色和“已保存·数据版本”标识。</w:t>
      </w:r>
    </w:p>
    <w:p>
      <w:r>
        <w:rPr>
          <w:rFonts w:ascii="Arial" w:hAnsi="Arial" w:eastAsia="宋体"/>
          <w:b w:val="0"/>
          <w:i w:val="0"/>
        </w:rPr>
        <w:t>bootstrap 不是静态示例 JSON。它从 SQLite 读取最新状态和最近审计记录，解析上下文，调用财务计算模块，产生当前期 statement、checks、法人实际和月度实际投影，再连同预算及基础数据返回。</w:t>
      </w:r>
    </w:p>
    <w:p>
      <w:pPr>
        <w:pStyle w:val="Heading2"/>
      </w:pPr>
      <w:bookmarkStart w:id="18" w:name="epm_18"/>
      <w:r>
        <w:rPr>
          <w:rFonts w:ascii="Arial" w:hAnsi="Arial" w:eastAsia="宋体"/>
          <w:b w:val="0"/>
          <w:i w:val="0"/>
        </w:rPr>
        <w:t>4.4 一次保存、反馈与失败处理</w:t>
      </w:r>
      <w:bookmarkEnd w:id="18"/>
    </w:p>
    <w:p>
      <w:pPr>
        <w:keepNext/>
        <w:jc w:val="center"/>
      </w:pPr>
      <w:r>
        <w:drawing>
          <wp:inline xmlns:a="http://schemas.openxmlformats.org/drawingml/2006/main" xmlns:pic="http://schemas.openxmlformats.org/drawingml/2006/picture">
            <wp:extent cx="6048000" cy="5246882"/>
            <wp:docPr id="2" name="Picture 2"/>
            <wp:cNvGraphicFramePr>
              <a:graphicFrameLocks noChangeAspect="1"/>
            </wp:cNvGraphicFramePr>
            <a:graphic>
              <a:graphicData uri="http://schemas.openxmlformats.org/drawingml/2006/picture">
                <pic:pic>
                  <pic:nvPicPr>
                    <pic:cNvPr id="0" name="request-sequence.png"/>
                    <pic:cNvPicPr/>
                  </pic:nvPicPr>
                  <pic:blipFill>
                    <a:blip r:embed="rId12"/>
                    <a:stretch>
                      <a:fillRect/>
                    </a:stretch>
                  </pic:blipFill>
                  <pic:spPr>
                    <a:xfrm>
                      <a:off x="0" y="0"/>
                      <a:ext cx="6048000" cy="5246882"/>
                    </a:xfrm>
                    <a:prstGeom prst="rect"/>
                  </pic:spPr>
                </pic:pic>
              </a:graphicData>
            </a:graphic>
          </wp:inline>
        </w:drawing>
      </w:r>
    </w:p>
    <w:p>
      <w:pPr>
        <w:jc w:val="center"/>
      </w:pPr>
      <w:r>
        <w:rPr>
          <w:rFonts w:ascii="Arial" w:hAnsi="Arial" w:eastAsia="宋体"/>
          <w:color w:val="66758D"/>
          <w:sz w:val="18"/>
        </w:rPr>
        <w:t>图 2  前后端交互</w:t>
      </w:r>
    </w:p>
    <w:p>
      <w:r>
        <w:rPr>
          <w:rFonts w:ascii="Arial" w:hAnsi="Arial" w:eastAsia="宋体"/>
          <w:b w:val="0"/>
          <w:i w:val="0"/>
        </w:rPr>
        <w:t>以修改基础层销售预算为例，用户输入金额后，前端提交 budget_layer_save、layer=0、amount 和当前 revision。服务器先校验会话、来源和 CSRF，在事务中核对 revision，并按当前会话角色检查权限、预算状态及金额精度，更新当前版本，再写入审计和新 revision。成功返回完整 bootstrap，前端才关闭弹窗、刷新页面并显示“已保存到本机数据库”。</w:t>
      </w:r>
    </w:p>
    <w:p>
      <w:r>
        <w:rPr>
          <w:rFonts w:ascii="Arial" w:hAnsi="Arial" w:eastAsia="宋体"/>
          <w:b w:val="0"/>
          <w:i w:val="0"/>
        </w:rPr>
        <w:t>前端没有先修改显示金额再假定保存成功。保存期间使用 busy 标识防止同页重复提交。若出现 revision_conflict，前端读取最新状态，提示用户核对后重试，不自动覆盖其他页面修改。预算已锁定、期间已签核等错误可能同样使用 HTTP 409，但应显示各自中文业务原因，不能统称“其他人修改了数据”。</w:t>
      </w:r>
    </w:p>
    <w:tbl>
      <w:tblPr>
        <w:tblStyle w:val="TableGrid"/>
        <w:tblW w:type="auto" w:w="0"/>
        <w:jc w:val="center"/>
        <w:tblLayout w:type="fixed"/>
        <w:tblLook w:firstColumn="1" w:firstRow="1" w:lastColumn="0" w:lastRow="0" w:noHBand="0" w:noVBand="1" w:val="04A0"/>
      </w:tblPr>
      <w:tblGrid>
        <w:gridCol w:w="4191"/>
        <w:gridCol w:w="2535"/>
        <w:gridCol w:w="2911"/>
      </w:tblGrid>
      <w:tr>
        <w:trPr>
          <w:cantSplit/>
          <w:tblHeader w:val="true"/>
        </w:trPr>
        <w:tc>
          <w:tcPr>
            <w:tcW w:type="dxa" w:w="41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HTTP 状态或错误码</w:t>
            </w:r>
          </w:p>
        </w:tc>
        <w:tc>
          <w:tcPr>
            <w:tcW w:type="dxa" w:w="253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代表含义</w:t>
            </w:r>
          </w:p>
        </w:tc>
        <w:tc>
          <w:tcPr>
            <w:tcW w:type="dxa" w:w="291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界面应采取的处理</w:t>
            </w:r>
          </w:p>
        </w:tc>
      </w:tr>
      <w:tr>
        <w:trPr>
          <w:cantSplit/>
        </w:trPr>
        <w:tc>
          <w:tcPr>
            <w:tcW w:type="dxa" w:w="4191"/>
            <w:vAlign w:val="top"/>
            <w:tcMar>
              <w:top w:w="65" w:type="dxa"/>
              <w:bottom w:w="65" w:type="dxa"/>
              <w:left w:w="65" w:type="dxa"/>
              <w:right w:w="65" w:type="dxa"/>
            </w:tcMar>
          </w:tcPr>
          <w:p>
            <w:pPr>
              <w:spacing w:before="30" w:after="30" w:line="252" w:lineRule="auto"/>
            </w:pPr>
            <w:r>
              <w:rPr>
                <w:rFonts w:ascii="Arial" w:hAnsi="Arial" w:eastAsia="宋体"/>
                <w:b w:val="0"/>
                <w:i w:val="0"/>
                <w:sz w:val="19"/>
              </w:rPr>
              <w:t>200</w:t>
            </w:r>
          </w:p>
        </w:tc>
        <w:tc>
          <w:tcPr>
            <w:tcW w:type="dxa" w:w="2535"/>
            <w:vAlign w:val="top"/>
            <w:tcMar>
              <w:top w:w="65" w:type="dxa"/>
              <w:bottom w:w="65" w:type="dxa"/>
              <w:left w:w="65" w:type="dxa"/>
              <w:right w:w="65" w:type="dxa"/>
            </w:tcMar>
          </w:tcPr>
          <w:p>
            <w:pPr>
              <w:spacing w:before="30" w:after="30" w:line="252" w:lineRule="auto"/>
            </w:pPr>
            <w:r>
              <w:rPr>
                <w:rFonts w:ascii="Arial" w:hAnsi="Arial" w:eastAsia="宋体"/>
                <w:b w:val="0"/>
                <w:i w:val="0"/>
                <w:sz w:val="19"/>
              </w:rPr>
              <w:t>动作完成或读取成功</w:t>
            </w:r>
          </w:p>
        </w:tc>
        <w:tc>
          <w:tcPr>
            <w:tcW w:type="dxa" w:w="2911"/>
            <w:vAlign w:val="top"/>
            <w:tcMar>
              <w:top w:w="65" w:type="dxa"/>
              <w:bottom w:w="65" w:type="dxa"/>
              <w:left w:w="65" w:type="dxa"/>
              <w:right w:w="65" w:type="dxa"/>
            </w:tcMar>
          </w:tcPr>
          <w:p>
            <w:pPr>
              <w:spacing w:before="30" w:after="30" w:line="252" w:lineRule="auto"/>
            </w:pPr>
            <w:r>
              <w:rPr>
                <w:rFonts w:ascii="Arial" w:hAnsi="Arial" w:eastAsia="宋体"/>
                <w:b w:val="0"/>
                <w:i w:val="0"/>
                <w:sz w:val="19"/>
              </w:rPr>
              <w:t>采用服务器返回状态，更新已保存版本</w:t>
            </w:r>
          </w:p>
        </w:tc>
      </w:tr>
      <w:tr>
        <w:trPr>
          <w:cantSplit/>
        </w:trPr>
        <w:tc>
          <w:tcPr>
            <w:tcW w:type="dxa" w:w="41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400 validation</w:t>
            </w:r>
          </w:p>
        </w:tc>
        <w:tc>
          <w:tcPr>
            <w:tcW w:type="dxa" w:w="25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字段、金额、借贷或业务输入不正确</w:t>
            </w:r>
          </w:p>
        </w:tc>
        <w:tc>
          <w:tcPr>
            <w:tcW w:type="dxa" w:w="29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保留纠正机会，显示中文原因</w:t>
            </w:r>
          </w:p>
        </w:tc>
      </w:tr>
      <w:tr>
        <w:trPr>
          <w:cantSplit/>
        </w:trPr>
        <w:tc>
          <w:tcPr>
            <w:tcW w:type="dxa" w:w="4191"/>
            <w:vAlign w:val="top"/>
            <w:tcMar>
              <w:top w:w="65" w:type="dxa"/>
              <w:bottom w:w="65" w:type="dxa"/>
              <w:left w:w="65" w:type="dxa"/>
              <w:right w:w="65" w:type="dxa"/>
            </w:tcMar>
          </w:tcPr>
          <w:p>
            <w:pPr>
              <w:spacing w:before="30" w:after="30" w:line="252" w:lineRule="auto"/>
            </w:pPr>
            <w:r>
              <w:rPr>
                <w:rFonts w:ascii="Arial" w:hAnsi="Arial" w:eastAsia="宋体"/>
                <w:b w:val="0"/>
                <w:i w:val="0"/>
                <w:sz w:val="19"/>
              </w:rPr>
              <w:t>401 unauthorized</w:t>
            </w:r>
          </w:p>
        </w:tc>
        <w:tc>
          <w:tcPr>
            <w:tcW w:type="dxa" w:w="2535"/>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本机会话不存在或失效</w:t>
            </w:r>
          </w:p>
        </w:tc>
        <w:tc>
          <w:tcPr>
            <w:tcW w:type="dxa" w:w="2911"/>
            <w:vAlign w:val="top"/>
            <w:tcMar>
              <w:top w:w="65" w:type="dxa"/>
              <w:bottom w:w="65" w:type="dxa"/>
              <w:left w:w="65" w:type="dxa"/>
              <w:right w:w="65" w:type="dxa"/>
            </w:tcMar>
          </w:tcPr>
          <w:p>
            <w:pPr>
              <w:spacing w:before="30" w:after="30" w:line="252" w:lineRule="auto"/>
            </w:pPr>
            <w:r>
              <w:rPr>
                <w:rFonts w:ascii="Arial" w:hAnsi="Arial" w:eastAsia="宋体"/>
                <w:b w:val="0"/>
                <w:i w:val="0"/>
                <w:sz w:val="19"/>
              </w:rPr>
              <w:t>提示从 EXE 重新打开，不要求输入邮箱</w:t>
            </w:r>
          </w:p>
        </w:tc>
      </w:tr>
      <w:tr>
        <w:trPr>
          <w:cantSplit/>
        </w:trPr>
        <w:tc>
          <w:tcPr>
            <w:tcW w:type="dxa" w:w="41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403 forbidden</w:t>
            </w:r>
          </w:p>
        </w:tc>
        <w:tc>
          <w:tcPr>
            <w:tcW w:type="dxa" w:w="25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当前演示角色无权执行</w:t>
            </w:r>
          </w:p>
        </w:tc>
        <w:tc>
          <w:tcPr>
            <w:tcW w:type="dxa" w:w="29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提示所需角色；不得在浏览器绕过后端限制</w:t>
            </w:r>
          </w:p>
        </w:tc>
      </w:tr>
      <w:tr>
        <w:trPr>
          <w:cantSplit/>
        </w:trPr>
        <w:tc>
          <w:tcPr>
            <w:tcW w:type="dxa" w:w="4191"/>
            <w:vAlign w:val="top"/>
            <w:tcMar>
              <w:top w:w="65" w:type="dxa"/>
              <w:bottom w:w="65" w:type="dxa"/>
              <w:left w:w="65" w:type="dxa"/>
              <w:right w:w="65" w:type="dxa"/>
            </w:tcMar>
          </w:tcPr>
          <w:p>
            <w:pPr>
              <w:spacing w:before="30" w:after="30" w:line="252" w:lineRule="auto"/>
            </w:pPr>
            <w:r>
              <w:rPr>
                <w:rFonts w:ascii="Arial" w:hAnsi="Arial" w:eastAsia="宋体"/>
                <w:b w:val="0"/>
                <w:i w:val="0"/>
                <w:sz w:val="19"/>
              </w:rPr>
              <w:t>403 csrf／invalid_origin</w:t>
            </w:r>
          </w:p>
        </w:tc>
        <w:tc>
          <w:tcPr>
            <w:tcW w:type="dxa" w:w="2535"/>
            <w:vAlign w:val="top"/>
            <w:tcMar>
              <w:top w:w="65" w:type="dxa"/>
              <w:bottom w:w="65" w:type="dxa"/>
              <w:left w:w="65" w:type="dxa"/>
              <w:right w:w="65" w:type="dxa"/>
            </w:tcMar>
          </w:tcPr>
          <w:p>
            <w:pPr>
              <w:spacing w:before="30" w:after="30" w:line="252" w:lineRule="auto"/>
            </w:pPr>
            <w:r>
              <w:rPr>
                <w:rFonts w:ascii="Arial" w:hAnsi="Arial" w:eastAsia="宋体"/>
                <w:b w:val="0"/>
                <w:i w:val="0"/>
                <w:sz w:val="19"/>
              </w:rPr>
              <w:t>安全校验或来源无效</w:t>
            </w:r>
          </w:p>
        </w:tc>
        <w:tc>
          <w:tcPr>
            <w:tcW w:type="dxa" w:w="2911"/>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重新打开或刷新合法会话，不绕过校验</w:t>
            </w:r>
          </w:p>
        </w:tc>
      </w:tr>
      <w:tr>
        <w:trPr>
          <w:cantSplit/>
        </w:trPr>
        <w:tc>
          <w:tcPr>
            <w:tcW w:type="dxa" w:w="41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409 revision_conflict</w:t>
            </w:r>
          </w:p>
        </w:tc>
        <w:tc>
          <w:tcPr>
            <w:tcW w:type="dxa" w:w="25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提交的业务快照版本过期</w:t>
            </w:r>
          </w:p>
        </w:tc>
        <w:tc>
          <w:tcPr>
            <w:tcW w:type="dxa" w:w="29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加载最新数据，核对后重新提交</w:t>
            </w:r>
          </w:p>
        </w:tc>
      </w:tr>
      <w:tr>
        <w:trPr>
          <w:cantSplit/>
        </w:trPr>
        <w:tc>
          <w:tcPr>
            <w:tcW w:type="dxa" w:w="4191"/>
            <w:vAlign w:val="top"/>
            <w:tcMar>
              <w:top w:w="65" w:type="dxa"/>
              <w:bottom w:w="65" w:type="dxa"/>
              <w:left w:w="65" w:type="dxa"/>
              <w:right w:w="65" w:type="dxa"/>
            </w:tcMar>
          </w:tcPr>
          <w:p>
            <w:pPr>
              <w:spacing w:before="30" w:after="30" w:line="252" w:lineRule="auto"/>
            </w:pPr>
            <w:r>
              <w:rPr>
                <w:rFonts w:ascii="Arial" w:hAnsi="Arial" w:eastAsia="宋体"/>
                <w:b w:val="0"/>
                <w:i w:val="0"/>
                <w:sz w:val="19"/>
              </w:rPr>
              <w:t>409 budget_locked／period_locked</w:t>
            </w:r>
          </w:p>
        </w:tc>
        <w:tc>
          <w:tcPr>
            <w:tcW w:type="dxa" w:w="2535"/>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预算状态或期间保护不允许写入</w:t>
            </w:r>
          </w:p>
        </w:tc>
        <w:tc>
          <w:tcPr>
            <w:tcW w:type="dxa" w:w="2911"/>
            <w:vAlign w:val="top"/>
            <w:tcMar>
              <w:top w:w="65" w:type="dxa"/>
              <w:bottom w:w="65" w:type="dxa"/>
              <w:left w:w="65" w:type="dxa"/>
              <w:right w:w="65" w:type="dxa"/>
            </w:tcMar>
          </w:tcPr>
          <w:p>
            <w:pPr>
              <w:spacing w:before="30" w:after="30" w:line="252" w:lineRule="auto"/>
            </w:pPr>
            <w:r>
              <w:rPr>
                <w:rFonts w:ascii="Arial" w:hAnsi="Arial" w:eastAsia="宋体"/>
                <w:b w:val="0"/>
                <w:i w:val="0"/>
                <w:sz w:val="19"/>
              </w:rPr>
              <w:t>复制版本、调整或由负责人重新开启</w:t>
            </w:r>
          </w:p>
        </w:tc>
      </w:tr>
      <w:tr>
        <w:trPr>
          <w:cantSplit/>
        </w:trPr>
        <w:tc>
          <w:tcPr>
            <w:tcW w:type="dxa" w:w="41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409 incomplete_workflow／stale_checks</w:t>
            </w:r>
          </w:p>
        </w:tc>
        <w:tc>
          <w:tcPr>
            <w:tcW w:type="dxa" w:w="25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签核前置不完整或校验过期</w:t>
            </w:r>
          </w:p>
        </w:tc>
        <w:tc>
          <w:tcPr>
            <w:tcW w:type="dxa" w:w="29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补齐步骤或重新运行校验</w:t>
            </w:r>
          </w:p>
        </w:tc>
      </w:tr>
      <w:tr>
        <w:trPr>
          <w:cantSplit/>
        </w:trPr>
        <w:tc>
          <w:tcPr>
            <w:tcW w:type="dxa" w:w="4191"/>
            <w:vAlign w:val="top"/>
            <w:tcMar>
              <w:top w:w="65" w:type="dxa"/>
              <w:bottom w:w="65" w:type="dxa"/>
              <w:left w:w="65" w:type="dxa"/>
              <w:right w:w="65" w:type="dxa"/>
            </w:tcMar>
          </w:tcPr>
          <w:p>
            <w:pPr>
              <w:spacing w:before="30" w:after="30" w:line="252" w:lineRule="auto"/>
            </w:pPr>
            <w:r>
              <w:rPr>
                <w:rFonts w:ascii="Arial" w:hAnsi="Arial" w:eastAsia="宋体"/>
                <w:b w:val="0"/>
                <w:i w:val="0"/>
                <w:sz w:val="19"/>
              </w:rPr>
              <w:t>413／415</w:t>
            </w:r>
          </w:p>
        </w:tc>
        <w:tc>
          <w:tcPr>
            <w:tcW w:type="dxa" w:w="2535"/>
            <w:vAlign w:val="top"/>
            <w:tcMar>
              <w:top w:w="65" w:type="dxa"/>
              <w:bottom w:w="65" w:type="dxa"/>
              <w:left w:w="65" w:type="dxa"/>
              <w:right w:w="65" w:type="dxa"/>
            </w:tcMar>
          </w:tcPr>
          <w:p>
            <w:pPr>
              <w:spacing w:before="30" w:after="30" w:line="252" w:lineRule="auto"/>
            </w:pPr>
            <w:r>
              <w:rPr>
                <w:rFonts w:ascii="Arial" w:hAnsi="Arial" w:eastAsia="宋体"/>
                <w:b w:val="0"/>
                <w:i w:val="0"/>
                <w:sz w:val="19"/>
              </w:rPr>
              <w:t>正文过大或不是 JSON</w:t>
            </w:r>
          </w:p>
        </w:tc>
        <w:tc>
          <w:tcPr>
            <w:tcW w:type="dxa" w:w="2911"/>
            <w:vAlign w:val="top"/>
            <w:tcMar>
              <w:top w:w="65" w:type="dxa"/>
              <w:bottom w:w="65" w:type="dxa"/>
              <w:left w:w="65" w:type="dxa"/>
              <w:right w:w="65" w:type="dxa"/>
            </w:tcMar>
          </w:tcPr>
          <w:p>
            <w:pPr>
              <w:spacing w:before="30" w:after="30" w:line="252" w:lineRule="auto"/>
            </w:pPr>
            <w:r>
              <w:rPr>
                <w:rFonts w:ascii="Arial" w:hAnsi="Arial" w:eastAsia="宋体"/>
                <w:b w:val="0"/>
                <w:i w:val="0"/>
                <w:sz w:val="19"/>
              </w:rPr>
              <w:t>按模板和允许大小重新提交</w:t>
            </w:r>
          </w:p>
        </w:tc>
      </w:tr>
      <w:tr>
        <w:trPr>
          <w:cantSplit/>
        </w:trPr>
        <w:tc>
          <w:tcPr>
            <w:tcW w:type="dxa" w:w="41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500 internal</w:t>
            </w:r>
          </w:p>
        </w:tc>
        <w:tc>
          <w:tcPr>
            <w:tcW w:type="dxa" w:w="25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程序或运行环境异常</w:t>
            </w:r>
          </w:p>
        </w:tc>
        <w:tc>
          <w:tcPr>
            <w:tcW w:type="dxa" w:w="29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显示中文概述，研发在本地日志定位具体堆栈</w:t>
            </w:r>
          </w:p>
        </w:tc>
      </w:tr>
    </w:tbl>
    <w:p>
      <w:pPr>
        <w:spacing w:after="40"/>
      </w:pPr>
    </w:p>
    <w:p>
      <w:pPr>
        <w:pStyle w:val="Heading1"/>
      </w:pPr>
      <w:bookmarkStart w:id="19" w:name="epm_19"/>
      <w:r>
        <w:rPr>
          <w:rFonts w:ascii="Arial" w:hAnsi="Arial" w:eastAsia="宋体"/>
          <w:b w:val="0"/>
          <w:i w:val="0"/>
        </w:rPr>
        <w:t>5. HTTP 接口与字段契约</w:t>
      </w:r>
      <w:bookmarkEnd w:id="19"/>
    </w:p>
    <w:p>
      <w:pPr>
        <w:pStyle w:val="Heading2"/>
      </w:pPr>
      <w:bookmarkStart w:id="20" w:name="epm_20"/>
      <w:r>
        <w:rPr>
          <w:rFonts w:ascii="Arial" w:hAnsi="Arial" w:eastAsia="宋体"/>
          <w:b w:val="0"/>
          <w:i w:val="0"/>
        </w:rPr>
        <w:t>5.1 基础接口</w:t>
      </w:r>
      <w:bookmarkEnd w:id="20"/>
    </w:p>
    <w:tbl>
      <w:tblPr>
        <w:tblStyle w:val="TableGrid"/>
        <w:tblW w:type="auto" w:w="0"/>
        <w:jc w:val="center"/>
        <w:tblLayout w:type="fixed"/>
        <w:tblLook w:firstColumn="1" w:firstRow="1" w:lastColumn="0" w:lastRow="0" w:noHBand="0" w:noVBand="1" w:val="04A0"/>
      </w:tblPr>
      <w:tblGrid>
        <w:gridCol w:w="2801"/>
        <w:gridCol w:w="2950"/>
        <w:gridCol w:w="3886"/>
      </w:tblGrid>
      <w:tr>
        <w:trPr>
          <w:cantSplit/>
          <w:tblHeader w:val="true"/>
        </w:trPr>
        <w:tc>
          <w:tcPr>
            <w:tcW w:type="dxa" w:w="28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方法与路径</w:t>
            </w:r>
          </w:p>
        </w:tc>
        <w:tc>
          <w:tcPr>
            <w:tcW w:type="dxa" w:w="29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输入／认证</w:t>
            </w:r>
          </w:p>
        </w:tc>
        <w:tc>
          <w:tcPr>
            <w:tcW w:type="dxa" w:w="38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主要响应</w:t>
            </w:r>
          </w:p>
        </w:tc>
      </w:tr>
      <w:tr>
        <w:trPr>
          <w:cantSplit/>
        </w:trPr>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GET /api/health</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 Host 校验；不返回凭据</w:t>
            </w:r>
          </w:p>
        </w:tc>
        <w:tc>
          <w:tcPr>
            <w:tcW w:type="dxa" w:w="3886"/>
            <w:vAlign w:val="top"/>
            <w:tcMar>
              <w:top w:w="65" w:type="dxa"/>
              <w:bottom w:w="65" w:type="dxa"/>
              <w:left w:w="65" w:type="dxa"/>
              <w:right w:w="65" w:type="dxa"/>
            </w:tcMar>
          </w:tcPr>
          <w:p>
            <w:pPr>
              <w:spacing w:before="30" w:after="30" w:line="252" w:lineRule="auto"/>
            </w:pPr>
            <w:r>
              <w:rPr>
                <w:rFonts w:ascii="Arial" w:hAnsi="Arial" w:eastAsia="宋体"/>
                <w:b w:val="0"/>
                <w:i w:val="0"/>
                <w:sz w:val="19"/>
              </w:rPr>
              <w:t>ready、instanceId、product</w:t>
            </w:r>
          </w:p>
        </w:tc>
      </w:tr>
      <w:tr>
        <w:trPr>
          <w:cantSplit/>
        </w:trPr>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POST /api/session</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同源；JSON token</w:t>
            </w:r>
          </w:p>
        </w:tc>
        <w:tc>
          <w:tcPr>
            <w:tcW w:type="dxa" w:w="38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csrfToken、sessionRole 和 HttpOnly cookie</w:t>
            </w:r>
          </w:p>
        </w:tc>
      </w:tr>
      <w:tr>
        <w:trPr>
          <w:cantSplit/>
        </w:trPr>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GET /api/bootstrap</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有效 cookie；四项上下文查询参数</w:t>
            </w:r>
          </w:p>
        </w:tc>
        <w:tc>
          <w:tcPr>
            <w:tcW w:type="dxa" w:w="3886"/>
            <w:vAlign w:val="top"/>
            <w:tcMar>
              <w:top w:w="65" w:type="dxa"/>
              <w:bottom w:w="65" w:type="dxa"/>
              <w:left w:w="65" w:type="dxa"/>
              <w:right w:w="65" w:type="dxa"/>
            </w:tcMar>
          </w:tcPr>
          <w:p>
            <w:pPr>
              <w:spacing w:before="30" w:after="30" w:line="252" w:lineRule="auto"/>
            </w:pPr>
            <w:r>
              <w:rPr>
                <w:rFonts w:ascii="Arial" w:hAnsi="Arial" w:eastAsia="宋体"/>
                <w:b w:val="0"/>
                <w:i w:val="0"/>
                <w:sz w:val="19"/>
              </w:rPr>
              <w:t>revision、业务源数据、计算投影、当前权限</w:t>
            </w:r>
          </w:p>
        </w:tc>
      </w:tr>
      <w:tr>
        <w:trPr>
          <w:cantSplit/>
        </w:trPr>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POST /api/action</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cookie、CSRF、Origin；动作信封</w:t>
            </w:r>
          </w:p>
        </w:tc>
        <w:tc>
          <w:tcPr>
            <w:tcW w:type="dxa" w:w="38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成功后的完整 bootstrap 或中文错误</w:t>
            </w:r>
          </w:p>
        </w:tc>
      </w:tr>
      <w:tr>
        <w:trPr>
          <w:cantSplit/>
        </w:trPr>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GET /api/runtime</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有效 cookie</w:t>
            </w:r>
          </w:p>
        </w:tc>
        <w:tc>
          <w:tcPr>
            <w:tcW w:type="dxa" w:w="3886"/>
            <w:vAlign w:val="top"/>
            <w:tcMar>
              <w:top w:w="65" w:type="dxa"/>
              <w:bottom w:w="65" w:type="dxa"/>
              <w:left w:w="65" w:type="dxa"/>
              <w:right w:w="65" w:type="dxa"/>
            </w:tcMar>
          </w:tcPr>
          <w:p>
            <w:pPr>
              <w:spacing w:before="30" w:after="30" w:line="252" w:lineRule="auto"/>
            </w:pPr>
            <w:r>
              <w:rPr>
                <w:rFonts w:ascii="Arial" w:hAnsi="Arial" w:eastAsia="宋体"/>
                <w:b w:val="0"/>
                <w:i w:val="0"/>
                <w:sz w:val="19"/>
              </w:rPr>
              <w:t>dataDir、logDir、platform</w:t>
            </w:r>
          </w:p>
        </w:tc>
      </w:tr>
      <w:tr>
        <w:trPr>
          <w:cantSplit/>
        </w:trPr>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POST /api/open-data-dir</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cookie、CSRF、Origin；空 JSON</w:t>
            </w:r>
          </w:p>
        </w:tc>
        <w:tc>
          <w:tcPr>
            <w:tcW w:type="dxa" w:w="38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opened、固定 dataDir、中文 message</w:t>
            </w:r>
          </w:p>
        </w:tc>
      </w:tr>
      <w:tr>
        <w:trPr>
          <w:cantSplit/>
        </w:trPr>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POST /api/shutdown</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页面会话及 CSRF，或启动器专属头</w:t>
            </w:r>
          </w:p>
        </w:tc>
        <w:tc>
          <w:tcPr>
            <w:tcW w:type="dxa" w:w="3886"/>
            <w:vAlign w:val="top"/>
            <w:tcMar>
              <w:top w:w="65" w:type="dxa"/>
              <w:bottom w:w="65" w:type="dxa"/>
              <w:left w:w="65" w:type="dxa"/>
              <w:right w:w="65" w:type="dxa"/>
            </w:tcMar>
          </w:tcPr>
          <w:p>
            <w:pPr>
              <w:spacing w:before="30" w:after="30" w:line="252" w:lineRule="auto"/>
            </w:pPr>
            <w:r>
              <w:rPr>
                <w:rFonts w:ascii="Arial" w:hAnsi="Arial" w:eastAsia="宋体"/>
                <w:b w:val="0"/>
                <w:i w:val="0"/>
                <w:sz w:val="19"/>
              </w:rPr>
              <w:t>安全退出已受理；随后服务停止</w:t>
            </w:r>
          </w:p>
        </w:tc>
      </w:tr>
    </w:tbl>
    <w:p>
      <w:pPr>
        <w:spacing w:after="40"/>
      </w:pPr>
    </w:p>
    <w:p>
      <w:r>
        <w:rPr>
          <w:rFonts w:ascii="Arial" w:hAnsi="Arial" w:eastAsia="宋体"/>
          <w:b w:val="0"/>
          <w:i w:val="0"/>
        </w:rPr>
        <w:t>静态文件只允许从配置的静态根下读取，路径解析后必须仍在该根内。HTTP 服务检查 Host 与允许的 Origin，未提供跨源访问许可。请求 JSON 上限为 2,100,000 字节；浏览器文件输入也限制 2 MiB。达到文件上限时 JSON 包装仍可能超过正文上限，研发接口联调应留出封装空间。</w:t>
      </w:r>
    </w:p>
    <w:p>
      <w:pPr>
        <w:pStyle w:val="Heading2"/>
      </w:pPr>
      <w:bookmarkStart w:id="21" w:name="epm_21"/>
      <w:r>
        <w:rPr>
          <w:rFonts w:ascii="Arial" w:hAnsi="Arial" w:eastAsia="宋体"/>
          <w:b w:val="0"/>
          <w:i w:val="0"/>
        </w:rPr>
        <w:t>5.2 动作请求示例</w:t>
      </w:r>
      <w:bookmarkEnd w:id="21"/>
    </w:p>
    <w:p>
      <w:pPr>
        <w:spacing w:before="0" w:after="0" w:line="240" w:lineRule="auto"/>
        <w:ind w:left="113"/>
        <w:shd w:fill="F4F6FA"/>
      </w:pPr>
      <w:r>
        <w:rPr>
          <w:rFonts w:ascii="Consolas" w:hAnsi="Consolas" w:eastAsia="宋体"/>
          <w:sz w:val="16"/>
        </w:rPr>
        <w:t>{</w:t>
      </w:r>
    </w:p>
    <w:p>
      <w:pPr>
        <w:spacing w:before="0" w:after="0" w:line="240" w:lineRule="auto"/>
        <w:ind w:left="113"/>
        <w:shd w:fill="F4F6FA"/>
      </w:pPr>
      <w:r>
        <w:rPr>
          <w:rFonts w:ascii="Consolas" w:hAnsi="Consolas" w:eastAsia="宋体"/>
          <w:sz w:val="16"/>
        </w:rPr>
        <w:t xml:space="preserve">  "action": "budget_layer_save",</w:t>
      </w:r>
    </w:p>
    <w:p>
      <w:pPr>
        <w:spacing w:before="0" w:after="0" w:line="240" w:lineRule="auto"/>
        <w:ind w:left="113"/>
        <w:shd w:fill="F4F6FA"/>
      </w:pPr>
      <w:r>
        <w:rPr>
          <w:rFonts w:ascii="Consolas" w:hAnsi="Consolas" w:eastAsia="宋体"/>
          <w:sz w:val="16"/>
        </w:rPr>
        <w:t xml:space="preserve">  "payload": {"layer": 0, "amount": "16123.45"},</w:t>
      </w:r>
    </w:p>
    <w:p>
      <w:pPr>
        <w:spacing w:before="0" w:after="0" w:line="240" w:lineRule="auto"/>
        <w:ind w:left="113"/>
        <w:shd w:fill="F4F6FA"/>
      </w:pPr>
      <w:r>
        <w:rPr>
          <w:rFonts w:ascii="Consolas" w:hAnsi="Consolas" w:eastAsia="宋体"/>
          <w:sz w:val="16"/>
        </w:rPr>
        <w:t xml:space="preserve">  "revision": 12,</w:t>
      </w:r>
    </w:p>
    <w:p>
      <w:pPr>
        <w:spacing w:before="0" w:after="0" w:line="240" w:lineRule="auto"/>
        <w:ind w:left="113"/>
        <w:shd w:fill="F4F6FA"/>
      </w:pPr>
      <w:r>
        <w:rPr>
          <w:rFonts w:ascii="Consolas" w:hAnsi="Consolas" w:eastAsia="宋体"/>
          <w:sz w:val="16"/>
        </w:rPr>
        <w:t xml:space="preserve">  "context": {"group": "group", "month": 9, "currency": "CNY", "entity": "all"}</w:t>
      </w:r>
    </w:p>
    <w:p>
      <w:pPr>
        <w:spacing w:before="0" w:after="0" w:line="240" w:lineRule="auto"/>
        <w:ind w:left="113"/>
        <w:shd w:fill="F4F6FA"/>
      </w:pPr>
      <w:r>
        <w:rPr>
          <w:rFonts w:ascii="Consolas" w:hAnsi="Consolas" w:eastAsia="宋体"/>
          <w:sz w:val="16"/>
        </w:rPr>
        <w:t>}</w:t>
      </w:r>
    </w:p>
    <w:p>
      <w:pPr>
        <w:spacing w:after="20"/>
      </w:pPr>
    </w:p>
    <w:p>
      <w:r>
        <w:rPr>
          <w:rFonts w:ascii="Arial" w:hAnsi="Arial" w:eastAsia="宋体"/>
          <w:b w:val="0"/>
          <w:i w:val="0"/>
        </w:rPr>
        <w:t>示例 revision=12 仅表示格式，实际必须使用最近一次 bootstrap 返回值。请求头为 Content-Type: application/json、X-CSRF-Token: &lt;当前会话占位值&gt; 和合法同源 Origin，cookie 由浏览器自动附带。不能把示例中的版本号或凭据字符串硬编码到产品。</w:t>
      </w:r>
    </w:p>
    <w:p>
      <w:r>
        <w:rPr>
          <w:rFonts w:ascii="Arial" w:hAnsi="Arial" w:eastAsia="宋体"/>
          <w:b w:val="0"/>
          <w:i w:val="0"/>
        </w:rPr>
        <w:t xml:space="preserve">错误响应格式为 </w:t>
      </w:r>
      <w:r>
        <w:rPr>
          <w:rFonts w:ascii="Consolas" w:hAnsi="Consolas" w:eastAsia="宋体"/>
          <w:b w:val="0"/>
          <w:i w:val="0"/>
          <w:sz w:val="18"/>
        </w:rPr>
        <w:t>{error:{code,message},message}</w:t>
      </w:r>
      <w:r>
        <w:rPr>
          <w:rFonts w:ascii="Arial" w:hAnsi="Arial" w:eastAsia="宋体"/>
          <w:b w:val="0"/>
          <w:i w:val="0"/>
        </w:rPr>
        <w:t>。解析时先读取 error.code 决定是否属于版本冲突，再展示 message。客户端不提交整个 state，也不以角色名字段伪造当前会话身份。</w:t>
      </w:r>
    </w:p>
    <w:p>
      <w:pPr>
        <w:pStyle w:val="Heading2"/>
      </w:pPr>
      <w:bookmarkStart w:id="22" w:name="epm_22"/>
      <w:r>
        <w:rPr>
          <w:rFonts w:ascii="Arial" w:hAnsi="Arial" w:eastAsia="宋体"/>
          <w:b w:val="0"/>
          <w:i w:val="0"/>
        </w:rPr>
        <w:t>5.3 业务动作字段分类</w:t>
      </w:r>
      <w:bookmarkEnd w:id="22"/>
    </w:p>
    <w:tbl>
      <w:tblPr>
        <w:tblStyle w:val="TableGrid"/>
        <w:tblW w:type="auto" w:w="0"/>
        <w:jc w:val="center"/>
        <w:tblLayout w:type="fixed"/>
        <w:tblLook w:firstColumn="1" w:firstRow="1" w:lastColumn="0" w:lastRow="0" w:noHBand="0" w:noVBand="1" w:val="04A0"/>
      </w:tblPr>
      <w:tblGrid>
        <w:gridCol w:w="2293"/>
        <w:gridCol w:w="3761"/>
        <w:gridCol w:w="3584"/>
      </w:tblGrid>
      <w:tr>
        <w:trPr>
          <w:cantSplit/>
          <w:tblHeader w:val="true"/>
        </w:trPr>
        <w:tc>
          <w:tcPr>
            <w:tcW w:type="dxa" w:w="22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动作</w:t>
            </w:r>
          </w:p>
        </w:tc>
        <w:tc>
          <w:tcPr>
            <w:tcW w:type="dxa" w:w="37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 payload</w:t>
            </w:r>
          </w:p>
        </w:tc>
        <w:tc>
          <w:tcPr>
            <w:tcW w:type="dxa" w:w="35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服务器约束或结果</w:t>
            </w:r>
          </w:p>
        </w:tc>
      </w:tr>
      <w:tr>
        <w:trPr>
          <w:cantSplit/>
        </w:trPr>
        <w:tc>
          <w:tcPr>
            <w:tcW w:type="dxa" w:w="2293"/>
            <w:vAlign w:val="top"/>
            <w:tcMar>
              <w:top w:w="65" w:type="dxa"/>
              <w:bottom w:w="65" w:type="dxa"/>
              <w:left w:w="65" w:type="dxa"/>
              <w:right w:w="65" w:type="dxa"/>
            </w:tcMar>
          </w:tcPr>
          <w:p>
            <w:pPr>
              <w:spacing w:before="30" w:after="30" w:line="252" w:lineRule="auto"/>
            </w:pPr>
            <w:r>
              <w:rPr>
                <w:rFonts w:ascii="Arial" w:hAnsi="Arial" w:eastAsia="宋体"/>
                <w:b w:val="0"/>
                <w:i w:val="0"/>
                <w:sz w:val="19"/>
              </w:rPr>
              <w:t>role_switch</w:t>
            </w:r>
          </w:p>
        </w:tc>
        <w:tc>
          <w:tcPr>
            <w:tcW w:type="dxa" w:w="3761"/>
            <w:vAlign w:val="top"/>
            <w:tcMar>
              <w:top w:w="65" w:type="dxa"/>
              <w:bottom w:w="65" w:type="dxa"/>
              <w:left w:w="65" w:type="dxa"/>
              <w:right w:w="65" w:type="dxa"/>
            </w:tcMar>
          </w:tcPr>
          <w:p>
            <w:pPr>
              <w:spacing w:before="30" w:after="30" w:line="252" w:lineRule="auto"/>
            </w:pPr>
            <w:r>
              <w:rPr>
                <w:rFonts w:ascii="Arial" w:hAnsi="Arial" w:eastAsia="宋体"/>
                <w:b w:val="0"/>
                <w:i w:val="0"/>
                <w:sz w:val="19"/>
              </w:rPr>
              <w:t>role</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三种演示角色；只改会话，不增加业务 revision 或审计行</w:t>
            </w:r>
          </w:p>
        </w:tc>
      </w:tr>
      <w:tr>
        <w:trPr>
          <w:cantSplit/>
        </w:trPr>
        <w:tc>
          <w:tcPr>
            <w:tcW w:type="dxa" w:w="2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entity_save</w:t>
            </w:r>
          </w:p>
        </w:tc>
        <w:tc>
          <w:tcPr>
            <w:tcW w:type="dxa" w:w="37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id、code、name、short、owner、currency</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负责人；法人标识格式与编码唯一；本位币为人民币</w:t>
            </w:r>
          </w:p>
        </w:tc>
      </w:tr>
      <w:tr>
        <w:trPr>
          <w:cantSplit/>
        </w:trPr>
        <w:tc>
          <w:tcPr>
            <w:tcW w:type="dxa" w:w="2293"/>
            <w:vAlign w:val="top"/>
            <w:tcMar>
              <w:top w:w="65" w:type="dxa"/>
              <w:bottom w:w="65" w:type="dxa"/>
              <w:left w:w="65" w:type="dxa"/>
              <w:right w:w="65" w:type="dxa"/>
            </w:tcMar>
          </w:tcPr>
          <w:p>
            <w:pPr>
              <w:spacing w:before="30" w:after="30" w:line="252" w:lineRule="auto"/>
            </w:pPr>
            <w:r>
              <w:rPr>
                <w:rFonts w:ascii="Arial" w:hAnsi="Arial" w:eastAsia="宋体"/>
                <w:b w:val="0"/>
                <w:i w:val="0"/>
                <w:sz w:val="19"/>
              </w:rPr>
              <w:t>account_save</w:t>
            </w:r>
          </w:p>
        </w:tc>
        <w:tc>
          <w:tcPr>
            <w:tcW w:type="dxa" w:w="3761"/>
            <w:vAlign w:val="top"/>
            <w:tcMar>
              <w:top w:w="65" w:type="dxa"/>
              <w:bottom w:w="65" w:type="dxa"/>
              <w:left w:w="65" w:type="dxa"/>
              <w:right w:w="65" w:type="dxa"/>
            </w:tcMar>
          </w:tcPr>
          <w:p>
            <w:pPr>
              <w:spacing w:before="30" w:after="30" w:line="252" w:lineRule="auto"/>
            </w:pPr>
            <w:r>
              <w:rPr>
                <w:rFonts w:ascii="Arial" w:hAnsi="Arial" w:eastAsia="宋体"/>
                <w:b w:val="0"/>
                <w:i w:val="0"/>
                <w:sz w:val="19"/>
              </w:rPr>
              <w:t>code、name、type、field、normalSide</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负责人；类别、内置字段和借贷方向均受限</w:t>
            </w:r>
          </w:p>
        </w:tc>
      </w:tr>
      <w:tr>
        <w:trPr>
          <w:cantSplit/>
        </w:trPr>
        <w:tc>
          <w:tcPr>
            <w:tcW w:type="dxa" w:w="2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rate_save</w:t>
            </w:r>
          </w:p>
        </w:tc>
        <w:tc>
          <w:tcPr>
            <w:tcW w:type="dxa" w:w="37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currency、rate</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负责人；仅 USD；大于 0，最多 6 位小数，不超过 1,000,000</w:t>
            </w:r>
          </w:p>
        </w:tc>
      </w:tr>
      <w:tr>
        <w:trPr>
          <w:cantSplit/>
        </w:trPr>
        <w:tc>
          <w:tcPr>
            <w:tcW w:type="dxa" w:w="2293"/>
            <w:vAlign w:val="top"/>
            <w:tcMar>
              <w:top w:w="65" w:type="dxa"/>
              <w:bottom w:w="65" w:type="dxa"/>
              <w:left w:w="65" w:type="dxa"/>
              <w:right w:w="65" w:type="dxa"/>
            </w:tcMar>
          </w:tcPr>
          <w:p>
            <w:pPr>
              <w:spacing w:before="30" w:after="30" w:line="252" w:lineRule="auto"/>
            </w:pPr>
            <w:r>
              <w:rPr>
                <w:rFonts w:ascii="Arial" w:hAnsi="Arial" w:eastAsia="宋体"/>
                <w:b w:val="0"/>
                <w:i w:val="0"/>
                <w:sz w:val="19"/>
              </w:rPr>
              <w:t>tb_import</w:t>
            </w:r>
          </w:p>
        </w:tc>
        <w:tc>
          <w:tcPr>
            <w:tcW w:type="dxa" w:w="3761"/>
            <w:vAlign w:val="top"/>
            <w:tcMar>
              <w:top w:w="65" w:type="dxa"/>
              <w:bottom w:w="65" w:type="dxa"/>
              <w:left w:w="65" w:type="dxa"/>
              <w:right w:w="65" w:type="dxa"/>
            </w:tcMar>
          </w:tcPr>
          <w:p>
            <w:pPr>
              <w:spacing w:before="30" w:after="30" w:line="252" w:lineRule="auto"/>
            </w:pPr>
            <w:r>
              <w:rPr>
                <w:rFonts w:ascii="Arial" w:hAnsi="Arial" w:eastAsia="宋体"/>
                <w:b w:val="0"/>
                <w:i w:val="0"/>
                <w:sz w:val="19"/>
              </w:rPr>
              <w:t>csv、sourceName</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法人及科目存在、期间一致、整套借贷平衡；整批提交</w:t>
            </w:r>
          </w:p>
        </w:tc>
      </w:tr>
      <w:tr>
        <w:trPr>
          <w:cantSplit/>
        </w:trPr>
        <w:tc>
          <w:tcPr>
            <w:tcW w:type="dxa" w:w="2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journal_create</w:t>
            </w:r>
          </w:p>
        </w:tc>
        <w:tc>
          <w:tcPr>
            <w:tcW w:type="dxa" w:w="37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title、kind、reason、lines、cashflowCategory</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平衡分录草稿；含现金变动须选择类别</w:t>
            </w:r>
          </w:p>
        </w:tc>
      </w:tr>
      <w:tr>
        <w:trPr>
          <w:cantSplit/>
        </w:trPr>
        <w:tc>
          <w:tcPr>
            <w:tcW w:type="dxa" w:w="2293"/>
            <w:vAlign w:val="top"/>
            <w:tcMar>
              <w:top w:w="65" w:type="dxa"/>
              <w:bottom w:w="65" w:type="dxa"/>
              <w:left w:w="65" w:type="dxa"/>
              <w:right w:w="65" w:type="dxa"/>
            </w:tcMar>
          </w:tcPr>
          <w:p>
            <w:pPr>
              <w:spacing w:before="30" w:after="30" w:line="252" w:lineRule="auto"/>
            </w:pPr>
            <w:r>
              <w:rPr>
                <w:rFonts w:ascii="Arial" w:hAnsi="Arial" w:eastAsia="宋体"/>
                <w:b w:val="0"/>
                <w:i w:val="0"/>
                <w:sz w:val="19"/>
              </w:rPr>
              <w:t>journal_approve</w:t>
            </w:r>
          </w:p>
        </w:tc>
        <w:tc>
          <w:tcPr>
            <w:tcW w:type="dxa" w:w="3761"/>
            <w:vAlign w:val="top"/>
            <w:tcMar>
              <w:top w:w="65" w:type="dxa"/>
              <w:bottom w:w="65" w:type="dxa"/>
              <w:left w:w="65" w:type="dxa"/>
              <w:right w:w="65" w:type="dxa"/>
            </w:tcMar>
          </w:tcPr>
          <w:p>
            <w:pPr>
              <w:spacing w:before="30" w:after="30" w:line="252" w:lineRule="auto"/>
            </w:pPr>
            <w:r>
              <w:rPr>
                <w:rFonts w:ascii="Arial" w:hAnsi="Arial" w:eastAsia="宋体"/>
                <w:b w:val="0"/>
                <w:i w:val="0"/>
                <w:sz w:val="19"/>
              </w:rPr>
              <w:t>id</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负责人；草稿审批后才纳入报表，并使当月旧校验失效</w:t>
            </w:r>
          </w:p>
        </w:tc>
      </w:tr>
      <w:tr>
        <w:trPr>
          <w:cantSplit/>
        </w:trPr>
        <w:tc>
          <w:tcPr>
            <w:tcW w:type="dxa" w:w="2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submission_confirm</w:t>
            </w:r>
          </w:p>
        </w:tc>
        <w:tc>
          <w:tcPr>
            <w:tcW w:type="dxa" w:w="37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空对象</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财务勾稽通过后确认当前月报送</w:t>
            </w:r>
          </w:p>
        </w:tc>
      </w:tr>
      <w:tr>
        <w:trPr>
          <w:cantSplit/>
        </w:trPr>
        <w:tc>
          <w:tcPr>
            <w:tcW w:type="dxa" w:w="2293"/>
            <w:vAlign w:val="top"/>
            <w:tcMar>
              <w:top w:w="65" w:type="dxa"/>
              <w:bottom w:w="65" w:type="dxa"/>
              <w:left w:w="65" w:type="dxa"/>
              <w:right w:w="65" w:type="dxa"/>
            </w:tcMar>
          </w:tcPr>
          <w:p>
            <w:pPr>
              <w:spacing w:before="30" w:after="30" w:line="252" w:lineRule="auto"/>
            </w:pPr>
            <w:r>
              <w:rPr>
                <w:rFonts w:ascii="Arial" w:hAnsi="Arial" w:eastAsia="宋体"/>
                <w:b w:val="0"/>
                <w:i w:val="0"/>
                <w:sz w:val="19"/>
              </w:rPr>
              <w:t>ic_confirm</w:t>
            </w:r>
          </w:p>
        </w:tc>
        <w:tc>
          <w:tcPr>
            <w:tcW w:type="dxa" w:w="3761"/>
            <w:vAlign w:val="top"/>
            <w:tcMar>
              <w:top w:w="65" w:type="dxa"/>
              <w:bottom w:w="65" w:type="dxa"/>
              <w:left w:w="65" w:type="dxa"/>
              <w:right w:w="65" w:type="dxa"/>
            </w:tcMar>
          </w:tcPr>
          <w:p>
            <w:pPr>
              <w:spacing w:before="30" w:after="30" w:line="252" w:lineRule="auto"/>
            </w:pPr>
            <w:r>
              <w:rPr>
                <w:rFonts w:ascii="Arial" w:hAnsi="Arial" w:eastAsia="宋体"/>
                <w:b w:val="0"/>
                <w:i w:val="0"/>
                <w:sz w:val="19"/>
              </w:rPr>
              <w:t>reason</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核对说明必填；保存确认标识</w:t>
            </w:r>
          </w:p>
        </w:tc>
      </w:tr>
      <w:tr>
        <w:trPr>
          <w:cantSplit/>
        </w:trPr>
        <w:tc>
          <w:tcPr>
            <w:tcW w:type="dxa" w:w="2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commentary_save</w:t>
            </w:r>
          </w:p>
        </w:tc>
        <w:tc>
          <w:tcPr>
            <w:tcW w:type="dxa" w:w="37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text</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经营说明必填，最多 3,000 字</w:t>
            </w:r>
          </w:p>
        </w:tc>
      </w:tr>
      <w:tr>
        <w:trPr>
          <w:cantSplit/>
        </w:trPr>
        <w:tc>
          <w:tcPr>
            <w:tcW w:type="dxa" w:w="2293"/>
            <w:vAlign w:val="top"/>
            <w:tcMar>
              <w:top w:w="65" w:type="dxa"/>
              <w:bottom w:w="65" w:type="dxa"/>
              <w:left w:w="65" w:type="dxa"/>
              <w:right w:w="65" w:type="dxa"/>
            </w:tcMar>
          </w:tcPr>
          <w:p>
            <w:pPr>
              <w:spacing w:before="30" w:after="30" w:line="252" w:lineRule="auto"/>
            </w:pPr>
            <w:r>
              <w:rPr>
                <w:rFonts w:ascii="Arial" w:hAnsi="Arial" w:eastAsia="宋体"/>
                <w:b w:val="0"/>
                <w:i w:val="0"/>
                <w:sz w:val="19"/>
              </w:rPr>
              <w:t>checks_run</w:t>
            </w:r>
          </w:p>
        </w:tc>
        <w:tc>
          <w:tcPr>
            <w:tcW w:type="dxa" w:w="3761"/>
            <w:vAlign w:val="top"/>
            <w:tcMar>
              <w:top w:w="65" w:type="dxa"/>
              <w:bottom w:w="65" w:type="dxa"/>
              <w:left w:w="65" w:type="dxa"/>
              <w:right w:w="65" w:type="dxa"/>
            </w:tcMar>
          </w:tcPr>
          <w:p>
            <w:pPr>
              <w:spacing w:before="30" w:after="30" w:line="252" w:lineRule="auto"/>
            </w:pPr>
            <w:r>
              <w:rPr>
                <w:rFonts w:ascii="Arial" w:hAnsi="Arial" w:eastAsia="宋体"/>
                <w:b w:val="0"/>
                <w:i w:val="0"/>
                <w:sz w:val="19"/>
              </w:rPr>
              <w:t>空对象</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重算真实财务勾稽并记录源指纹</w:t>
            </w:r>
          </w:p>
        </w:tc>
      </w:tr>
      <w:tr>
        <w:trPr>
          <w:cantSplit/>
        </w:trPr>
        <w:tc>
          <w:tcPr>
            <w:tcW w:type="dxa" w:w="2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signoff</w:t>
            </w:r>
          </w:p>
        </w:tc>
        <w:tc>
          <w:tcPr>
            <w:tcW w:type="dxa" w:w="37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空对象</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负责人；四项前置完成、指纹仍有效且勾稽通过</w:t>
            </w:r>
          </w:p>
        </w:tc>
      </w:tr>
      <w:tr>
        <w:trPr>
          <w:cantSplit/>
        </w:trPr>
        <w:tc>
          <w:tcPr>
            <w:tcW w:type="dxa" w:w="2293"/>
            <w:vAlign w:val="top"/>
            <w:tcMar>
              <w:top w:w="65" w:type="dxa"/>
              <w:bottom w:w="65" w:type="dxa"/>
              <w:left w:w="65" w:type="dxa"/>
              <w:right w:w="65" w:type="dxa"/>
            </w:tcMar>
          </w:tcPr>
          <w:p>
            <w:pPr>
              <w:spacing w:before="30" w:after="30" w:line="252" w:lineRule="auto"/>
            </w:pPr>
            <w:r>
              <w:rPr>
                <w:rFonts w:ascii="Arial" w:hAnsi="Arial" w:eastAsia="宋体"/>
                <w:b w:val="0"/>
                <w:i w:val="0"/>
                <w:sz w:val="19"/>
              </w:rPr>
              <w:t>period_reopen</w:t>
            </w:r>
          </w:p>
        </w:tc>
        <w:tc>
          <w:tcPr>
            <w:tcW w:type="dxa" w:w="3761"/>
            <w:vAlign w:val="top"/>
            <w:tcMar>
              <w:top w:w="65" w:type="dxa"/>
              <w:bottom w:w="65" w:type="dxa"/>
              <w:left w:w="65" w:type="dxa"/>
              <w:right w:w="65" w:type="dxa"/>
            </w:tcMar>
          </w:tcPr>
          <w:p>
            <w:pPr>
              <w:spacing w:before="30" w:after="30" w:line="252" w:lineRule="auto"/>
            </w:pPr>
            <w:r>
              <w:rPr>
                <w:rFonts w:ascii="Arial" w:hAnsi="Arial" w:eastAsia="宋体"/>
                <w:b w:val="0"/>
                <w:i w:val="0"/>
                <w:sz w:val="19"/>
              </w:rPr>
              <w:t>reason</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负责人；原因必填，使签核与旧确认失效</w:t>
            </w:r>
          </w:p>
        </w:tc>
      </w:tr>
      <w:tr>
        <w:trPr>
          <w:cantSplit/>
        </w:trPr>
        <w:tc>
          <w:tcPr>
            <w:tcW w:type="dxa" w:w="22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settings_save</w:t>
            </w:r>
          </w:p>
        </w:tc>
        <w:tc>
          <w:tcPr>
            <w:tcW w:type="dxa" w:w="37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companyName、fiscalYear</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负责人；公司名可改，会计年度必须为 2026</w:t>
            </w:r>
          </w:p>
        </w:tc>
      </w:tr>
    </w:tbl>
    <w:p>
      <w:pPr>
        <w:spacing w:after="40"/>
      </w:pPr>
    </w:p>
    <w:tbl>
      <w:tblPr>
        <w:tblStyle w:val="TableGrid"/>
        <w:tblW w:type="auto" w:w="0"/>
        <w:jc w:val="center"/>
        <w:tblLayout w:type="fixed"/>
        <w:tblLook w:firstColumn="1" w:firstRow="1" w:lastColumn="0" w:lastRow="0" w:noHBand="0" w:noVBand="1" w:val="04A0"/>
      </w:tblPr>
      <w:tblGrid>
        <w:gridCol w:w="3245"/>
        <w:gridCol w:w="3148"/>
        <w:gridCol w:w="3245"/>
      </w:tblGrid>
      <w:tr>
        <w:trPr>
          <w:cantSplit/>
          <w:tblHeader w:val="true"/>
        </w:trPr>
        <w:tc>
          <w:tcPr>
            <w:tcW w:type="dxa" w:w="324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预算动作</w:t>
            </w:r>
          </w:p>
        </w:tc>
        <w:tc>
          <w:tcPr>
            <w:tcW w:type="dxa" w:w="31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 payload</w:t>
            </w:r>
          </w:p>
        </w:tc>
        <w:tc>
          <w:tcPr>
            <w:tcW w:type="dxa" w:w="324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结果</w:t>
            </w:r>
          </w:p>
        </w:tc>
      </w:tr>
      <w:tr>
        <w:trPr>
          <w:cantSplit/>
        </w:trPr>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budget_layer_save</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layer 0—3、amount</w:t>
            </w:r>
          </w:p>
        </w:tc>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修改当前草稿四层之一</w:t>
            </w:r>
          </w:p>
        </w:tc>
      </w:tr>
      <w:tr>
        <w:trPr>
          <w:cantSplit/>
        </w:trPr>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budget_spread</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spread=even／seasonal</w:t>
            </w:r>
          </w:p>
        </w:tc>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保存全年分摊方案</w:t>
            </w:r>
          </w:p>
        </w:tc>
      </w:tr>
      <w:tr>
        <w:trPr>
          <w:cantSplit/>
        </w:trPr>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budget_driver</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volume、price</w:t>
            </w:r>
          </w:p>
        </w:tc>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数量为非负整数；量价目标调整最后一层</w:t>
            </w:r>
          </w:p>
        </w:tc>
      </w:tr>
      <w:tr>
        <w:trPr>
          <w:cantSplit/>
        </w:trPr>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budget_plan_save</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type、rows</w:t>
            </w:r>
          </w:p>
        </w:tc>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七类业务明细；每行金额等于数量×单价</w:t>
            </w:r>
          </w:p>
        </w:tc>
      </w:tr>
      <w:tr>
        <w:trPr>
          <w:cantSplit/>
        </w:trPr>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budget_submit</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空对象</w:t>
            </w:r>
          </w:p>
        </w:tc>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编制中转审核中</w:t>
            </w:r>
          </w:p>
        </w:tc>
      </w:tr>
      <w:tr>
        <w:trPr>
          <w:cantSplit/>
        </w:trPr>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budget_approve</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空对象</w:t>
            </w:r>
          </w:p>
        </w:tc>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负责人将审核中转已审批</w:t>
            </w:r>
          </w:p>
        </w:tc>
      </w:tr>
      <w:tr>
        <w:trPr>
          <w:cantSplit/>
        </w:trPr>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budget_lock</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空对象</w:t>
            </w:r>
          </w:p>
        </w:tc>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负责人将已审批转已锁定</w:t>
            </w:r>
          </w:p>
        </w:tc>
      </w:tr>
      <w:tr>
        <w:trPr>
          <w:cantSplit/>
        </w:trPr>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budget_copy</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name、scenario</w:t>
            </w:r>
          </w:p>
        </w:tc>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完整快照复制为独立编制中版本，并切换</w:t>
            </w:r>
          </w:p>
        </w:tc>
      </w:tr>
      <w:tr>
        <w:trPr>
          <w:cantSplit/>
        </w:trPr>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budget_switch</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name</w:t>
            </w:r>
          </w:p>
        </w:tc>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恢复已保存版本的层次、状态、分摊和业务明细</w:t>
            </w:r>
          </w:p>
        </w:tc>
      </w:tr>
      <w:tr>
        <w:trPr>
          <w:cantSplit/>
        </w:trPr>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budget_adjust_create</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layer、delta、reason</w:t>
            </w:r>
          </w:p>
        </w:tc>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创建带原版快照的待审批调整</w:t>
            </w:r>
          </w:p>
        </w:tc>
      </w:tr>
      <w:tr>
        <w:trPr>
          <w:cantSplit/>
        </w:trPr>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budget_adjust_approve</w:t>
            </w:r>
          </w:p>
        </w:tc>
        <w:tc>
          <w:tcPr>
            <w:tcW w:type="dxa" w:w="3148"/>
            <w:vAlign w:val="top"/>
            <w:tcMar>
              <w:top w:w="65" w:type="dxa"/>
              <w:bottom w:w="65" w:type="dxa"/>
              <w:left w:w="65" w:type="dxa"/>
              <w:right w:w="65" w:type="dxa"/>
            </w:tcMar>
          </w:tcPr>
          <w:p>
            <w:pPr>
              <w:spacing w:before="30" w:after="30" w:line="252" w:lineRule="auto"/>
            </w:pPr>
            <w:r>
              <w:rPr>
                <w:rFonts w:ascii="Arial" w:hAnsi="Arial" w:eastAsia="宋体"/>
                <w:b w:val="0"/>
                <w:i w:val="0"/>
                <w:sz w:val="19"/>
              </w:rPr>
              <w:t>id</w:t>
            </w:r>
          </w:p>
        </w:tc>
        <w:tc>
          <w:tcPr>
            <w:tcW w:type="dxa" w:w="3245"/>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负责人批准并生成独立已审批版本</w:t>
            </w:r>
          </w:p>
        </w:tc>
      </w:tr>
      <w:tr>
        <w:trPr>
          <w:cantSplit/>
        </w:trPr>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budget_adjust_reject</w:t>
            </w:r>
          </w:p>
        </w:tc>
        <w:tc>
          <w:tcPr>
            <w:tcW w:type="dxa" w:w="31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id、reason</w:t>
            </w:r>
          </w:p>
        </w:tc>
        <w:tc>
          <w:tcPr>
            <w:tcW w:type="dxa" w:w="32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负责人退回该调整，原预算不因此变更</w:t>
            </w:r>
          </w:p>
        </w:tc>
      </w:tr>
    </w:tbl>
    <w:p>
      <w:pPr>
        <w:spacing w:after="40"/>
      </w:pPr>
    </w:p>
    <w:p>
      <w:pPr>
        <w:pStyle w:val="Heading2"/>
      </w:pPr>
      <w:bookmarkStart w:id="23" w:name="epm_23"/>
      <w:r>
        <w:rPr>
          <w:rFonts w:ascii="Arial" w:hAnsi="Arial" w:eastAsia="宋体"/>
          <w:b w:val="0"/>
          <w:i w:val="0"/>
        </w:rPr>
        <w:t>5.4 bootstrap 关键字段</w:t>
      </w:r>
      <w:bookmarkEnd w:id="23"/>
    </w:p>
    <w:tbl>
      <w:tblPr>
        <w:tblStyle w:val="TableGrid"/>
        <w:tblW w:type="auto" w:w="0"/>
        <w:jc w:val="center"/>
        <w:tblLayout w:type="fixed"/>
        <w:tblLook w:firstColumn="1" w:firstRow="1" w:lastColumn="0" w:lastRow="0" w:noHBand="0" w:noVBand="1" w:val="04A0"/>
      </w:tblPr>
      <w:tblGrid>
        <w:gridCol w:w="2845"/>
        <w:gridCol w:w="2088"/>
        <w:gridCol w:w="4704"/>
      </w:tblGrid>
      <w:tr>
        <w:trPr>
          <w:cantSplit/>
          <w:tblHeader w:val="true"/>
        </w:trPr>
        <w:tc>
          <w:tcPr>
            <w:tcW w:type="dxa" w:w="284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w:t>
            </w:r>
          </w:p>
        </w:tc>
        <w:tc>
          <w:tcPr>
            <w:tcW w:type="dxa" w:w="20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类型／含义</w:t>
            </w:r>
          </w:p>
        </w:tc>
        <w:tc>
          <w:tcPr>
            <w:tcW w:type="dxa" w:w="47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消费原则</w:t>
            </w:r>
          </w:p>
        </w:tc>
      </w:tr>
      <w:tr>
        <w:trPr>
          <w:cantSplit/>
        </w:trPr>
        <w:tc>
          <w:tcPr>
            <w:tcW w:type="dxa" w:w="2845"/>
            <w:vAlign w:val="top"/>
            <w:tcMar>
              <w:top w:w="65" w:type="dxa"/>
              <w:bottom w:w="65" w:type="dxa"/>
              <w:left w:w="65" w:type="dxa"/>
              <w:right w:w="65" w:type="dxa"/>
            </w:tcMar>
          </w:tcPr>
          <w:p>
            <w:pPr>
              <w:spacing w:before="30" w:after="30" w:line="252" w:lineRule="auto"/>
            </w:pPr>
            <w:r>
              <w:rPr>
                <w:rFonts w:ascii="Arial" w:hAnsi="Arial" w:eastAsia="宋体"/>
                <w:b w:val="0"/>
                <w:i w:val="0"/>
                <w:sz w:val="19"/>
              </w:rPr>
              <w:t>revision</w:t>
            </w:r>
          </w:p>
        </w:tc>
        <w:tc>
          <w:tcPr>
            <w:tcW w:type="dxa" w:w="2088"/>
            <w:vAlign w:val="top"/>
            <w:tcMar>
              <w:top w:w="65" w:type="dxa"/>
              <w:bottom w:w="65" w:type="dxa"/>
              <w:left w:w="65" w:type="dxa"/>
              <w:right w:w="65" w:type="dxa"/>
            </w:tcMar>
          </w:tcPr>
          <w:p>
            <w:pPr>
              <w:spacing w:before="30" w:after="30" w:line="252" w:lineRule="auto"/>
            </w:pPr>
            <w:r>
              <w:rPr>
                <w:rFonts w:ascii="Arial" w:hAnsi="Arial" w:eastAsia="宋体"/>
                <w:b w:val="0"/>
                <w:i w:val="0"/>
                <w:sz w:val="19"/>
              </w:rPr>
              <w:t>整数，全库业务版本</w:t>
            </w:r>
          </w:p>
        </w:tc>
        <w:tc>
          <w:tcPr>
            <w:tcW w:type="dxa" w:w="4704"/>
            <w:vAlign w:val="top"/>
            <w:tcMar>
              <w:top w:w="65" w:type="dxa"/>
              <w:bottom w:w="65" w:type="dxa"/>
              <w:left w:w="65" w:type="dxa"/>
              <w:right w:w="65" w:type="dxa"/>
            </w:tcMar>
          </w:tcPr>
          <w:p>
            <w:pPr>
              <w:spacing w:before="30" w:after="30" w:line="252" w:lineRule="auto"/>
            </w:pPr>
            <w:r>
              <w:rPr>
                <w:rFonts w:ascii="Arial" w:hAnsi="Arial" w:eastAsia="宋体"/>
                <w:b w:val="0"/>
                <w:i w:val="0"/>
                <w:sz w:val="19"/>
              </w:rPr>
              <w:t>所有持久化动作带回；不能按页面自行加一</w:t>
            </w:r>
          </w:p>
        </w:tc>
      </w:tr>
      <w:tr>
        <w:trPr>
          <w:cantSplit/>
        </w:trPr>
        <w:tc>
          <w:tcPr>
            <w:tcW w:type="dxa" w:w="28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companyName、settings</w:t>
            </w:r>
          </w:p>
        </w:tc>
        <w:tc>
          <w:tcPr>
            <w:tcW w:type="dxa" w:w="20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公司及固定年度、语言、单位</w:t>
            </w:r>
          </w:p>
        </w:tc>
        <w:tc>
          <w:tcPr>
            <w:tcW w:type="dxa" w:w="47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用于抬头与上下文；不可另保留失效硬编码</w:t>
            </w:r>
          </w:p>
        </w:tc>
      </w:tr>
      <w:tr>
        <w:trPr>
          <w:cantSplit/>
        </w:trPr>
        <w:tc>
          <w:tcPr>
            <w:tcW w:type="dxa" w:w="2845"/>
            <w:vAlign w:val="top"/>
            <w:tcMar>
              <w:top w:w="65" w:type="dxa"/>
              <w:bottom w:w="65" w:type="dxa"/>
              <w:left w:w="65" w:type="dxa"/>
              <w:right w:w="65" w:type="dxa"/>
            </w:tcMar>
          </w:tcPr>
          <w:p>
            <w:pPr>
              <w:spacing w:before="30" w:after="30" w:line="252" w:lineRule="auto"/>
            </w:pPr>
            <w:r>
              <w:rPr>
                <w:rFonts w:ascii="Arial" w:hAnsi="Arial" w:eastAsia="宋体"/>
                <w:b w:val="0"/>
                <w:i w:val="0"/>
                <w:sz w:val="19"/>
              </w:rPr>
              <w:t>sessionRole、capabilities</w:t>
            </w:r>
          </w:p>
        </w:tc>
        <w:tc>
          <w:tcPr>
            <w:tcW w:type="dxa" w:w="2088"/>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当前服务器会话角色与允许能力</w:t>
            </w:r>
          </w:p>
        </w:tc>
        <w:tc>
          <w:tcPr>
            <w:tcW w:type="dxa" w:w="4704"/>
            <w:vAlign w:val="top"/>
            <w:tcMar>
              <w:top w:w="65" w:type="dxa"/>
              <w:bottom w:w="65" w:type="dxa"/>
              <w:left w:w="65" w:type="dxa"/>
              <w:right w:w="65" w:type="dxa"/>
            </w:tcMar>
          </w:tcPr>
          <w:p>
            <w:pPr>
              <w:spacing w:before="30" w:after="30" w:line="252" w:lineRule="auto"/>
            </w:pPr>
            <w:r>
              <w:rPr>
                <w:rFonts w:ascii="Arial" w:hAnsi="Arial" w:eastAsia="宋体"/>
                <w:b w:val="0"/>
                <w:i w:val="0"/>
                <w:sz w:val="19"/>
              </w:rPr>
              <w:t>前端可据此提示，后端仍独立授权</w:t>
            </w:r>
          </w:p>
        </w:tc>
      </w:tr>
      <w:tr>
        <w:trPr>
          <w:cantSplit/>
        </w:trPr>
        <w:tc>
          <w:tcPr>
            <w:tcW w:type="dxa" w:w="28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entities、accounts、rates</w:t>
            </w:r>
          </w:p>
        </w:tc>
        <w:tc>
          <w:tcPr>
            <w:tcW w:type="dxa" w:w="20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法人、科目映射和展示汇率</w:t>
            </w:r>
          </w:p>
        </w:tc>
        <w:tc>
          <w:tcPr>
            <w:tcW w:type="dxa" w:w="47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基础数据与报表源值分开识别</w:t>
            </w:r>
          </w:p>
        </w:tc>
      </w:tr>
      <w:tr>
        <w:trPr>
          <w:cantSplit/>
        </w:trPr>
        <w:tc>
          <w:tcPr>
            <w:tcW w:type="dxa" w:w="2845"/>
            <w:vAlign w:val="top"/>
            <w:tcMar>
              <w:top w:w="65" w:type="dxa"/>
              <w:bottom w:w="65" w:type="dxa"/>
              <w:left w:w="65" w:type="dxa"/>
              <w:right w:w="65" w:type="dxa"/>
            </w:tcMar>
          </w:tcPr>
          <w:p>
            <w:pPr>
              <w:spacing w:before="30" w:after="30" w:line="252" w:lineRule="auto"/>
            </w:pPr>
            <w:r>
              <w:rPr>
                <w:rFonts w:ascii="Arial" w:hAnsi="Arial" w:eastAsia="宋体"/>
                <w:b w:val="0"/>
                <w:i w:val="0"/>
                <w:sz w:val="19"/>
              </w:rPr>
              <w:t>trialBalances</w:t>
            </w:r>
          </w:p>
        </w:tc>
        <w:tc>
          <w:tcPr>
            <w:tcW w:type="dxa" w:w="2088"/>
            <w:vAlign w:val="top"/>
            <w:tcMar>
              <w:top w:w="65" w:type="dxa"/>
              <w:bottom w:w="65" w:type="dxa"/>
              <w:left w:w="65" w:type="dxa"/>
              <w:right w:w="65" w:type="dxa"/>
            </w:tcMar>
          </w:tcPr>
          <w:p>
            <w:pPr>
              <w:spacing w:before="30" w:after="30" w:line="252" w:lineRule="auto"/>
            </w:pPr>
            <w:r>
              <w:rPr>
                <w:rFonts w:ascii="Arial" w:hAnsi="Arial" w:eastAsia="宋体"/>
                <w:b w:val="0"/>
                <w:i w:val="0"/>
                <w:sz w:val="19"/>
              </w:rPr>
              <w:t>导入批次、源文件名及行数据</w:t>
            </w:r>
          </w:p>
        </w:tc>
        <w:tc>
          <w:tcPr>
            <w:tcW w:type="dxa" w:w="4704"/>
            <w:vAlign w:val="top"/>
            <w:tcMar>
              <w:top w:w="65" w:type="dxa"/>
              <w:bottom w:w="65" w:type="dxa"/>
              <w:left w:w="65" w:type="dxa"/>
              <w:right w:w="65" w:type="dxa"/>
            </w:tcMar>
          </w:tcPr>
          <w:p>
            <w:pPr>
              <w:spacing w:before="30" w:after="30" w:line="252" w:lineRule="auto"/>
            </w:pPr>
            <w:r>
              <w:rPr>
                <w:rFonts w:ascii="Arial" w:hAnsi="Arial" w:eastAsia="宋体"/>
                <w:b w:val="0"/>
                <w:i w:val="0"/>
                <w:sz w:val="19"/>
              </w:rPr>
              <w:t>用于报送追踪；期间覆盖保存在数据库 JSON 的 periodOverrides 中，不作为 bootstrap 顶层字段返回</w:t>
            </w:r>
          </w:p>
        </w:tc>
      </w:tr>
      <w:tr>
        <w:trPr>
          <w:cantSplit/>
        </w:trPr>
        <w:tc>
          <w:tcPr>
            <w:tcW w:type="dxa" w:w="28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journals</w:t>
            </w:r>
          </w:p>
        </w:tc>
        <w:tc>
          <w:tcPr>
            <w:tcW w:type="dxa" w:w="20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草稿／已审批凭证及分录影响</w:t>
            </w:r>
          </w:p>
        </w:tc>
        <w:tc>
          <w:tcPr>
            <w:tcW w:type="dxa" w:w="47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未经审批不得算入实际结果</w:t>
            </w:r>
          </w:p>
        </w:tc>
      </w:tr>
      <w:tr>
        <w:trPr>
          <w:cantSplit/>
        </w:trPr>
        <w:tc>
          <w:tcPr>
            <w:tcW w:type="dxa" w:w="2845"/>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w:t>
            </w:r>
          </w:p>
        </w:tc>
        <w:tc>
          <w:tcPr>
            <w:tcW w:type="dxa" w:w="2088"/>
            <w:vAlign w:val="top"/>
            <w:tcMar>
              <w:top w:w="65" w:type="dxa"/>
              <w:bottom w:w="65" w:type="dxa"/>
              <w:left w:w="65" w:type="dxa"/>
              <w:right w:w="65" w:type="dxa"/>
            </w:tcMar>
          </w:tcPr>
          <w:p>
            <w:pPr>
              <w:spacing w:before="30" w:after="30" w:line="252" w:lineRule="auto"/>
            </w:pPr>
            <w:r>
              <w:rPr>
                <w:rFonts w:ascii="Arial" w:hAnsi="Arial" w:eastAsia="宋体"/>
                <w:b w:val="0"/>
                <w:i w:val="0"/>
                <w:sz w:val="19"/>
              </w:rPr>
              <w:t>活跃完整预算及历史版本、调整</w:t>
            </w:r>
          </w:p>
        </w:tc>
        <w:tc>
          <w:tcPr>
            <w:tcW w:type="dxa" w:w="4704"/>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版本不能仅保存年度合计而丢失明细</w:t>
            </w:r>
          </w:p>
        </w:tc>
      </w:tr>
      <w:tr>
        <w:trPr>
          <w:cantSplit/>
        </w:trPr>
        <w:tc>
          <w:tcPr>
            <w:tcW w:type="dxa" w:w="28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period、periods</w:t>
            </w:r>
          </w:p>
        </w:tc>
        <w:tc>
          <w:tcPr>
            <w:tcW w:type="dxa" w:w="20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当前范围月份和全部关账状态</w:t>
            </w:r>
          </w:p>
        </w:tc>
        <w:tc>
          <w:tcPr>
            <w:tcW w:type="dxa" w:w="47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判断签核要使用服务器状态及有效指纹</w:t>
            </w:r>
          </w:p>
        </w:tc>
      </w:tr>
      <w:tr>
        <w:trPr>
          <w:cantSplit/>
        </w:trPr>
        <w:tc>
          <w:tcPr>
            <w:tcW w:type="dxa" w:w="2845"/>
            <w:vAlign w:val="top"/>
            <w:tcMar>
              <w:top w:w="65" w:type="dxa"/>
              <w:bottom w:w="65" w:type="dxa"/>
              <w:left w:w="65" w:type="dxa"/>
              <w:right w:w="65" w:type="dxa"/>
            </w:tcMar>
          </w:tcPr>
          <w:p>
            <w:pPr>
              <w:spacing w:before="30" w:after="30" w:line="252" w:lineRule="auto"/>
            </w:pPr>
            <w:r>
              <w:rPr>
                <w:rFonts w:ascii="Arial" w:hAnsi="Arial" w:eastAsia="宋体"/>
                <w:b w:val="0"/>
                <w:i w:val="0"/>
                <w:sz w:val="19"/>
              </w:rPr>
              <w:t>statement、report</w:t>
            </w:r>
          </w:p>
        </w:tc>
        <w:tc>
          <w:tcPr>
            <w:tcW w:type="dxa" w:w="2088"/>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当前上下文的三表和指标投影</w:t>
            </w:r>
          </w:p>
        </w:tc>
        <w:tc>
          <w:tcPr>
            <w:tcW w:type="dxa" w:w="4704"/>
            <w:vAlign w:val="top"/>
            <w:tcMar>
              <w:top w:w="65" w:type="dxa"/>
              <w:bottom w:w="65" w:type="dxa"/>
              <w:left w:w="65" w:type="dxa"/>
              <w:right w:w="65" w:type="dxa"/>
            </w:tcMar>
          </w:tcPr>
          <w:p>
            <w:pPr>
              <w:spacing w:before="30" w:after="30" w:line="252" w:lineRule="auto"/>
            </w:pPr>
            <w:r>
              <w:rPr>
                <w:rFonts w:ascii="Arial" w:hAnsi="Arial" w:eastAsia="宋体"/>
                <w:b w:val="0"/>
                <w:i w:val="0"/>
                <w:sz w:val="19"/>
              </w:rPr>
              <w:t>返回币种已按请求换算，不再重复除汇率</w:t>
            </w:r>
          </w:p>
        </w:tc>
      </w:tr>
      <w:tr>
        <w:trPr>
          <w:cantSplit/>
        </w:trPr>
        <w:tc>
          <w:tcPr>
            <w:tcW w:type="dxa" w:w="28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entityActuals、monthlyActuals</w:t>
            </w:r>
          </w:p>
        </w:tc>
        <w:tc>
          <w:tcPr>
            <w:tcW w:type="dxa" w:w="20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法人独立损益、累计差分后的月度收入</w:t>
            </w:r>
          </w:p>
        </w:tc>
        <w:tc>
          <w:tcPr>
            <w:tcW w:type="dxa" w:w="47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前端按范围展示；不能与年度预算源值混同</w:t>
            </w:r>
          </w:p>
        </w:tc>
      </w:tr>
      <w:tr>
        <w:trPr>
          <w:cantSplit/>
        </w:trPr>
        <w:tc>
          <w:tcPr>
            <w:tcW w:type="dxa" w:w="2845"/>
            <w:vAlign w:val="top"/>
            <w:tcMar>
              <w:top w:w="65" w:type="dxa"/>
              <w:bottom w:w="65" w:type="dxa"/>
              <w:left w:w="65" w:type="dxa"/>
              <w:right w:w="65" w:type="dxa"/>
            </w:tcMar>
          </w:tcPr>
          <w:p>
            <w:pPr>
              <w:spacing w:before="30" w:after="30" w:line="252" w:lineRule="auto"/>
            </w:pPr>
            <w:r>
              <w:rPr>
                <w:rFonts w:ascii="Arial" w:hAnsi="Arial" w:eastAsia="宋体"/>
                <w:b w:val="0"/>
                <w:i w:val="0"/>
                <w:sz w:val="19"/>
              </w:rPr>
              <w:t>checks</w:t>
            </w:r>
          </w:p>
        </w:tc>
        <w:tc>
          <w:tcPr>
            <w:tcW w:type="dxa" w:w="2088"/>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当前集团／月份整体人民币关账校验</w:t>
            </w:r>
          </w:p>
        </w:tc>
        <w:tc>
          <w:tcPr>
            <w:tcW w:type="dxa" w:w="4704"/>
            <w:vAlign w:val="top"/>
            <w:tcMar>
              <w:top w:w="65" w:type="dxa"/>
              <w:bottom w:w="65" w:type="dxa"/>
              <w:left w:w="65" w:type="dxa"/>
              <w:right w:w="65" w:type="dxa"/>
            </w:tcMar>
          </w:tcPr>
          <w:p>
            <w:pPr>
              <w:spacing w:before="30" w:after="30" w:line="252" w:lineRule="auto"/>
            </w:pPr>
            <w:r>
              <w:rPr>
                <w:rFonts w:ascii="Arial" w:hAnsi="Arial" w:eastAsia="宋体"/>
                <w:b w:val="0"/>
                <w:i w:val="0"/>
                <w:sz w:val="19"/>
              </w:rPr>
              <w:t>不随法人钻取变成局部签核依据</w:t>
            </w:r>
          </w:p>
        </w:tc>
      </w:tr>
      <w:tr>
        <w:trPr>
          <w:cantSplit/>
        </w:trPr>
        <w:tc>
          <w:tcPr>
            <w:tcW w:type="dxa" w:w="28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activities</w:t>
            </w:r>
          </w:p>
        </w:tc>
        <w:tc>
          <w:tcPr>
            <w:tcW w:type="dxa" w:w="20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最近 200 条实际事务审计</w:t>
            </w:r>
          </w:p>
        </w:tc>
        <w:tc>
          <w:tcPr>
            <w:tcW w:type="dxa" w:w="47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界面动作名转换为中文；不当作完整数据库备份</w:t>
            </w:r>
          </w:p>
        </w:tc>
      </w:tr>
    </w:tbl>
    <w:p>
      <w:pPr>
        <w:spacing w:after="40"/>
      </w:pPr>
    </w:p>
    <w:p>
      <w:pPr>
        <w:pStyle w:val="Heading1"/>
      </w:pPr>
      <w:bookmarkStart w:id="24" w:name="epm_24"/>
      <w:r>
        <w:rPr>
          <w:rFonts w:ascii="Arial" w:hAnsi="Arial" w:eastAsia="宋体"/>
          <w:b w:val="0"/>
          <w:i w:val="0"/>
        </w:rPr>
        <w:t>6. SQLite 数据模型与持久化</w:t>
      </w:r>
      <w:bookmarkEnd w:id="24"/>
    </w:p>
    <w:p>
      <w:pPr>
        <w:pStyle w:val="Heading2"/>
      </w:pPr>
      <w:bookmarkStart w:id="25" w:name="epm_25"/>
      <w:r>
        <w:rPr>
          <w:rFonts w:ascii="Arial" w:hAnsi="Arial" w:eastAsia="宋体"/>
          <w:b w:val="0"/>
          <w:i w:val="0"/>
        </w:rPr>
        <w:t>6.1 实际关系表</w:t>
      </w:r>
      <w:bookmarkEnd w:id="25"/>
    </w:p>
    <w:p>
      <w:r>
        <w:rPr>
          <w:rFonts w:ascii="Arial" w:hAnsi="Arial" w:eastAsia="宋体"/>
          <w:b w:val="0"/>
          <w:i w:val="0"/>
        </w:rPr>
        <w:t>当前数据库采用“单条业务快照＋审计表”。没有独立的法人表、预算表、凭证明细表或报表事实表。下列为源码实际结构，正式产品可以据此做数据迁移设计，不能把建议的规范化表误称为当前实现。</w:t>
      </w:r>
    </w:p>
    <w:tbl>
      <w:tblPr>
        <w:tblStyle w:val="TableGrid"/>
        <w:tblW w:type="auto" w:w="0"/>
        <w:jc w:val="center"/>
        <w:tblLayout w:type="fixed"/>
        <w:tblLook w:firstColumn="1" w:firstRow="1" w:lastColumn="0" w:lastRow="0" w:noHBand="0" w:noVBand="1" w:val="04A0"/>
      </w:tblPr>
      <w:tblGrid>
        <w:gridCol w:w="2544"/>
        <w:gridCol w:w="4330"/>
        <w:gridCol w:w="2764"/>
      </w:tblGrid>
      <w:tr>
        <w:trPr>
          <w:cantSplit/>
          <w:tblHeader w:val="true"/>
        </w:trPr>
        <w:tc>
          <w:tcPr>
            <w:tcW w:type="dxa" w:w="25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表与字段</w:t>
            </w:r>
          </w:p>
        </w:tc>
        <w:tc>
          <w:tcPr>
            <w:tcW w:type="dxa" w:w="43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类型和约束</w:t>
            </w:r>
          </w:p>
        </w:tc>
        <w:tc>
          <w:tcPr>
            <w:tcW w:type="dxa" w:w="27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含义</w:t>
            </w:r>
          </w:p>
        </w:tc>
      </w:tr>
      <w:tr>
        <w:trPr>
          <w:cantSplit/>
        </w:trPr>
        <w:tc>
          <w:tcPr>
            <w:tcW w:type="dxa" w:w="2544"/>
            <w:vAlign w:val="top"/>
            <w:tcMar>
              <w:top w:w="65" w:type="dxa"/>
              <w:bottom w:w="65" w:type="dxa"/>
              <w:left w:w="65" w:type="dxa"/>
              <w:right w:w="65" w:type="dxa"/>
            </w:tcMar>
          </w:tcPr>
          <w:p>
            <w:pPr>
              <w:spacing w:before="30" w:after="30" w:line="252" w:lineRule="auto"/>
            </w:pPr>
            <w:r>
              <w:rPr>
                <w:rFonts w:ascii="Arial" w:hAnsi="Arial" w:eastAsia="宋体"/>
                <w:b w:val="0"/>
                <w:i w:val="0"/>
                <w:sz w:val="19"/>
              </w:rPr>
              <w:t>state.id</w:t>
            </w:r>
          </w:p>
        </w:tc>
        <w:tc>
          <w:tcPr>
            <w:tcW w:type="dxa" w:w="4330"/>
            <w:vAlign w:val="top"/>
            <w:tcMar>
              <w:top w:w="65" w:type="dxa"/>
              <w:bottom w:w="65" w:type="dxa"/>
              <w:left w:w="65" w:type="dxa"/>
              <w:right w:w="65" w:type="dxa"/>
            </w:tcMar>
          </w:tcPr>
          <w:p>
            <w:pPr>
              <w:spacing w:before="30" w:after="30" w:line="252" w:lineRule="auto"/>
            </w:pPr>
            <w:r>
              <w:rPr>
                <w:rFonts w:ascii="Arial" w:hAnsi="Arial" w:eastAsia="宋体"/>
                <w:b w:val="0"/>
                <w:i w:val="0"/>
                <w:sz w:val="19"/>
              </w:rPr>
              <w:t>INTEGER PRIMARY KEY，CHECK id=1</w:t>
            </w:r>
          </w:p>
        </w:tc>
        <w:tc>
          <w:tcPr>
            <w:tcW w:type="dxa" w:w="2764"/>
            <w:vAlign w:val="top"/>
            <w:tcMar>
              <w:top w:w="65" w:type="dxa"/>
              <w:bottom w:w="65" w:type="dxa"/>
              <w:left w:w="65" w:type="dxa"/>
              <w:right w:w="65" w:type="dxa"/>
            </w:tcMar>
          </w:tcPr>
          <w:p>
            <w:pPr>
              <w:spacing w:before="30" w:after="30" w:line="252" w:lineRule="auto"/>
            </w:pPr>
            <w:r>
              <w:rPr>
                <w:rFonts w:ascii="Arial" w:hAnsi="Arial" w:eastAsia="宋体"/>
                <w:b w:val="0"/>
                <w:i w:val="0"/>
                <w:sz w:val="19"/>
              </w:rPr>
              <w:t>单一业务快照记录</w:t>
            </w:r>
          </w:p>
        </w:tc>
      </w:tr>
      <w:tr>
        <w:trPr>
          <w:cantSplit/>
        </w:trPr>
        <w:tc>
          <w:tcPr>
            <w:tcW w:type="dxa" w:w="25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state.revision</w:t>
            </w:r>
          </w:p>
        </w:tc>
        <w:tc>
          <w:tcPr>
            <w:tcW w:type="dxa" w:w="4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INTEGER NOT NULL</w:t>
            </w:r>
          </w:p>
        </w:tc>
        <w:tc>
          <w:tcPr>
            <w:tcW w:type="dxa" w:w="2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乐观并发控制版本</w:t>
            </w:r>
          </w:p>
        </w:tc>
      </w:tr>
      <w:tr>
        <w:trPr>
          <w:cantSplit/>
        </w:trPr>
        <w:tc>
          <w:tcPr>
            <w:tcW w:type="dxa" w:w="2544"/>
            <w:vAlign w:val="top"/>
            <w:tcMar>
              <w:top w:w="65" w:type="dxa"/>
              <w:bottom w:w="65" w:type="dxa"/>
              <w:left w:w="65" w:type="dxa"/>
              <w:right w:w="65" w:type="dxa"/>
            </w:tcMar>
          </w:tcPr>
          <w:p>
            <w:pPr>
              <w:spacing w:before="30" w:after="30" w:line="252" w:lineRule="auto"/>
            </w:pPr>
            <w:r>
              <w:rPr>
                <w:rFonts w:ascii="Arial" w:hAnsi="Arial" w:eastAsia="宋体"/>
                <w:b w:val="0"/>
                <w:i w:val="0"/>
                <w:sz w:val="19"/>
              </w:rPr>
              <w:t>state.document</w:t>
            </w:r>
          </w:p>
        </w:tc>
        <w:tc>
          <w:tcPr>
            <w:tcW w:type="dxa" w:w="4330"/>
            <w:vAlign w:val="top"/>
            <w:tcMar>
              <w:top w:w="65" w:type="dxa"/>
              <w:bottom w:w="65" w:type="dxa"/>
              <w:left w:w="65" w:type="dxa"/>
              <w:right w:w="65" w:type="dxa"/>
            </w:tcMar>
          </w:tcPr>
          <w:p>
            <w:pPr>
              <w:spacing w:before="30" w:after="30" w:line="252" w:lineRule="auto"/>
            </w:pPr>
            <w:r>
              <w:rPr>
                <w:rFonts w:ascii="Arial" w:hAnsi="Arial" w:eastAsia="宋体"/>
                <w:b w:val="0"/>
                <w:i w:val="0"/>
                <w:sz w:val="19"/>
              </w:rPr>
              <w:t>TEXT NOT NULL</w:t>
            </w:r>
          </w:p>
        </w:tc>
        <w:tc>
          <w:tcPr>
            <w:tcW w:type="dxa" w:w="2764"/>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完整业务对象序列化后的 JSON</w:t>
            </w:r>
          </w:p>
        </w:tc>
      </w:tr>
      <w:tr>
        <w:trPr>
          <w:cantSplit/>
        </w:trPr>
        <w:tc>
          <w:tcPr>
            <w:tcW w:type="dxa" w:w="25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audit.id</w:t>
            </w:r>
          </w:p>
        </w:tc>
        <w:tc>
          <w:tcPr>
            <w:tcW w:type="dxa" w:w="4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INTEGER PRIMARY KEY AUTOINCREMENT</w:t>
            </w:r>
          </w:p>
        </w:tc>
        <w:tc>
          <w:tcPr>
            <w:tcW w:type="dxa" w:w="2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审计顺序号</w:t>
            </w:r>
          </w:p>
        </w:tc>
      </w:tr>
      <w:tr>
        <w:trPr>
          <w:cantSplit/>
        </w:trPr>
        <w:tc>
          <w:tcPr>
            <w:tcW w:type="dxa" w:w="2544"/>
            <w:vAlign w:val="top"/>
            <w:tcMar>
              <w:top w:w="65" w:type="dxa"/>
              <w:bottom w:w="65" w:type="dxa"/>
              <w:left w:w="65" w:type="dxa"/>
              <w:right w:w="65" w:type="dxa"/>
            </w:tcMar>
          </w:tcPr>
          <w:p>
            <w:pPr>
              <w:spacing w:before="30" w:after="30" w:line="252" w:lineRule="auto"/>
            </w:pPr>
            <w:r>
              <w:rPr>
                <w:rFonts w:ascii="Arial" w:hAnsi="Arial" w:eastAsia="宋体"/>
                <w:b w:val="0"/>
                <w:i w:val="0"/>
                <w:sz w:val="19"/>
              </w:rPr>
              <w:t>audit.time</w:t>
            </w:r>
          </w:p>
        </w:tc>
        <w:tc>
          <w:tcPr>
            <w:tcW w:type="dxa" w:w="4330"/>
            <w:vAlign w:val="top"/>
            <w:tcMar>
              <w:top w:w="65" w:type="dxa"/>
              <w:bottom w:w="65" w:type="dxa"/>
              <w:left w:w="65" w:type="dxa"/>
              <w:right w:w="65" w:type="dxa"/>
            </w:tcMar>
          </w:tcPr>
          <w:p>
            <w:pPr>
              <w:spacing w:before="30" w:after="30" w:line="252" w:lineRule="auto"/>
            </w:pPr>
            <w:r>
              <w:rPr>
                <w:rFonts w:ascii="Arial" w:hAnsi="Arial" w:eastAsia="宋体"/>
                <w:b w:val="0"/>
                <w:i w:val="0"/>
                <w:sz w:val="19"/>
              </w:rPr>
              <w:t>TEXT NOT NULL</w:t>
            </w:r>
          </w:p>
        </w:tc>
        <w:tc>
          <w:tcPr>
            <w:tcW w:type="dxa" w:w="2764"/>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服务器生成的带时区时间字符串</w:t>
            </w:r>
          </w:p>
        </w:tc>
      </w:tr>
      <w:tr>
        <w:trPr>
          <w:cantSplit/>
        </w:trPr>
        <w:tc>
          <w:tcPr>
            <w:tcW w:type="dxa" w:w="25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audit.role</w:t>
            </w:r>
          </w:p>
        </w:tc>
        <w:tc>
          <w:tcPr>
            <w:tcW w:type="dxa" w:w="4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TEXT NOT NULL</w:t>
            </w:r>
          </w:p>
        </w:tc>
        <w:tc>
          <w:tcPr>
            <w:tcW w:type="dxa" w:w="2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执行动作时的演示角色</w:t>
            </w:r>
          </w:p>
        </w:tc>
      </w:tr>
      <w:tr>
        <w:trPr>
          <w:cantSplit/>
        </w:trPr>
        <w:tc>
          <w:tcPr>
            <w:tcW w:type="dxa" w:w="2544"/>
            <w:vAlign w:val="top"/>
            <w:tcMar>
              <w:top w:w="65" w:type="dxa"/>
              <w:bottom w:w="65" w:type="dxa"/>
              <w:left w:w="65" w:type="dxa"/>
              <w:right w:w="65" w:type="dxa"/>
            </w:tcMar>
          </w:tcPr>
          <w:p>
            <w:pPr>
              <w:spacing w:before="30" w:after="30" w:line="252" w:lineRule="auto"/>
            </w:pPr>
            <w:r>
              <w:rPr>
                <w:rFonts w:ascii="Arial" w:hAnsi="Arial" w:eastAsia="宋体"/>
                <w:b w:val="0"/>
                <w:i w:val="0"/>
                <w:sz w:val="19"/>
              </w:rPr>
              <w:t>audit.action</w:t>
            </w:r>
          </w:p>
        </w:tc>
        <w:tc>
          <w:tcPr>
            <w:tcW w:type="dxa" w:w="4330"/>
            <w:vAlign w:val="top"/>
            <w:tcMar>
              <w:top w:w="65" w:type="dxa"/>
              <w:bottom w:w="65" w:type="dxa"/>
              <w:left w:w="65" w:type="dxa"/>
              <w:right w:w="65" w:type="dxa"/>
            </w:tcMar>
          </w:tcPr>
          <w:p>
            <w:pPr>
              <w:spacing w:before="30" w:after="30" w:line="252" w:lineRule="auto"/>
            </w:pPr>
            <w:r>
              <w:rPr>
                <w:rFonts w:ascii="Arial" w:hAnsi="Arial" w:eastAsia="宋体"/>
                <w:b w:val="0"/>
                <w:i w:val="0"/>
                <w:sz w:val="19"/>
              </w:rPr>
              <w:t>TEXT NOT NULL</w:t>
            </w:r>
          </w:p>
        </w:tc>
        <w:tc>
          <w:tcPr>
            <w:tcW w:type="dxa" w:w="2764"/>
            <w:vAlign w:val="top"/>
            <w:tcMar>
              <w:top w:w="65" w:type="dxa"/>
              <w:bottom w:w="65" w:type="dxa"/>
              <w:left w:w="65" w:type="dxa"/>
              <w:right w:w="65" w:type="dxa"/>
            </w:tcMar>
          </w:tcPr>
          <w:p>
            <w:pPr>
              <w:spacing w:before="30" w:after="30" w:line="252" w:lineRule="auto"/>
            </w:pPr>
            <w:r>
              <w:rPr>
                <w:rFonts w:ascii="Arial" w:hAnsi="Arial" w:eastAsia="宋体"/>
                <w:b w:val="0"/>
                <w:i w:val="0"/>
                <w:sz w:val="19"/>
              </w:rPr>
              <w:t>动作技术标识</w:t>
            </w:r>
          </w:p>
        </w:tc>
      </w:tr>
      <w:tr>
        <w:trPr>
          <w:cantSplit/>
        </w:trPr>
        <w:tc>
          <w:tcPr>
            <w:tcW w:type="dxa" w:w="25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audit.detail</w:t>
            </w:r>
          </w:p>
        </w:tc>
        <w:tc>
          <w:tcPr>
            <w:tcW w:type="dxa" w:w="4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TEXT NOT NULL</w:t>
            </w:r>
          </w:p>
        </w:tc>
        <w:tc>
          <w:tcPr>
            <w:tcW w:type="dxa" w:w="2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服务器产生的中文业务描述</w:t>
            </w:r>
          </w:p>
        </w:tc>
      </w:tr>
      <w:tr>
        <w:trPr>
          <w:cantSplit/>
        </w:trPr>
        <w:tc>
          <w:tcPr>
            <w:tcW w:type="dxa" w:w="2544"/>
            <w:vAlign w:val="top"/>
            <w:tcMar>
              <w:top w:w="65" w:type="dxa"/>
              <w:bottom w:w="65" w:type="dxa"/>
              <w:left w:w="65" w:type="dxa"/>
              <w:right w:w="65" w:type="dxa"/>
            </w:tcMar>
          </w:tcPr>
          <w:p>
            <w:pPr>
              <w:spacing w:before="30" w:after="30" w:line="252" w:lineRule="auto"/>
            </w:pPr>
            <w:r>
              <w:rPr>
                <w:rFonts w:ascii="Arial" w:hAnsi="Arial" w:eastAsia="宋体"/>
                <w:b w:val="0"/>
                <w:i w:val="0"/>
                <w:sz w:val="19"/>
              </w:rPr>
              <w:t>audit.revision</w:t>
            </w:r>
          </w:p>
        </w:tc>
        <w:tc>
          <w:tcPr>
            <w:tcW w:type="dxa" w:w="4330"/>
            <w:vAlign w:val="top"/>
            <w:tcMar>
              <w:top w:w="65" w:type="dxa"/>
              <w:bottom w:w="65" w:type="dxa"/>
              <w:left w:w="65" w:type="dxa"/>
              <w:right w:w="65" w:type="dxa"/>
            </w:tcMar>
          </w:tcPr>
          <w:p>
            <w:pPr>
              <w:spacing w:before="30" w:after="30" w:line="252" w:lineRule="auto"/>
            </w:pPr>
            <w:r>
              <w:rPr>
                <w:rFonts w:ascii="Arial" w:hAnsi="Arial" w:eastAsia="宋体"/>
                <w:b w:val="0"/>
                <w:i w:val="0"/>
                <w:sz w:val="19"/>
              </w:rPr>
              <w:t>INTEGER NOT NULL</w:t>
            </w:r>
          </w:p>
        </w:tc>
        <w:tc>
          <w:tcPr>
            <w:tcW w:type="dxa" w:w="2764"/>
            <w:vAlign w:val="top"/>
            <w:tcMar>
              <w:top w:w="65" w:type="dxa"/>
              <w:bottom w:w="65" w:type="dxa"/>
              <w:left w:w="65" w:type="dxa"/>
              <w:right w:w="65" w:type="dxa"/>
            </w:tcMar>
          </w:tcPr>
          <w:p>
            <w:pPr>
              <w:spacing w:before="30" w:after="30" w:line="252" w:lineRule="auto"/>
            </w:pPr>
            <w:r>
              <w:rPr>
                <w:rFonts w:ascii="Arial" w:hAnsi="Arial" w:eastAsia="宋体"/>
                <w:b w:val="0"/>
                <w:i w:val="0"/>
                <w:sz w:val="19"/>
              </w:rPr>
              <w:t>该审计对应的提交版本</w:t>
            </w:r>
          </w:p>
        </w:tc>
      </w:tr>
    </w:tbl>
    <w:p>
      <w:pPr>
        <w:spacing w:after="40"/>
      </w:pPr>
    </w:p>
    <w:p>
      <w:r>
        <w:rPr>
          <w:rFonts w:ascii="Arial" w:hAnsi="Arial" w:eastAsia="宋体"/>
          <w:b w:val="0"/>
          <w:i w:val="0"/>
        </w:rPr>
        <w:t>SQLite 连接使用 WAL 日志和 15 秒 busy_timeout。读请求取得快照和最近审计；写请求使用 BEGIN IMMEDIATE 获取写事务，核对 expected revision，反序列化业务状态，在内存副本上执行领域动作，写回 document 和递增 revision，并在同一事务写入审计。任一异常会 rollback，避免导入半批成功或业务已变而审计未生成。</w:t>
      </w:r>
    </w:p>
    <w:p>
      <w:pPr>
        <w:pStyle w:val="Heading2"/>
      </w:pPr>
      <w:bookmarkStart w:id="26" w:name="epm_26"/>
      <w:r>
        <w:rPr>
          <w:rFonts w:ascii="Arial" w:hAnsi="Arial" w:eastAsia="宋体"/>
          <w:b w:val="0"/>
          <w:i w:val="0"/>
        </w:rPr>
        <w:t>6.2 document 中的业务结构</w:t>
      </w:r>
      <w:bookmarkEnd w:id="26"/>
    </w:p>
    <w:tbl>
      <w:tblPr>
        <w:tblStyle w:val="TableGrid"/>
        <w:tblW w:type="auto" w:w="0"/>
        <w:jc w:val="center"/>
        <w:tblLayout w:type="fixed"/>
        <w:tblLook w:firstColumn="1" w:firstRow="1" w:lastColumn="0" w:lastRow="0" w:noHBand="0" w:noVBand="1" w:val="04A0"/>
      </w:tblPr>
      <w:tblGrid>
        <w:gridCol w:w="2476"/>
        <w:gridCol w:w="4989"/>
        <w:gridCol w:w="2172"/>
      </w:tblGrid>
      <w:tr>
        <w:trPr>
          <w:cantSplit/>
          <w:tblHeader w:val="true"/>
        </w:trPr>
        <w:tc>
          <w:tcPr>
            <w:tcW w:type="dxa" w:w="24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JSON 节点</w:t>
            </w:r>
          </w:p>
        </w:tc>
        <w:tc>
          <w:tcPr>
            <w:tcW w:type="dxa" w:w="498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关键子字段</w:t>
            </w:r>
          </w:p>
        </w:tc>
        <w:tc>
          <w:tcPr>
            <w:tcW w:type="dxa" w:w="21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用途及保存粒度</w:t>
            </w:r>
          </w:p>
        </w:tc>
      </w:tr>
      <w:tr>
        <w:trPr>
          <w:cantSplit/>
        </w:trPr>
        <w:tc>
          <w:tcPr>
            <w:tcW w:type="dxa" w:w="2476"/>
            <w:vAlign w:val="top"/>
            <w:tcMar>
              <w:top w:w="65" w:type="dxa"/>
              <w:bottom w:w="65" w:type="dxa"/>
              <w:left w:w="65" w:type="dxa"/>
              <w:right w:w="65" w:type="dxa"/>
            </w:tcMar>
          </w:tcPr>
          <w:p>
            <w:pPr>
              <w:spacing w:before="30" w:after="30" w:line="252" w:lineRule="auto"/>
            </w:pPr>
            <w:r>
              <w:rPr>
                <w:rFonts w:ascii="Arial" w:hAnsi="Arial" w:eastAsia="宋体"/>
                <w:b w:val="0"/>
                <w:i w:val="0"/>
                <w:sz w:val="19"/>
              </w:rPr>
              <w:t>settings</w:t>
            </w:r>
          </w:p>
        </w:tc>
        <w:tc>
          <w:tcPr>
            <w:tcW w:type="dxa" w:w="4989"/>
            <w:vAlign w:val="top"/>
            <w:tcMar>
              <w:top w:w="65" w:type="dxa"/>
              <w:bottom w:w="65" w:type="dxa"/>
              <w:left w:w="65" w:type="dxa"/>
              <w:right w:w="65" w:type="dxa"/>
            </w:tcMar>
          </w:tcPr>
          <w:p>
            <w:pPr>
              <w:spacing w:before="30" w:after="30" w:line="252" w:lineRule="auto"/>
            </w:pPr>
            <w:r>
              <w:rPr>
                <w:rFonts w:ascii="Arial" w:hAnsi="Arial" w:eastAsia="宋体"/>
                <w:b w:val="0"/>
                <w:i w:val="0"/>
                <w:sz w:val="19"/>
              </w:rPr>
              <w:t>companyName、fiscalYear、language、unit</w:t>
            </w:r>
          </w:p>
        </w:tc>
        <w:tc>
          <w:tcPr>
            <w:tcW w:type="dxa" w:w="2172"/>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本机账套基础信息</w:t>
            </w:r>
          </w:p>
        </w:tc>
      </w:tr>
      <w:tr>
        <w:trPr>
          <w:cantSplit/>
        </w:trPr>
        <w:tc>
          <w:tcPr>
            <w:tcW w:type="dxa" w:w="24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entities</w:t>
            </w:r>
          </w:p>
        </w:tc>
        <w:tc>
          <w:tcPr>
            <w:tcW w:type="dxa" w:w="49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id、code、name、short、owner、currency、损益、opening、closing、cashflow</w:t>
            </w:r>
          </w:p>
        </w:tc>
        <w:tc>
          <w:tcPr>
            <w:tcW w:type="dxa" w:w="21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法人档案与种子源余额</w:t>
            </w:r>
          </w:p>
        </w:tc>
      </w:tr>
      <w:tr>
        <w:trPr>
          <w:cantSplit/>
        </w:trPr>
        <w:tc>
          <w:tcPr>
            <w:tcW w:type="dxa" w:w="2476"/>
            <w:vAlign w:val="top"/>
            <w:tcMar>
              <w:top w:w="65" w:type="dxa"/>
              <w:bottom w:w="65" w:type="dxa"/>
              <w:left w:w="65" w:type="dxa"/>
              <w:right w:w="65" w:type="dxa"/>
            </w:tcMar>
          </w:tcPr>
          <w:p>
            <w:pPr>
              <w:spacing w:before="30" w:after="30" w:line="252" w:lineRule="auto"/>
            </w:pPr>
            <w:r>
              <w:rPr>
                <w:rFonts w:ascii="Arial" w:hAnsi="Arial" w:eastAsia="宋体"/>
                <w:b w:val="0"/>
                <w:i w:val="0"/>
                <w:sz w:val="19"/>
              </w:rPr>
              <w:t>accounts</w:t>
            </w:r>
          </w:p>
        </w:tc>
        <w:tc>
          <w:tcPr>
            <w:tcW w:type="dxa" w:w="4989"/>
            <w:vAlign w:val="top"/>
            <w:tcMar>
              <w:top w:w="65" w:type="dxa"/>
              <w:bottom w:w="65" w:type="dxa"/>
              <w:left w:w="65" w:type="dxa"/>
              <w:right w:w="65" w:type="dxa"/>
            </w:tcMar>
          </w:tcPr>
          <w:p>
            <w:pPr>
              <w:spacing w:before="30" w:after="30" w:line="252" w:lineRule="auto"/>
            </w:pPr>
            <w:r>
              <w:rPr>
                <w:rFonts w:ascii="Arial" w:hAnsi="Arial" w:eastAsia="宋体"/>
                <w:b w:val="0"/>
                <w:i w:val="0"/>
                <w:sz w:val="19"/>
              </w:rPr>
              <w:t>code、name、type、field、normalSide</w:t>
            </w:r>
          </w:p>
        </w:tc>
        <w:tc>
          <w:tcPr>
            <w:tcW w:type="dxa" w:w="2172"/>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集团科目至内置报表字段的映射</w:t>
            </w:r>
          </w:p>
        </w:tc>
      </w:tr>
      <w:tr>
        <w:trPr>
          <w:cantSplit/>
        </w:trPr>
        <w:tc>
          <w:tcPr>
            <w:tcW w:type="dxa" w:w="24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rates</w:t>
            </w:r>
          </w:p>
        </w:tc>
        <w:tc>
          <w:tcPr>
            <w:tcW w:type="dxa" w:w="49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CNY、USD 对应展示汇率</w:t>
            </w:r>
          </w:p>
        </w:tc>
        <w:tc>
          <w:tcPr>
            <w:tcW w:type="dxa" w:w="21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源金额为人民币，展示币转换单独执行</w:t>
            </w:r>
          </w:p>
        </w:tc>
      </w:tr>
      <w:tr>
        <w:trPr>
          <w:cantSplit/>
        </w:trPr>
        <w:tc>
          <w:tcPr>
            <w:tcW w:type="dxa" w:w="2476"/>
            <w:vAlign w:val="top"/>
            <w:tcMar>
              <w:top w:w="65" w:type="dxa"/>
              <w:bottom w:w="65" w:type="dxa"/>
              <w:left w:w="65" w:type="dxa"/>
              <w:right w:w="65" w:type="dxa"/>
            </w:tcMar>
          </w:tcPr>
          <w:p>
            <w:pPr>
              <w:spacing w:before="30" w:after="30" w:line="252" w:lineRule="auto"/>
            </w:pPr>
            <w:r>
              <w:rPr>
                <w:rFonts w:ascii="Arial" w:hAnsi="Arial" w:eastAsia="宋体"/>
                <w:b w:val="0"/>
                <w:i w:val="0"/>
                <w:sz w:val="19"/>
              </w:rPr>
              <w:t>journals</w:t>
            </w:r>
          </w:p>
        </w:tc>
        <w:tc>
          <w:tcPr>
            <w:tcW w:type="dxa" w:w="4989"/>
            <w:vAlign w:val="top"/>
            <w:tcMar>
              <w:top w:w="65" w:type="dxa"/>
              <w:bottom w:w="65" w:type="dxa"/>
              <w:left w:w="65" w:type="dxa"/>
              <w:right w:w="65" w:type="dxa"/>
            </w:tcMar>
          </w:tcPr>
          <w:p>
            <w:pPr>
              <w:spacing w:before="30" w:after="30" w:line="252" w:lineRule="auto"/>
            </w:pPr>
            <w:r>
              <w:rPr>
                <w:rFonts w:ascii="Arial" w:hAnsi="Arial" w:eastAsia="宋体"/>
                <w:b w:val="0"/>
                <w:i w:val="0"/>
                <w:sz w:val="19"/>
              </w:rPr>
              <w:t>id、title、status、lines、effects、month、group</w:t>
            </w:r>
          </w:p>
        </w:tc>
        <w:tc>
          <w:tcPr>
            <w:tcW w:type="dxa" w:w="2172"/>
            <w:vAlign w:val="top"/>
            <w:tcMar>
              <w:top w:w="65" w:type="dxa"/>
              <w:bottom w:w="65" w:type="dxa"/>
              <w:left w:w="65" w:type="dxa"/>
              <w:right w:w="65" w:type="dxa"/>
            </w:tcMar>
          </w:tcPr>
          <w:p>
            <w:pPr>
              <w:spacing w:before="30" w:after="30" w:line="252" w:lineRule="auto"/>
            </w:pPr>
            <w:r>
              <w:rPr>
                <w:rFonts w:ascii="Arial" w:hAnsi="Arial" w:eastAsia="宋体"/>
                <w:b w:val="0"/>
                <w:i w:val="0"/>
                <w:sz w:val="19"/>
              </w:rPr>
              <w:t>组内合并调整及审批状态</w:t>
            </w:r>
          </w:p>
        </w:tc>
      </w:tr>
      <w:tr>
        <w:trPr>
          <w:cantSplit/>
        </w:trPr>
        <w:tc>
          <w:tcPr>
            <w:tcW w:type="dxa" w:w="24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trialBalances</w:t>
            </w:r>
          </w:p>
        </w:tc>
        <w:tc>
          <w:tcPr>
            <w:tcW w:type="dxa" w:w="49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id、month、rowCount、sourceName、rows、importedAt</w:t>
            </w:r>
          </w:p>
        </w:tc>
        <w:tc>
          <w:tcPr>
            <w:tcW w:type="dxa" w:w="21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保留批次及已解析源行</w:t>
            </w:r>
          </w:p>
        </w:tc>
      </w:tr>
      <w:tr>
        <w:trPr>
          <w:cantSplit/>
        </w:trPr>
        <w:tc>
          <w:tcPr>
            <w:tcW w:type="dxa" w:w="2476"/>
            <w:vAlign w:val="top"/>
            <w:tcMar>
              <w:top w:w="65" w:type="dxa"/>
              <w:bottom w:w="65" w:type="dxa"/>
              <w:left w:w="65" w:type="dxa"/>
              <w:right w:w="65" w:type="dxa"/>
            </w:tcMar>
          </w:tcPr>
          <w:p>
            <w:pPr>
              <w:spacing w:before="30" w:after="30" w:line="252" w:lineRule="auto"/>
            </w:pPr>
            <w:r>
              <w:rPr>
                <w:rFonts w:ascii="Arial" w:hAnsi="Arial" w:eastAsia="宋体"/>
                <w:b w:val="0"/>
                <w:i w:val="0"/>
                <w:sz w:val="19"/>
              </w:rPr>
              <w:t>periodOverrides</w:t>
            </w:r>
          </w:p>
        </w:tc>
        <w:tc>
          <w:tcPr>
            <w:tcW w:type="dxa" w:w="4989"/>
            <w:vAlign w:val="top"/>
            <w:tcMar>
              <w:top w:w="65" w:type="dxa"/>
              <w:bottom w:w="65" w:type="dxa"/>
              <w:left w:w="65" w:type="dxa"/>
              <w:right w:w="65" w:type="dxa"/>
            </w:tcMar>
          </w:tcPr>
          <w:p>
            <w:pPr>
              <w:spacing w:before="30" w:after="30" w:line="252" w:lineRule="auto"/>
            </w:pPr>
            <w:r>
              <w:rPr>
                <w:rFonts w:ascii="Arial" w:hAnsi="Arial" w:eastAsia="宋体"/>
                <w:b w:val="0"/>
                <w:i w:val="0"/>
                <w:sz w:val="19"/>
              </w:rPr>
              <w:t>月份→法人→累计损益、期初期末、现金流、sourceBatch</w:t>
            </w:r>
          </w:p>
        </w:tc>
        <w:tc>
          <w:tcPr>
            <w:tcW w:type="dxa" w:w="2172"/>
            <w:vAlign w:val="top"/>
            <w:tcMar>
              <w:top w:w="65" w:type="dxa"/>
              <w:bottom w:w="65" w:type="dxa"/>
              <w:left w:w="65" w:type="dxa"/>
              <w:right w:w="65" w:type="dxa"/>
            </w:tcMar>
          </w:tcPr>
          <w:p>
            <w:pPr>
              <w:spacing w:before="30" w:after="30" w:line="252" w:lineRule="auto"/>
            </w:pPr>
            <w:r>
              <w:rPr>
                <w:rFonts w:ascii="Arial" w:hAnsi="Arial" w:eastAsia="宋体"/>
                <w:b w:val="0"/>
                <w:i w:val="0"/>
                <w:sz w:val="19"/>
              </w:rPr>
              <w:t>仅覆盖对应月源数据</w:t>
            </w:r>
          </w:p>
        </w:tc>
      </w:tr>
      <w:tr>
        <w:trPr>
          <w:cantSplit/>
        </w:trPr>
        <w:tc>
          <w:tcPr>
            <w:tcW w:type="dxa" w:w="24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periods</w:t>
            </w:r>
          </w:p>
        </w:tc>
        <w:tc>
          <w:tcPr>
            <w:tcW w:type="dxa" w:w="49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group:month→状态对象</w:t>
            </w:r>
          </w:p>
        </w:tc>
        <w:tc>
          <w:tcPr>
            <w:tcW w:type="dxa" w:w="21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按集团范围及月度保存关账状态</w:t>
            </w:r>
          </w:p>
        </w:tc>
      </w:tr>
      <w:tr>
        <w:trPr>
          <w:cantSplit/>
        </w:trPr>
        <w:tc>
          <w:tcPr>
            <w:tcW w:type="dxa" w:w="2476"/>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w:t>
            </w:r>
          </w:p>
        </w:tc>
        <w:tc>
          <w:tcPr>
            <w:tcW w:type="dxa" w:w="4989"/>
            <w:vAlign w:val="top"/>
            <w:tcMar>
              <w:top w:w="65" w:type="dxa"/>
              <w:bottom w:w="65" w:type="dxa"/>
              <w:left w:w="65" w:type="dxa"/>
              <w:right w:w="65" w:type="dxa"/>
            </w:tcMar>
          </w:tcPr>
          <w:p>
            <w:pPr>
              <w:spacing w:before="30" w:after="30" w:line="252" w:lineRule="auto"/>
            </w:pPr>
            <w:r>
              <w:rPr>
                <w:rFonts w:ascii="Arial" w:hAnsi="Arial" w:eastAsia="宋体"/>
                <w:b w:val="0"/>
                <w:i w:val="0"/>
                <w:sz w:val="19"/>
              </w:rPr>
              <w:t>version、layers、spread、status、versions、adjustments、drivers、businessPlans</w:t>
            </w:r>
          </w:p>
        </w:tc>
        <w:tc>
          <w:tcPr>
            <w:tcW w:type="dxa" w:w="2172"/>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当前预算及完整版本历史</w:t>
            </w:r>
          </w:p>
        </w:tc>
      </w:tr>
      <w:tr>
        <w:trPr>
          <w:cantSplit/>
        </w:trPr>
        <w:tc>
          <w:tcPr>
            <w:tcW w:type="dxa" w:w="24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ownership</w:t>
            </w:r>
          </w:p>
        </w:tc>
        <w:tc>
          <w:tcPr>
            <w:tcW w:type="dxa" w:w="49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entityId、percent、method、note</w:t>
            </w:r>
          </w:p>
        </w:tc>
        <w:tc>
          <w:tcPr>
            <w:tcW w:type="dxa" w:w="21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持股展示样例与业务边界</w:t>
            </w:r>
          </w:p>
        </w:tc>
      </w:tr>
      <w:tr>
        <w:trPr>
          <w:cantSplit/>
        </w:trPr>
        <w:tc>
          <w:tcPr>
            <w:tcW w:type="dxa" w:w="2476"/>
            <w:vAlign w:val="top"/>
            <w:tcMar>
              <w:top w:w="65" w:type="dxa"/>
              <w:bottom w:w="65" w:type="dxa"/>
              <w:left w:w="65" w:type="dxa"/>
              <w:right w:w="65" w:type="dxa"/>
            </w:tcMar>
          </w:tcPr>
          <w:p>
            <w:pPr>
              <w:spacing w:before="30" w:after="30" w:line="252" w:lineRule="auto"/>
            </w:pPr>
            <w:r>
              <w:rPr>
                <w:rFonts w:ascii="Arial" w:hAnsi="Arial" w:eastAsia="宋体"/>
                <w:b w:val="0"/>
                <w:i w:val="0"/>
                <w:sz w:val="19"/>
              </w:rPr>
              <w:t>monthly、financePolicy</w:t>
            </w:r>
          </w:p>
        </w:tc>
        <w:tc>
          <w:tcPr>
            <w:tcW w:type="dxa" w:w="4989"/>
            <w:vAlign w:val="top"/>
            <w:tcMar>
              <w:top w:w="65" w:type="dxa"/>
              <w:bottom w:w="65" w:type="dxa"/>
              <w:left w:w="65" w:type="dxa"/>
              <w:right w:w="65" w:type="dxa"/>
            </w:tcMar>
          </w:tcPr>
          <w:p>
            <w:pPr>
              <w:spacing w:before="30" w:after="30" w:line="252" w:lineRule="auto"/>
            </w:pPr>
            <w:r>
              <w:rPr>
                <w:rFonts w:ascii="Arial" w:hAnsi="Arial" w:eastAsia="宋体"/>
                <w:b w:val="0"/>
                <w:i w:val="0"/>
                <w:sz w:val="19"/>
              </w:rPr>
              <w:t>月份权重、实际截止期、源单位和政策说明</w:t>
            </w:r>
          </w:p>
        </w:tc>
        <w:tc>
          <w:tcPr>
            <w:tcW w:type="dxa" w:w="2172"/>
            <w:vAlign w:val="top"/>
            <w:tcMar>
              <w:top w:w="65" w:type="dxa"/>
              <w:bottom w:w="65" w:type="dxa"/>
              <w:left w:w="65" w:type="dxa"/>
              <w:right w:w="65" w:type="dxa"/>
            </w:tcMar>
          </w:tcPr>
          <w:p>
            <w:pPr>
              <w:spacing w:before="30" w:after="30" w:line="252" w:lineRule="auto"/>
            </w:pPr>
            <w:r>
              <w:rPr>
                <w:rFonts w:ascii="Arial" w:hAnsi="Arial" w:eastAsia="宋体"/>
                <w:b w:val="0"/>
                <w:i w:val="0"/>
                <w:sz w:val="19"/>
              </w:rPr>
              <w:t>解释基础样例累计数的分配口径</w:t>
            </w:r>
          </w:p>
        </w:tc>
      </w:tr>
    </w:tbl>
    <w:p>
      <w:pPr>
        <w:spacing w:after="40"/>
      </w:pPr>
    </w:p>
    <w:p>
      <w:r>
        <w:rPr>
          <w:rFonts w:ascii="Arial" w:hAnsi="Arial" w:eastAsia="宋体"/>
          <w:b w:val="0"/>
          <w:i w:val="0"/>
        </w:rPr>
        <w:t>报表 statement、页面行、筛选结果和会话凭据不作为完整业务表分别保存。报表由 source 数据及已审批凭证重新计算；浏览器刷新后重新读取，因此结果会与已提交业务保持一致。预算版本保存的是完整层次、分摊、状态、量价与业务明细快照，调整单同时保存来源快照，不能只记录“新版年度收入”一个数值。</w:t>
      </w:r>
    </w:p>
    <w:p>
      <w:pPr>
        <w:pStyle w:val="Heading2"/>
      </w:pPr>
      <w:bookmarkStart w:id="27" w:name="epm_27"/>
      <w:r>
        <w:rPr>
          <w:rFonts w:ascii="Arial" w:hAnsi="Arial" w:eastAsia="宋体"/>
          <w:b w:val="0"/>
          <w:i w:val="0"/>
        </w:rPr>
        <w:t>6.3 期间对象与失效控制</w:t>
      </w:r>
      <w:bookmarkEnd w:id="27"/>
    </w:p>
    <w:p>
      <w:r>
        <w:rPr>
          <w:rFonts w:ascii="Arial" w:hAnsi="Arial" w:eastAsia="宋体"/>
          <w:b w:val="0"/>
          <w:i w:val="0"/>
        </w:rPr>
        <w:t>periods 的键例如 group:9 或 mfg:9。对象包含 submissionChecked、checksRun、icConfirmed、commentary、signed、icReason、commentaryText、checksFingerprint、signedAt 等字段。签核是范围及期间的业务状态，不能用浏览器按钮是否变灰代替数据库状态。</w:t>
      </w:r>
    </w:p>
    <w:p>
      <w:r>
        <w:rPr>
          <w:rFonts w:ascii="Arial" w:hAnsi="Arial" w:eastAsia="宋体"/>
          <w:b w:val="0"/>
          <w:i w:val="0"/>
        </w:rPr>
        <w:t>源指纹按当前月相关源数据生成 SHA-256：包括法人、科目、汇率、月度权重、该月独立报送、当月适用凭证及标准化上下文。签核前会重新计算指纹并重跑校验。凭证审批、当前月导入等会使关联月份的旧报送、校验、往来确认和签核失效；其他月份独立覆盖及签核保持。基础档案、科目或汇率等全局变化会影响全部有关期间，已有签核时需先处理保护状态。</w:t>
      </w:r>
    </w:p>
    <w:p>
      <w:pPr>
        <w:pStyle w:val="Heading2"/>
      </w:pPr>
      <w:bookmarkStart w:id="28" w:name="epm_28"/>
      <w:r>
        <w:rPr>
          <w:rFonts w:ascii="Arial" w:hAnsi="Arial" w:eastAsia="宋体"/>
          <w:b w:val="0"/>
          <w:i w:val="0"/>
        </w:rPr>
        <w:t>6.4 备份与恢复原则</w:t>
      </w:r>
      <w:bookmarkEnd w:id="28"/>
    </w:p>
    <w:p>
      <w:r>
        <w:rPr>
          <w:rFonts w:ascii="Arial" w:hAnsi="Arial" w:eastAsia="宋体"/>
          <w:b w:val="0"/>
          <w:i w:val="0"/>
        </w:rPr>
        <w:t>备份对象是完整用户数据目录，而不是只复制 EXE。应先安全退出，再复制整个 TianyuanEPMDemo 数据目录；运行中单独复制 epm-demo.sqlite3 可能漏掉 WAL 中已提交内容。实例文件包含临时访问凭据，不应随公开问题报告上传。恢复和版本升级应在新的隔离目录验证，不直接覆盖唯一真实数据副本。</w:t>
      </w:r>
    </w:p>
    <w:p>
      <w:r>
        <w:rPr>
          <w:rFonts w:ascii="Arial" w:hAnsi="Arial" w:eastAsia="宋体"/>
          <w:b w:val="0"/>
          <w:i w:val="0"/>
        </w:rPr>
        <w:t>本轮已验证同一数据目录停止、重启并读回已保存数据；这不等同已经完成生产数据库灾备、跨版本自动迁移或多人恢复演练。正式产品需明确备份保留策略、加密、恢复目标、审计保留及版本迁移规则。</w:t>
      </w:r>
    </w:p>
    <w:p>
      <w:pPr>
        <w:pStyle w:val="Heading1"/>
      </w:pPr>
      <w:bookmarkStart w:id="29" w:name="epm_29"/>
      <w:r>
        <w:rPr>
          <w:rFonts w:ascii="Arial" w:hAnsi="Arial" w:eastAsia="宋体"/>
          <w:b w:val="0"/>
          <w:i w:val="0"/>
        </w:rPr>
        <w:t>7. 财务计算与三表联动</w:t>
      </w:r>
      <w:bookmarkEnd w:id="29"/>
    </w:p>
    <w:p>
      <w:pPr>
        <w:pStyle w:val="Heading2"/>
      </w:pPr>
      <w:bookmarkStart w:id="30" w:name="epm_30"/>
      <w:r>
        <w:rPr>
          <w:rFonts w:ascii="Arial" w:hAnsi="Arial" w:eastAsia="宋体"/>
          <w:b w:val="0"/>
          <w:i w:val="0"/>
        </w:rPr>
        <w:t>7.1 金额与单位</w:t>
      </w:r>
      <w:bookmarkEnd w:id="30"/>
    </w:p>
    <w:p>
      <w:r>
        <w:rPr>
          <w:rFonts w:ascii="Arial" w:hAnsi="Arial" w:eastAsia="宋体"/>
          <w:b w:val="0"/>
          <w:i w:val="0"/>
        </w:rPr>
        <w:t>金额进入领域规则时转换为 Decimal，拒绝布尔值、NaN、无穷值、超限或多于两位小数的数据。金额上限是数值绝对值 1,000,000,000,000；本模型单位为万元，不应把程序中文概括文字误当企业正式额度。汇率允许最多六位小数，范围单独限制。展示阶段按分位量化和四舍五入；浏览器 JSON 使用数值便于显示，但金额校验及主要财务运算不能改成 JavaScript 浮点规则作为最终依据。</w:t>
      </w:r>
    </w:p>
    <w:p>
      <w:pPr>
        <w:pStyle w:val="Heading2"/>
      </w:pPr>
      <w:bookmarkStart w:id="31" w:name="epm_31"/>
      <w:r>
        <w:rPr>
          <w:rFonts w:ascii="Arial" w:hAnsi="Arial" w:eastAsia="宋体"/>
          <w:b w:val="0"/>
          <w:i w:val="0"/>
        </w:rPr>
        <w:t>7.2 源数据、月份与范围</w:t>
      </w:r>
      <w:bookmarkEnd w:id="31"/>
    </w:p>
    <w:p>
      <w:r>
        <w:rPr>
          <w:rFonts w:ascii="Arial" w:hAnsi="Arial" w:eastAsia="宋体"/>
          <w:b w:val="0"/>
          <w:i w:val="0"/>
        </w:rPr>
        <w:t>基础样例的实际累计数截至 9 月。1—8 月以预置月份收入权重对基础源数进行演示分配；没有独立报送的 10—12 月沿用 9 月累计数，后续月份没有凭空生成实际发生额。某法人某月存在 periodOverrides 时，该月使用独立累计覆盖；其他月仍按其原源数据计算。</w:t>
      </w:r>
    </w:p>
    <w:p>
      <w:r>
        <w:rPr>
          <w:rFonts w:ascii="Arial" w:hAnsi="Arial" w:eastAsia="宋体"/>
          <w:b w:val="0"/>
          <w:i w:val="0"/>
        </w:rPr>
        <w:t>集团整体口径合计所选法人源值并应用该集团范围的已审批分录；法人钻取口径读取法人独立报送，不再套用整体合并抵销。mfg 范围用于演示制造子集团。新增凭证带明确 group 和 month，只影响相应范围及月度；种子凭证没有 month 字段，随基础累计演示因子分配。正式集团持股链、权益法及跨层级抵销仍需另行研发。</w:t>
      </w:r>
    </w:p>
    <w:p>
      <w:pPr>
        <w:pStyle w:val="Heading2"/>
      </w:pPr>
      <w:bookmarkStart w:id="32" w:name="epm_32"/>
      <w:r>
        <w:rPr>
          <w:rFonts w:ascii="Arial" w:hAnsi="Arial" w:eastAsia="宋体"/>
          <w:b w:val="0"/>
          <w:i w:val="0"/>
        </w:rPr>
        <w:t>7.3 默认财务基准</w:t>
      </w:r>
      <w:bookmarkEnd w:id="32"/>
    </w:p>
    <w:tbl>
      <w:tblPr>
        <w:tblStyle w:val="TableGrid"/>
        <w:tblW w:type="auto" w:w="0"/>
        <w:jc w:val="center"/>
        <w:tblLayout w:type="fixed"/>
        <w:tblLook w:firstColumn="1" w:firstRow="1" w:lastColumn="0" w:lastRow="0" w:noHBand="0" w:noVBand="1" w:val="04A0"/>
      </w:tblPr>
      <w:tblGrid>
        <w:gridCol w:w="1838"/>
        <w:gridCol w:w="3324"/>
        <w:gridCol w:w="4475"/>
      </w:tblGrid>
      <w:tr>
        <w:trPr>
          <w:cantSplit/>
          <w:tblHeader w:val="true"/>
        </w:trPr>
        <w:tc>
          <w:tcPr>
            <w:tcW w:type="dxa" w:w="18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33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种子结果（人民币万元）</w:t>
            </w:r>
          </w:p>
        </w:tc>
        <w:tc>
          <w:tcPr>
            <w:tcW w:type="dxa" w:w="44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形成依据</w:t>
            </w:r>
          </w:p>
        </w:tc>
      </w:tr>
      <w:tr>
        <w:trPr>
          <w:cantSplit/>
        </w:trPr>
        <w:tc>
          <w:tcPr>
            <w:tcW w:type="dxa" w:w="1838"/>
            <w:vAlign w:val="top"/>
            <w:tcMar>
              <w:top w:w="65" w:type="dxa"/>
              <w:bottom w:w="65" w:type="dxa"/>
              <w:left w:w="65" w:type="dxa"/>
              <w:right w:w="65" w:type="dxa"/>
            </w:tcMar>
          </w:tcPr>
          <w:p>
            <w:pPr>
              <w:spacing w:before="30" w:after="30" w:line="252" w:lineRule="auto"/>
            </w:pPr>
            <w:r>
              <w:rPr>
                <w:rFonts w:ascii="Arial" w:hAnsi="Arial" w:eastAsia="宋体"/>
                <w:b w:val="0"/>
                <w:i w:val="0"/>
                <w:sz w:val="19"/>
              </w:rPr>
              <w:t>营业收入</w:t>
            </w:r>
          </w:p>
        </w:tc>
        <w:tc>
          <w:tcPr>
            <w:tcW w:type="dxa" w:w="3324"/>
            <w:vAlign w:val="top"/>
            <w:tcMar>
              <w:top w:w="65" w:type="dxa"/>
              <w:bottom w:w="65" w:type="dxa"/>
              <w:left w:w="65" w:type="dxa"/>
              <w:right w:w="65" w:type="dxa"/>
            </w:tcMar>
          </w:tcPr>
          <w:p>
            <w:pPr>
              <w:spacing w:before="30" w:after="30" w:line="252" w:lineRule="auto"/>
            </w:pPr>
            <w:r>
              <w:rPr>
                <w:rFonts w:ascii="Arial" w:hAnsi="Arial" w:eastAsia="宋体"/>
                <w:b w:val="0"/>
                <w:i w:val="0"/>
                <w:sz w:val="19"/>
              </w:rPr>
              <w:t>13,000.00</w:t>
            </w:r>
          </w:p>
        </w:tc>
        <w:tc>
          <w:tcPr>
            <w:tcW w:type="dxa" w:w="4475"/>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法人收入 14,800.00，内部销售抵销 -1,800.00</w:t>
            </w:r>
          </w:p>
        </w:tc>
      </w:tr>
      <w:tr>
        <w:trPr>
          <w:cantSplit/>
        </w:trPr>
        <w:tc>
          <w:tcPr>
            <w:tcW w:type="dxa" w:w="18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营业成本</w:t>
            </w:r>
          </w:p>
        </w:tc>
        <w:tc>
          <w:tcPr>
            <w:tcW w:type="dxa" w:w="33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7,620.00</w:t>
            </w:r>
          </w:p>
        </w:tc>
        <w:tc>
          <w:tcPr>
            <w:tcW w:type="dxa" w:w="44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法人成本 9,300.00，内部销售 -1,800.00，未实现利润 +120.00</w:t>
            </w:r>
          </w:p>
        </w:tc>
      </w:tr>
      <w:tr>
        <w:trPr>
          <w:cantSplit/>
        </w:trPr>
        <w:tc>
          <w:tcPr>
            <w:tcW w:type="dxa" w:w="1838"/>
            <w:vAlign w:val="top"/>
            <w:tcMar>
              <w:top w:w="65" w:type="dxa"/>
              <w:bottom w:w="65" w:type="dxa"/>
              <w:left w:w="65" w:type="dxa"/>
              <w:right w:w="65" w:type="dxa"/>
            </w:tcMar>
          </w:tcPr>
          <w:p>
            <w:pPr>
              <w:spacing w:before="30" w:after="30" w:line="252" w:lineRule="auto"/>
            </w:pPr>
            <w:r>
              <w:rPr>
                <w:rFonts w:ascii="Arial" w:hAnsi="Arial" w:eastAsia="宋体"/>
                <w:b w:val="0"/>
                <w:i w:val="0"/>
                <w:sz w:val="19"/>
              </w:rPr>
              <w:t>期间费用</w:t>
            </w:r>
          </w:p>
        </w:tc>
        <w:tc>
          <w:tcPr>
            <w:tcW w:type="dxa" w:w="3324"/>
            <w:vAlign w:val="top"/>
            <w:tcMar>
              <w:top w:w="65" w:type="dxa"/>
              <w:bottom w:w="65" w:type="dxa"/>
              <w:left w:w="65" w:type="dxa"/>
              <w:right w:w="65" w:type="dxa"/>
            </w:tcMar>
          </w:tcPr>
          <w:p>
            <w:pPr>
              <w:spacing w:before="30" w:after="30" w:line="252" w:lineRule="auto"/>
            </w:pPr>
            <w:r>
              <w:rPr>
                <w:rFonts w:ascii="Arial" w:hAnsi="Arial" w:eastAsia="宋体"/>
                <w:b w:val="0"/>
                <w:i w:val="0"/>
                <w:sz w:val="19"/>
              </w:rPr>
              <w:t>2,920.00</w:t>
            </w:r>
          </w:p>
        </w:tc>
        <w:tc>
          <w:tcPr>
            <w:tcW w:type="dxa" w:w="4475"/>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法人费用 2,900.00，后续折旧调整 +20.00</w:t>
            </w:r>
          </w:p>
        </w:tc>
      </w:tr>
      <w:tr>
        <w:trPr>
          <w:cantSplit/>
        </w:trPr>
        <w:tc>
          <w:tcPr>
            <w:tcW w:type="dxa" w:w="18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财务费用</w:t>
            </w:r>
          </w:p>
        </w:tc>
        <w:tc>
          <w:tcPr>
            <w:tcW w:type="dxa" w:w="33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170.00</w:t>
            </w:r>
          </w:p>
        </w:tc>
        <w:tc>
          <w:tcPr>
            <w:tcW w:type="dxa" w:w="44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法人累计费用合计</w:t>
            </w:r>
          </w:p>
        </w:tc>
      </w:tr>
      <w:tr>
        <w:trPr>
          <w:cantSplit/>
        </w:trPr>
        <w:tc>
          <w:tcPr>
            <w:tcW w:type="dxa" w:w="1838"/>
            <w:vAlign w:val="top"/>
            <w:tcMar>
              <w:top w:w="65" w:type="dxa"/>
              <w:bottom w:w="65" w:type="dxa"/>
              <w:left w:w="65" w:type="dxa"/>
              <w:right w:w="65" w:type="dxa"/>
            </w:tcMar>
          </w:tcPr>
          <w:p>
            <w:pPr>
              <w:spacing w:before="30" w:after="30" w:line="252" w:lineRule="auto"/>
            </w:pPr>
            <w:r>
              <w:rPr>
                <w:rFonts w:ascii="Arial" w:hAnsi="Arial" w:eastAsia="宋体"/>
                <w:b w:val="0"/>
                <w:i w:val="0"/>
                <w:sz w:val="19"/>
              </w:rPr>
              <w:t>所得税费用</w:t>
            </w:r>
          </w:p>
        </w:tc>
        <w:tc>
          <w:tcPr>
            <w:tcW w:type="dxa" w:w="3324"/>
            <w:vAlign w:val="top"/>
            <w:tcMar>
              <w:top w:w="65" w:type="dxa"/>
              <w:bottom w:w="65" w:type="dxa"/>
              <w:left w:w="65" w:type="dxa"/>
              <w:right w:w="65" w:type="dxa"/>
            </w:tcMar>
          </w:tcPr>
          <w:p>
            <w:pPr>
              <w:spacing w:before="30" w:after="30" w:line="252" w:lineRule="auto"/>
            </w:pPr>
            <w:r>
              <w:rPr>
                <w:rFonts w:ascii="Arial" w:hAnsi="Arial" w:eastAsia="宋体"/>
                <w:b w:val="0"/>
                <w:i w:val="0"/>
                <w:sz w:val="19"/>
              </w:rPr>
              <w:t>570.00</w:t>
            </w:r>
          </w:p>
        </w:tc>
        <w:tc>
          <w:tcPr>
            <w:tcW w:type="dxa" w:w="4475"/>
            <w:vAlign w:val="top"/>
            <w:tcMar>
              <w:top w:w="65" w:type="dxa"/>
              <w:bottom w:w="65" w:type="dxa"/>
              <w:left w:w="65" w:type="dxa"/>
              <w:right w:w="65" w:type="dxa"/>
            </w:tcMar>
          </w:tcPr>
          <w:p>
            <w:pPr>
              <w:spacing w:before="30" w:after="30" w:line="252" w:lineRule="auto"/>
            </w:pPr>
            <w:r>
              <w:rPr>
                <w:rFonts w:ascii="Arial" w:hAnsi="Arial" w:eastAsia="宋体"/>
                <w:b w:val="0"/>
                <w:i w:val="0"/>
                <w:sz w:val="19"/>
              </w:rPr>
              <w:t>源税费 605.00，示例税项影响 -30.00 和 -5.00</w:t>
            </w:r>
          </w:p>
        </w:tc>
      </w:tr>
      <w:tr>
        <w:trPr>
          <w:cantSplit/>
        </w:trPr>
        <w:tc>
          <w:tcPr>
            <w:tcW w:type="dxa" w:w="18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净利润</w:t>
            </w:r>
          </w:p>
        </w:tc>
        <w:tc>
          <w:tcPr>
            <w:tcW w:type="dxa" w:w="33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1,720.00</w:t>
            </w:r>
          </w:p>
        </w:tc>
        <w:tc>
          <w:tcPr>
            <w:tcW w:type="dxa" w:w="44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13,000－7,620－2,920－170－570</w:t>
            </w:r>
          </w:p>
        </w:tc>
      </w:tr>
      <w:tr>
        <w:trPr>
          <w:cantSplit/>
        </w:trPr>
        <w:tc>
          <w:tcPr>
            <w:tcW w:type="dxa" w:w="1838"/>
            <w:vAlign w:val="top"/>
            <w:tcMar>
              <w:top w:w="65" w:type="dxa"/>
              <w:bottom w:w="65" w:type="dxa"/>
              <w:left w:w="65" w:type="dxa"/>
              <w:right w:w="65" w:type="dxa"/>
            </w:tcMar>
          </w:tcPr>
          <w:p>
            <w:pPr>
              <w:spacing w:before="30" w:after="30" w:line="252" w:lineRule="auto"/>
            </w:pPr>
            <w:r>
              <w:rPr>
                <w:rFonts w:ascii="Arial" w:hAnsi="Arial" w:eastAsia="宋体"/>
                <w:b w:val="0"/>
                <w:i w:val="0"/>
                <w:sz w:val="19"/>
              </w:rPr>
              <w:t>资产／负债／权益</w:t>
            </w:r>
          </w:p>
        </w:tc>
        <w:tc>
          <w:tcPr>
            <w:tcW w:type="dxa" w:w="3324"/>
            <w:vAlign w:val="top"/>
            <w:tcMar>
              <w:top w:w="65" w:type="dxa"/>
              <w:bottom w:w="65" w:type="dxa"/>
              <w:left w:w="65" w:type="dxa"/>
              <w:right w:w="65" w:type="dxa"/>
            </w:tcMar>
          </w:tcPr>
          <w:p>
            <w:pPr>
              <w:spacing w:before="30" w:after="30" w:line="252" w:lineRule="auto"/>
            </w:pPr>
            <w:r>
              <w:rPr>
                <w:rFonts w:ascii="Arial" w:hAnsi="Arial" w:eastAsia="宋体"/>
                <w:b w:val="0"/>
                <w:i w:val="0"/>
                <w:sz w:val="19"/>
              </w:rPr>
              <w:t>9,580.00／4,730.00／4,850.00</w:t>
            </w:r>
          </w:p>
        </w:tc>
        <w:tc>
          <w:tcPr>
            <w:tcW w:type="dxa" w:w="4475"/>
            <w:vAlign w:val="top"/>
            <w:tcMar>
              <w:top w:w="65" w:type="dxa"/>
              <w:bottom w:w="65" w:type="dxa"/>
              <w:left w:w="65" w:type="dxa"/>
              <w:right w:w="65" w:type="dxa"/>
            </w:tcMar>
          </w:tcPr>
          <w:p>
            <w:pPr>
              <w:spacing w:before="30" w:after="30" w:line="252" w:lineRule="auto"/>
            </w:pPr>
            <w:r>
              <w:rPr>
                <w:rFonts w:ascii="Arial" w:hAnsi="Arial" w:eastAsia="宋体"/>
                <w:b w:val="0"/>
                <w:i w:val="0"/>
                <w:sz w:val="19"/>
              </w:rPr>
              <w:t>源余额与已审批分录影响后汇总</w:t>
            </w:r>
          </w:p>
        </w:tc>
      </w:tr>
      <w:tr>
        <w:trPr>
          <w:cantSplit/>
        </w:trPr>
        <w:tc>
          <w:tcPr>
            <w:tcW w:type="dxa" w:w="18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经营现金流／期末现金</w:t>
            </w:r>
          </w:p>
        </w:tc>
        <w:tc>
          <w:tcPr>
            <w:tcW w:type="dxa" w:w="33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1,450.00／2,050.00</w:t>
            </w:r>
          </w:p>
        </w:tc>
        <w:tc>
          <w:tcPr>
            <w:tcW w:type="dxa" w:w="44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报送现金流与现金余额勾稽</w:t>
            </w:r>
          </w:p>
        </w:tc>
      </w:tr>
    </w:tbl>
    <w:p>
      <w:pPr>
        <w:spacing w:after="40"/>
      </w:pPr>
    </w:p>
    <w:p>
      <w:r>
        <w:rPr>
          <w:rFonts w:ascii="Arial" w:hAnsi="Arial" w:eastAsia="宋体"/>
          <w:b w:val="0"/>
          <w:i w:val="0"/>
        </w:rPr>
        <w:t>利润表逐项计算毛利、财务费用前营业利润、利润总额和净利润。资产负债表分别合计资产、负债和权益，不通过补数把差额强行消除。涉及损益的合并凭证在没有显式留存收益行时把净影响结转至留存收益；资本和少数股东出资变化作为明确的所有者投入及分配参与权益勾稽。</w:t>
      </w:r>
    </w:p>
    <w:p>
      <w:pPr>
        <w:pStyle w:val="Heading2"/>
      </w:pPr>
      <w:bookmarkStart w:id="33" w:name="epm_33"/>
      <w:r>
        <w:rPr>
          <w:rFonts w:ascii="Arial" w:hAnsi="Arial" w:eastAsia="宋体"/>
          <w:b w:val="0"/>
          <w:i w:val="0"/>
        </w:rPr>
        <w:t>7.4 现金流与勾稽</w:t>
      </w:r>
      <w:bookmarkEnd w:id="33"/>
    </w:p>
    <w:p>
      <w:r>
        <w:rPr>
          <w:rFonts w:ascii="Arial" w:hAnsi="Arial" w:eastAsia="宋体"/>
          <w:b w:val="0"/>
          <w:i w:val="0"/>
        </w:rPr>
        <w:t>现金流展示经营、投资、筹资净额，现金净增加额，以及期初与期末现金。间接法解释中的“非现金及其他经营调整”由已报送现金流和营运余额变动桥接，不代表完成了真实凭证的现金流自动分类。</w:t>
      </w:r>
    </w:p>
    <w:p>
      <w:r>
        <w:rPr>
          <w:rFonts w:ascii="Arial" w:hAnsi="Arial" w:eastAsia="宋体"/>
          <w:b w:val="0"/>
          <w:i w:val="0"/>
        </w:rPr>
        <w:t>CSV 只含科目借贷余额，无法独立重建现金流分类。当前实现保留原样例投资及筹资现金流，以现金变动扣除二者估算经营净额，并设置 cashflowEstimated 标记。包含现金变动的新增合并凭证必须指定 operating、investing 或 financing 类别，现金影响才会同步加入对应现金流；纯凭证借贷平衡不能替代现金流勾稽。</w:t>
      </w:r>
    </w:p>
    <w:p>
      <w:r>
        <w:rPr>
          <w:rFonts w:ascii="Arial" w:hAnsi="Arial" w:eastAsia="宋体"/>
          <w:b w:val="0"/>
          <w:i w:val="0"/>
        </w:rPr>
        <w:t>核心校验包括法人期初及期末资产负债平衡、现金变化与三类流量、权益变化与净利润和投入分配，以及集团三表对应关系。默认 18 项勾稽通过，后续输入仍必须重新计算，不能把默认“通过”作为所有导入的结论。</w:t>
      </w:r>
    </w:p>
    <w:p>
      <w:pPr>
        <w:pStyle w:val="Heading2"/>
      </w:pPr>
      <w:bookmarkStart w:id="34" w:name="epm_34"/>
      <w:r>
        <w:rPr>
          <w:rFonts w:ascii="Arial" w:hAnsi="Arial" w:eastAsia="宋体"/>
          <w:b w:val="0"/>
          <w:i w:val="0"/>
        </w:rPr>
        <w:t>7.5 美元展示与前端金额处理</w:t>
      </w:r>
      <w:bookmarkEnd w:id="34"/>
    </w:p>
    <w:p>
      <w:r>
        <w:rPr>
          <w:rFonts w:ascii="Arial" w:hAnsi="Arial" w:eastAsia="宋体"/>
          <w:b w:val="0"/>
          <w:i w:val="0"/>
        </w:rPr>
        <w:t>所有源法人金额和预算输入以人民币万元保存。请求 USD 时，服务端 statement、entityActuals、monthlyActuals 已按汇率换成万美元；这只是展示换算，不等同平均汇率、期末汇率、历史汇率及外币报表折算差额的完整会计处理。</w:t>
      </w:r>
    </w:p>
    <w:p>
      <w:r>
        <w:rPr>
          <w:rFonts w:ascii="Arial" w:hAnsi="Arial" w:eastAsia="宋体"/>
          <w:b w:val="0"/>
          <w:i w:val="0"/>
        </w:rPr>
        <w:t>为沿用原型内部展示函数，当前前端把部分 API 展示金额恢复到人民币内部显示基准，再由统一 money 函数除以展示汇率。新开发接口消费者应直接遵守 API 返回单位，不能照抄内部适配步骤再次除汇率。百分比不是金额，不能随汇率放大。金额类型相同也应区分现金流“应收变动”与资产负债“应收余额”，钻取时依据当前报表类型取行。</w:t>
      </w:r>
    </w:p>
    <w:p>
      <w:pPr>
        <w:pStyle w:val="Heading1"/>
      </w:pPr>
      <w:bookmarkStart w:id="35" w:name="epm_35"/>
      <w:r>
        <w:rPr>
          <w:rFonts w:ascii="Arial" w:hAnsi="Arial" w:eastAsia="宋体"/>
          <w:b w:val="0"/>
          <w:i w:val="0"/>
        </w:rPr>
        <w:t>8. 导入、凭证、预算及关账规则</w:t>
      </w:r>
      <w:bookmarkEnd w:id="35"/>
    </w:p>
    <w:p>
      <w:pPr>
        <w:pStyle w:val="Heading2"/>
      </w:pPr>
      <w:bookmarkStart w:id="36" w:name="epm_36"/>
      <w:r>
        <w:rPr>
          <w:rFonts w:ascii="Arial" w:hAnsi="Arial" w:eastAsia="宋体"/>
          <w:b w:val="0"/>
          <w:i w:val="0"/>
        </w:rPr>
        <w:t>8.1 CSV 原子导入</w:t>
      </w:r>
      <w:bookmarkEnd w:id="36"/>
    </w:p>
    <w:p>
      <w:r>
        <w:rPr>
          <w:rFonts w:ascii="Arial" w:hAnsi="Arial" w:eastAsia="宋体"/>
          <w:b w:val="0"/>
          <w:i w:val="0"/>
        </w:rPr>
        <w:t>表头固定为：法人编码,期间,科目编码,借方余额,贷方余额。文件为 UTF-8，可有 BOM。期间采用 2026-09 等形式，须匹配当前月份；法人和科目先存在，同法人同科目不能重复，同一行不能同时填写借贷正余额。每家法人应提交当前月整套累计余额，借贷合计必须相等。</w:t>
      </w:r>
    </w:p>
    <w:p>
      <w:r>
        <w:rPr>
          <w:rFonts w:ascii="Arial" w:hAnsi="Arial" w:eastAsia="宋体"/>
          <w:b w:val="0"/>
          <w:i w:val="0"/>
        </w:rPr>
        <w:t>导入过程先逐行解析并定位中文行号错误，再按法人验证整批平衡，生成损益及期末余额，结转净利润至留存收益，记录 sourceBatch 和 profitClosed，最后在事务内替换该月该法人的独立覆盖并记录批次。任意行错误、重复或不平衡，都不写入部分成功数据。</w:t>
      </w:r>
    </w:p>
    <w:p>
      <w:r>
        <w:rPr>
          <w:rFonts w:ascii="Arial" w:hAnsi="Arial" w:eastAsia="宋体"/>
          <w:b w:val="0"/>
          <w:i w:val="0"/>
        </w:rPr>
        <w:t>真实 ERP 对接前必须明确损益结转口径。当前 CSV 逻辑按源损益计算净利并结转留存，不能未经核对直接把已结转且仍带本期损益的另一口径试算表套入。正式接入还需验证科目映射、辅助维度、本位币、累计／发生额、期初和现金流分类。</w:t>
      </w:r>
    </w:p>
    <w:p>
      <w:pPr>
        <w:pStyle w:val="Heading2"/>
      </w:pPr>
      <w:bookmarkStart w:id="37" w:name="epm_37"/>
      <w:r>
        <w:rPr>
          <w:rFonts w:ascii="Arial" w:hAnsi="Arial" w:eastAsia="宋体"/>
          <w:b w:val="0"/>
          <w:i w:val="0"/>
        </w:rPr>
        <w:t>8.2 合并凭证</w:t>
      </w:r>
      <w:bookmarkEnd w:id="37"/>
    </w:p>
    <w:p>
      <w:r>
        <w:rPr>
          <w:rFonts w:ascii="Arial" w:hAnsi="Arial" w:eastAsia="宋体"/>
          <w:b w:val="0"/>
          <w:i w:val="0"/>
        </w:rPr>
        <w:t>凭证明细包含 accountCode、debit、credit；服务端允许 2—100 行，当前页面便捷录入 2—4 行。每行必须且只能一个方向为正，整张借贷相等。服务端根据已存在科目的 field 和 normalSide 计算 effects，不接受用户任意填写财务影响对象。</w:t>
      </w:r>
    </w:p>
    <w:p>
      <w:r>
        <w:rPr>
          <w:rFonts w:ascii="Arial" w:hAnsi="Arial" w:eastAsia="宋体"/>
          <w:b w:val="0"/>
          <w:i w:val="0"/>
        </w:rPr>
        <w:t>保存草稿不改变报表。负责人审批后才纳入当期计算，并使旧确认和校验失效。含现金科目净变动须选现金流类别；新增费用借 10、现金贷 10、经营类别的凭证审批后，默认净利由 1,720 变成 1,710，经营现金流由 1,450 变成 1,440，现金由 2,050 变成 2,040，三表仍应勾稽。这个案例是演示会计影响，不包含自动所得税重算。</w:t>
      </w:r>
    </w:p>
    <w:p>
      <w:pPr>
        <w:pStyle w:val="Heading2"/>
      </w:pPr>
      <w:bookmarkStart w:id="38" w:name="epm_38"/>
      <w:r>
        <w:rPr>
          <w:rFonts w:ascii="Arial" w:hAnsi="Arial" w:eastAsia="宋体"/>
          <w:b w:val="0"/>
          <w:i w:val="0"/>
        </w:rPr>
        <w:t>8.3 预算版本与金额</w:t>
      </w:r>
      <w:bookmarkEnd w:id="38"/>
    </w:p>
    <w:p>
      <w:r>
        <w:rPr>
          <w:rFonts w:ascii="Arial" w:hAnsi="Arial" w:eastAsia="宋体"/>
          <w:b w:val="0"/>
          <w:i w:val="0"/>
        </w:rPr>
        <w:t>四层销售预算分别为基础层、挑战层、管理层和董事会层，层级索引为 0—3。年度收入目标为四层金额之和，初始为 18,400。编制中或已退回的版本可编辑；提交后审核中，负责人审批后已审批，再锁定为已锁定。已锁定版本不能直接改层金额。</w:t>
      </w:r>
    </w:p>
    <w:p>
      <w:r>
        <w:rPr>
          <w:rFonts w:ascii="Arial" w:hAnsi="Arial" w:eastAsia="宋体"/>
          <w:b w:val="0"/>
          <w:i w:val="0"/>
        </w:rPr>
        <w:t>均匀分摊与季节权重均覆盖全年 12 月，前端按金额分位累计分配以保证月度合计等于年度目标。量价驱动要求数量为非负整数，销售目标不能小于前三层合计；差额用于更新最后一层。业务预算明细按 production、purchase、inventory、labor、expense、capital、cash 七类保存，金额为数量×单价保留两位；纯金额项目可用数量 1、单价填写金额。</w:t>
      </w:r>
    </w:p>
    <w:p>
      <w:r>
        <w:rPr>
          <w:rFonts w:ascii="Arial" w:hAnsi="Arial" w:eastAsia="宋体"/>
          <w:b w:val="0"/>
          <w:i w:val="0"/>
        </w:rPr>
        <w:t>复制版本保留完整层次、分摊、量价及业务明细，并生成独立编制中版本。调整申请保存原版本、层级、增量、原因及来源快照；审批时根据来源快照生成独立新版本，不覆盖原锁定预算。滚动预测入口创建对应情景的预算版本，不代表自动训练预测模型。</w:t>
      </w:r>
    </w:p>
    <w:p>
      <w:r>
        <w:rPr>
          <w:rFonts w:ascii="Arial" w:hAnsi="Arial" w:eastAsia="宋体"/>
          <w:b w:val="0"/>
          <w:i w:val="0"/>
        </w:rPr>
        <w:t>当前经营比较中的成本、费用、财税仍使用演示比较基准，业务预算明细独立保存。它们尚未自动汇成完整生产级利润、资产负债和现金流预算，不能把“业务明细保存成功”解释为三表全面预算模型已经完成。</w:t>
      </w:r>
    </w:p>
    <w:p>
      <w:pPr>
        <w:pStyle w:val="Heading2"/>
      </w:pPr>
      <w:bookmarkStart w:id="39" w:name="epm_39"/>
      <w:r>
        <w:rPr>
          <w:rFonts w:ascii="Arial" w:hAnsi="Arial" w:eastAsia="宋体"/>
          <w:b w:val="0"/>
          <w:i w:val="0"/>
        </w:rPr>
        <w:t>8.4 关账与签核</w:t>
      </w:r>
      <w:bookmarkEnd w:id="39"/>
    </w:p>
    <w:p>
      <w:r>
        <w:rPr>
          <w:rFonts w:ascii="Arial" w:hAnsi="Arial" w:eastAsia="宋体"/>
          <w:b w:val="0"/>
          <w:i w:val="0"/>
        </w:rPr>
        <w:t>关账前需完成报送确认、财务校验、内部往来核对说明和经营分析说明。服务器仅在四项状态满足、指纹未变化且重算校验通过时允许负责人签核。保存往来说明只记录依据和确认，不自动产生抵销凭证；经营说明不自动改报表金额。</w:t>
      </w:r>
    </w:p>
    <w:p>
      <w:r>
        <w:rPr>
          <w:rFonts w:ascii="Arial" w:hAnsi="Arial" w:eastAsia="宋体"/>
          <w:b w:val="0"/>
          <w:i w:val="0"/>
        </w:rPr>
        <w:t>签核期间受到写入保护。负责人填写原因重新开启后，旧确认和校验失效，需要依流程重走。按月财务变动会同时考虑相关集团范围的签核保护，不能通过换到制造子集团绕过同月已签核限制。8 月已签核与 9 月独立导入的隔离已被实际验收。</w:t>
      </w:r>
    </w:p>
    <w:p>
      <w:pPr>
        <w:pStyle w:val="Heading1"/>
      </w:pPr>
      <w:bookmarkStart w:id="40" w:name="epm_40"/>
      <w:r>
        <w:rPr>
          <w:rFonts w:ascii="Arial" w:hAnsi="Arial" w:eastAsia="宋体"/>
          <w:b w:val="0"/>
          <w:i w:val="0"/>
        </w:rPr>
        <w:t>9. 权限、交互安全与日志</w:t>
      </w:r>
      <w:bookmarkEnd w:id="40"/>
    </w:p>
    <w:p>
      <w:pPr>
        <w:pStyle w:val="Heading2"/>
      </w:pPr>
      <w:bookmarkStart w:id="41" w:name="epm_41"/>
      <w:r>
        <w:rPr>
          <w:rFonts w:ascii="Arial" w:hAnsi="Arial" w:eastAsia="宋体"/>
          <w:b w:val="0"/>
          <w:i w:val="0"/>
        </w:rPr>
        <w:t>9.1 三种演示角色</w:t>
      </w:r>
      <w:bookmarkEnd w:id="41"/>
    </w:p>
    <w:p>
      <w:r>
        <w:rPr>
          <w:rFonts w:ascii="Arial" w:hAnsi="Arial" w:eastAsia="宋体"/>
          <w:b w:val="0"/>
          <w:i w:val="0"/>
        </w:rPr>
        <w:t>集团财务负责人承担审批、预算锁定、签核、重新开启及基础配置等动作；法人会计可体验允许的编制和报送；审计只读不能写入。服务器用当前会话角色判断权限，不信任请求体自报的角色。前端提示、禁用按钮或隐藏操作只是体验层，不能代替后端拒绝。</w:t>
      </w:r>
    </w:p>
    <w:p>
      <w:r>
        <w:rPr>
          <w:rFonts w:ascii="Arial" w:hAnsi="Arial" w:eastAsia="宋体"/>
          <w:b w:val="0"/>
          <w:i w:val="0"/>
        </w:rPr>
        <w:t>三种角色仍可读取演示范围内的样例数据；本轮不声称已经实现生产法人数据隔离。组织权限页面应与实际能力一致。正式多用户系统还需身份源、账号生命周期、组织授权、数据范围、审批人独立性和操作责任追溯。</w:t>
      </w:r>
    </w:p>
    <w:p>
      <w:pPr>
        <w:pStyle w:val="Heading2"/>
      </w:pPr>
      <w:bookmarkStart w:id="42" w:name="epm_42"/>
      <w:r>
        <w:rPr>
          <w:rFonts w:ascii="Arial" w:hAnsi="Arial" w:eastAsia="宋体"/>
          <w:b w:val="0"/>
          <w:i w:val="0"/>
        </w:rPr>
        <w:t>9.2 输入与路径保护</w:t>
      </w:r>
      <w:bookmarkEnd w:id="42"/>
    </w:p>
    <w:p>
      <w:r>
        <w:rPr>
          <w:rFonts w:ascii="Arial" w:hAnsi="Arial" w:eastAsia="宋体"/>
          <w:b w:val="0"/>
          <w:i w:val="0"/>
        </w:rPr>
        <w:t>表单名称、说明、科目、公司及版本名等显示时使用 escapeHtml 或 textContent，防止把用户输入当作 HTML 执行。表格单元格中还包含可信按钮片段，因此不能简单取消所有 HTML，也不能把用户名称原样拼入标签属性。CSV 导出保持业务原值，页面转义只影响展示，不应为防注入而擅改数据库公司名。</w:t>
      </w:r>
    </w:p>
    <w:p>
      <w:r>
        <w:rPr>
          <w:rFonts w:ascii="Arial" w:hAnsi="Arial" w:eastAsia="宋体"/>
          <w:b w:val="0"/>
          <w:i w:val="0"/>
        </w:rPr>
        <w:t>HTTP 写请求检查 Host、Origin、会话及 CSRF，JSON 不允许 NaN 和无穷值。静态文件路径解析后必须位于固定静态根。打开数据目录接口不接收用户路径，只打开服务已确定的数据目录。管理器使用固定程序路径和进程身份核验，避免 shell 参数解释和 PID 复用造成错误控制。</w:t>
      </w:r>
    </w:p>
    <w:p>
      <w:pPr>
        <w:pStyle w:val="Heading2"/>
      </w:pPr>
      <w:bookmarkStart w:id="43" w:name="epm_43"/>
      <w:r>
        <w:rPr>
          <w:rFonts w:ascii="Arial" w:hAnsi="Arial" w:eastAsia="宋体"/>
          <w:b w:val="0"/>
          <w:i w:val="0"/>
        </w:rPr>
        <w:t>9.3 日志和排障信息</w:t>
      </w:r>
      <w:bookmarkEnd w:id="43"/>
    </w:p>
    <w:p>
      <w:r>
        <w:rPr>
          <w:rFonts w:ascii="Arial" w:hAnsi="Arial" w:eastAsia="宋体"/>
          <w:b w:val="0"/>
          <w:i w:val="0"/>
        </w:rPr>
        <w:t>launcher.log 记录启动、复用、结束和可定位的中文状态；backend.log 接收后端异常堆栈。网页统一展示可理解的错误，不公开内部堆栈。排障应先核对包是否完整、服务是否仍运行、实际数据路径及日志，不删除数据库来解决普通显示问题。</w:t>
      </w:r>
    </w:p>
    <w:p>
      <w:r>
        <w:rPr>
          <w:rFonts w:ascii="Arial" w:hAnsi="Arial" w:eastAsia="宋体"/>
          <w:b w:val="0"/>
          <w:i w:val="0"/>
        </w:rPr>
        <w:t>业务审计与运行日志用途不同：审计回答“哪个演示角色以什么动作改变了哪版业务”，运行日志回答“程序为什么未正常启动或响应”。两者不能互相替代。公开排障材料应遮去 instance.json、token、cookie 和真实业务数据；示例源码中只使用占位凭据。</w:t>
      </w:r>
    </w:p>
    <w:p>
      <w:pPr>
        <w:pStyle w:val="Heading1"/>
      </w:pPr>
      <w:bookmarkStart w:id="44" w:name="epm_44"/>
      <w:r>
        <w:rPr>
          <w:rFonts w:ascii="Arial" w:hAnsi="Arial" w:eastAsia="宋体"/>
          <w:b w:val="0"/>
          <w:i w:val="0"/>
        </w:rPr>
        <w:t>10. 开发、构建与交付复现</w:t>
      </w:r>
      <w:bookmarkEnd w:id="44"/>
    </w:p>
    <w:p>
      <w:pPr>
        <w:pStyle w:val="Heading2"/>
      </w:pPr>
      <w:bookmarkStart w:id="45" w:name="epm_45"/>
      <w:r>
        <w:rPr>
          <w:rFonts w:ascii="Arial" w:hAnsi="Arial" w:eastAsia="宋体"/>
          <w:b w:val="0"/>
          <w:i w:val="0"/>
        </w:rPr>
        <w:t>10.1 开发启动</w:t>
      </w:r>
      <w:bookmarkEnd w:id="45"/>
    </w:p>
    <w:p>
      <w:r>
        <w:rPr>
          <w:rFonts w:ascii="Arial" w:hAnsi="Arial" w:eastAsia="宋体"/>
          <w:b w:val="0"/>
          <w:i w:val="0"/>
        </w:rPr>
        <w:t>开发机准备 Python 3.12 或兼容的更新版本。后端不安装第三方 Web 框架；前端构建也只依赖标准库。以下命令从源码根目录执行，数据目录应选择新的隔离路径：</w:t>
      </w:r>
    </w:p>
    <w:p>
      <w:pPr>
        <w:spacing w:before="0" w:after="0" w:line="240" w:lineRule="auto"/>
        <w:ind w:left="113"/>
        <w:shd w:fill="F4F6FA"/>
      </w:pPr>
      <w:r>
        <w:rPr>
          <w:rFonts w:ascii="Consolas" w:hAnsi="Consolas" w:eastAsia="宋体"/>
          <w:sz w:val="16"/>
        </w:rPr>
        <w:t>python frontend-build.py</w:t>
      </w:r>
    </w:p>
    <w:p>
      <w:pPr>
        <w:spacing w:before="0" w:after="0" w:line="240" w:lineRule="auto"/>
        <w:ind w:left="113"/>
        <w:shd w:fill="F4F6FA"/>
      </w:pPr>
      <w:r>
        <w:rPr>
          <w:rFonts w:ascii="Consolas" w:hAnsi="Consolas" w:eastAsia="宋体"/>
          <w:sz w:val="16"/>
        </w:rPr>
        <w:t>python -I backend/server.py --data-dir /tmp/tianyuan-dev-data --port 0 --no-browser</w:t>
      </w:r>
    </w:p>
    <w:p>
      <w:pPr>
        <w:spacing w:after="20"/>
      </w:pPr>
    </w:p>
    <w:p>
      <w:r>
        <w:rPr>
          <w:rFonts w:ascii="Arial" w:hAnsi="Arial" w:eastAsia="宋体"/>
          <w:b w:val="0"/>
          <w:i w:val="0"/>
        </w:rPr>
        <w:t>第二条输出含当前进程启动凭据的 ready JSON，开发人员在本机用其中地址打开浏览器即可。不要把输出贴进公开文档。开发页源改动后必须重新执行前端构建；只改 src 而不改 dist，会导致测试与交付不是同一代码。后端在隔离模式下只把可信 backend 目录加入模块搜索路径，支持兄弟模块导入。</w:t>
      </w:r>
    </w:p>
    <w:p>
      <w:r>
        <w:rPr>
          <w:rFonts w:ascii="Arial" w:hAnsi="Arial" w:eastAsia="宋体"/>
          <w:b w:val="0"/>
          <w:i w:val="0"/>
        </w:rPr>
        <w:t>新增动作的一般步骤为：补充 API-CONTRACT；在 engine 中验证角色、状态和 payload；明确失效范围；通过 Store 事务执行；前端表单提交并处理中文错误；增加具有独立预期结果的领域或 HTTP 验证；最后确认运行包引用的 HTML 和后端源码字节。金额和会计规则变化应补财务基准，而不只测按钮能点击。</w:t>
      </w:r>
    </w:p>
    <w:p>
      <w:pPr>
        <w:pStyle w:val="Heading2"/>
      </w:pPr>
      <w:bookmarkStart w:id="46" w:name="epm_46"/>
      <w:r>
        <w:rPr>
          <w:rFonts w:ascii="Arial" w:hAnsi="Arial" w:eastAsia="宋体"/>
          <w:b w:val="0"/>
          <w:i w:val="0"/>
        </w:rPr>
        <w:t>10.2 Windows 原生构建</w:t>
      </w:r>
      <w:bookmarkEnd w:id="46"/>
    </w:p>
    <w:p>
      <w:r>
        <w:rPr>
          <w:rFonts w:ascii="Arial" w:hAnsi="Arial" w:eastAsia="宋体"/>
          <w:b w:val="0"/>
          <w:i w:val="0"/>
        </w:rPr>
        <w:t>本轮使用 Zig 0.14.1，通过安装 ziglang==0.14.1 的 Linux 构建 Python 交叉编译 x86_64-windows-gnu。构建脚本指定 Unicode、GUI 子系统、优化和严格编译警告，链接 Windows shell32、user32；运行时不依赖用户安装 Zig 或编译器。</w:t>
      </w:r>
    </w:p>
    <w:p>
      <w:r>
        <w:rPr>
          <w:rFonts w:ascii="Arial" w:hAnsi="Arial" w:eastAsia="宋体"/>
          <w:b w:val="0"/>
          <w:i w:val="0"/>
        </w:rPr>
        <w:t>研发人员准备完整的 Windows x64 Python 3.12 运行目录，包含 python.exe、pythonw.exe、DLLs、Lib、Python DLL 及所需 VC 运行库。Python 源目录必须与构建输出分离，避免覆盖输入。编译器和运行时输入路径可以由参数替换：</w:t>
      </w:r>
    </w:p>
    <w:p>
      <w:pPr>
        <w:spacing w:before="0" w:after="0" w:line="240" w:lineRule="auto"/>
        <w:ind w:left="113"/>
        <w:shd w:fill="F4F6FA"/>
      </w:pPr>
      <w:r>
        <w:rPr>
          <w:rFonts w:ascii="Consolas" w:hAnsi="Consolas" w:eastAsia="宋体"/>
          <w:sz w:val="16"/>
        </w:rPr>
        <w:t>/path/to/build-python build_windows.py \</w:t>
      </w:r>
    </w:p>
    <w:p>
      <w:pPr>
        <w:spacing w:before="0" w:after="0" w:line="240" w:lineRule="auto"/>
        <w:ind w:left="113"/>
        <w:shd w:fill="F4F6FA"/>
      </w:pPr>
      <w:r>
        <w:rPr>
          <w:rFonts w:ascii="Consolas" w:hAnsi="Consolas" w:eastAsia="宋体"/>
          <w:sz w:val="16"/>
        </w:rPr>
        <w:t xml:space="preserve">  --compiler-python /path/to/build-python \</w:t>
      </w:r>
    </w:p>
    <w:p>
      <w:pPr>
        <w:spacing w:before="0" w:after="0" w:line="240" w:lineRule="auto"/>
        <w:ind w:left="113"/>
        <w:shd w:fill="F4F6FA"/>
      </w:pPr>
      <w:r>
        <w:rPr>
          <w:rFonts w:ascii="Consolas" w:hAnsi="Consolas" w:eastAsia="宋体"/>
          <w:sz w:val="16"/>
        </w:rPr>
        <w:t xml:space="preserve">  --python-source /path/to/windows-python-runtime \</w:t>
      </w:r>
    </w:p>
    <w:p>
      <w:pPr>
        <w:spacing w:before="0" w:after="0" w:line="240" w:lineRule="auto"/>
        <w:ind w:left="113"/>
        <w:shd w:fill="F4F6FA"/>
      </w:pPr>
      <w:r>
        <w:rPr>
          <w:rFonts w:ascii="Consolas" w:hAnsi="Consolas" w:eastAsia="宋体"/>
          <w:sz w:val="16"/>
        </w:rPr>
        <w:t xml:space="preserve">  --output /path/to/output/TianyuanEPMDemo</w:t>
      </w:r>
    </w:p>
    <w:p>
      <w:pPr>
        <w:spacing w:before="0" w:after="0" w:line="240" w:lineRule="auto"/>
        <w:ind w:left="113"/>
        <w:shd w:fill="F4F6FA"/>
      </w:pPr>
      <w:r>
        <w:rPr>
          <w:rFonts w:ascii="Consolas" w:hAnsi="Consolas" w:eastAsia="宋体"/>
          <w:sz w:val="16"/>
        </w:rPr>
      </w:r>
    </w:p>
    <w:p>
      <w:pPr>
        <w:spacing w:before="0" w:after="0" w:line="240" w:lineRule="auto"/>
        <w:ind w:left="113"/>
        <w:shd w:fill="F4F6FA"/>
      </w:pPr>
      <w:r>
        <w:rPr>
          <w:rFonts w:ascii="Consolas" w:hAnsi="Consolas" w:eastAsia="宋体"/>
          <w:sz w:val="16"/>
        </w:rPr>
        <w:t>/path/to/build-python package_windows.py \</w:t>
      </w:r>
    </w:p>
    <w:p>
      <w:pPr>
        <w:spacing w:before="0" w:after="0" w:line="240" w:lineRule="auto"/>
        <w:ind w:left="113"/>
        <w:shd w:fill="F4F6FA"/>
      </w:pPr>
      <w:r>
        <w:rPr>
          <w:rFonts w:ascii="Consolas" w:hAnsi="Consolas" w:eastAsia="宋体"/>
          <w:sz w:val="16"/>
        </w:rPr>
        <w:t xml:space="preserve">  --source /path/to/output/TianyuanEPMDemo \</w:t>
      </w:r>
    </w:p>
    <w:p>
      <w:pPr>
        <w:spacing w:before="0" w:after="0" w:line="240" w:lineRule="auto"/>
        <w:ind w:left="113"/>
        <w:shd w:fill="F4F6FA"/>
      </w:pPr>
      <w:r>
        <w:rPr>
          <w:rFonts w:ascii="Consolas" w:hAnsi="Consolas" w:eastAsia="宋体"/>
          <w:sz w:val="16"/>
        </w:rPr>
        <w:t xml:space="preserve">  --output /path/to/output/TianyuanEPMDemo-Windows-x64.zip</w:t>
      </w:r>
    </w:p>
    <w:p>
      <w:pPr>
        <w:spacing w:after="20"/>
      </w:pPr>
    </w:p>
    <w:p>
      <w:r>
        <w:rPr>
          <w:rFonts w:ascii="Arial" w:hAnsi="Arial" w:eastAsia="宋体"/>
          <w:b w:val="0"/>
          <w:i w:val="0"/>
        </w:rPr>
        <w:t>源树、文档、测试说明和许可一并收录。包内 Python 原始许可保持，EXE 当前未附数字签名。用户执行的是完整 ZIP 解压出的程序，不是只有一个脱离依赖文件夹的单独 EXE；“无需安装 Python”表示运行时已随包提供。</w:t>
      </w:r>
    </w:p>
    <w:p>
      <w:pPr>
        <w:pStyle w:val="Heading2"/>
      </w:pPr>
      <w:bookmarkStart w:id="47" w:name="epm_47"/>
      <w:r>
        <w:rPr>
          <w:rFonts w:ascii="Arial" w:hAnsi="Arial" w:eastAsia="宋体"/>
          <w:b w:val="0"/>
          <w:i w:val="0"/>
        </w:rPr>
        <w:t>10.3 发布校验</w:t>
      </w:r>
      <w:bookmarkEnd w:id="47"/>
    </w:p>
    <w:p>
      <w:r>
        <w:rPr>
          <w:rFonts w:ascii="Arial" w:hAnsi="Arial" w:eastAsia="宋体"/>
          <w:b w:val="0"/>
          <w:i w:val="0"/>
        </w:rPr>
        <w:t>构建检查原生二进制为 x64 Windows GUI 子系统。打包器生成逐文件 SHA-256，并拒绝数据库、instance.json、日志、环境秘密文件等运行数据。最终 ZIP 既检查 CRC，又核对文件清单；本轮 1,387 个文件摘要通过，ZIP 共 1,388 项，含清单自身。</w:t>
      </w:r>
    </w:p>
    <w:p>
      <w:r>
        <w:rPr>
          <w:rFonts w:ascii="Arial" w:hAnsi="Arial" w:eastAsia="宋体"/>
          <w:b w:val="0"/>
          <w:i w:val="0"/>
        </w:rPr>
        <w:t>公开发布使用固定下载提交，实际通过 HTTPS 下载 ZIP、Word 手册和界面截图后，核对字节与 SHA-256。不要只把文件放进工作区就声称用户下载可用。修改文档可以另发文档包；若修改运行代码，则必须重建、重测和重记运行包摘要，不能沿用旧验收证明新字节。</w:t>
      </w:r>
    </w:p>
    <w:p>
      <w:pPr>
        <w:pStyle w:val="Heading1"/>
      </w:pPr>
      <w:bookmarkStart w:id="48" w:name="epm_48"/>
      <w:r>
        <w:rPr>
          <w:rFonts w:ascii="Arial" w:hAnsi="Arial" w:eastAsia="宋体"/>
          <w:b w:val="0"/>
          <w:i w:val="0"/>
        </w:rPr>
        <w:t>11. 测试证据与已验证范围</w:t>
      </w:r>
      <w:bookmarkEnd w:id="48"/>
    </w:p>
    <w:tbl>
      <w:tblPr>
        <w:tblStyle w:val="TableGrid"/>
        <w:tblW w:type="auto" w:w="0"/>
        <w:jc w:val="center"/>
        <w:tblLayout w:type="fixed"/>
        <w:tblLook w:firstColumn="1" w:firstRow="1" w:lastColumn="0" w:lastRow="0" w:noHBand="0" w:noVBand="1" w:val="04A0"/>
      </w:tblPr>
      <w:tblGrid>
        <w:gridCol w:w="1702"/>
        <w:gridCol w:w="3863"/>
        <w:gridCol w:w="4072"/>
      </w:tblGrid>
      <w:tr>
        <w:trPr>
          <w:cantSplit/>
          <w:tblHeader w:val="true"/>
        </w:trPr>
        <w:tc>
          <w:tcPr>
            <w:tcW w:type="dxa" w:w="17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验证层</w:t>
            </w:r>
          </w:p>
        </w:tc>
        <w:tc>
          <w:tcPr>
            <w:tcW w:type="dxa" w:w="386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已有证据</w:t>
            </w:r>
          </w:p>
        </w:tc>
        <w:tc>
          <w:tcPr>
            <w:tcW w:type="dxa" w:w="40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能说明什么</w:t>
            </w:r>
          </w:p>
        </w:tc>
      </w:tr>
      <w:tr>
        <w:trPr>
          <w:cantSplit/>
        </w:trPr>
        <w:tc>
          <w:tcPr>
            <w:tcW w:type="dxa" w:w="1702"/>
            <w:vAlign w:val="top"/>
            <w:tcMar>
              <w:top w:w="65" w:type="dxa"/>
              <w:bottom w:w="65" w:type="dxa"/>
              <w:left w:w="65" w:type="dxa"/>
              <w:right w:w="65" w:type="dxa"/>
            </w:tcMar>
          </w:tcPr>
          <w:p>
            <w:pPr>
              <w:spacing w:before="30" w:after="30" w:line="252" w:lineRule="auto"/>
            </w:pPr>
            <w:r>
              <w:rPr>
                <w:rFonts w:ascii="Arial" w:hAnsi="Arial" w:eastAsia="宋体"/>
                <w:b w:val="0"/>
                <w:i w:val="0"/>
                <w:sz w:val="19"/>
              </w:rPr>
              <w:t>领域及财务单元</w:t>
            </w:r>
          </w:p>
        </w:tc>
        <w:tc>
          <w:tcPr>
            <w:tcW w:type="dxa" w:w="3863"/>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backend/test_finance.py、test_engine.py；29 项通过</w:t>
            </w:r>
          </w:p>
        </w:tc>
        <w:tc>
          <w:tcPr>
            <w:tcW w:type="dxa" w:w="4072"/>
            <w:vAlign w:val="top"/>
            <w:tcMar>
              <w:top w:w="65" w:type="dxa"/>
              <w:bottom w:w="65" w:type="dxa"/>
              <w:left w:w="65" w:type="dxa"/>
              <w:right w:w="65" w:type="dxa"/>
            </w:tcMar>
          </w:tcPr>
          <w:p>
            <w:pPr>
              <w:spacing w:before="30" w:after="30" w:line="252" w:lineRule="auto"/>
            </w:pPr>
            <w:r>
              <w:rPr>
                <w:rFonts w:ascii="Arial" w:hAnsi="Arial" w:eastAsia="宋体"/>
                <w:b w:val="0"/>
                <w:i w:val="0"/>
                <w:sz w:val="19"/>
              </w:rPr>
              <w:t>金额、源变化、三表勾稽、版本、角色、回滚等规则</w:t>
            </w:r>
          </w:p>
        </w:tc>
      </w:tr>
      <w:tr>
        <w:trPr>
          <w:cantSplit/>
        </w:trPr>
        <w:tc>
          <w:tcPr>
            <w:tcW w:type="dxa" w:w="1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 HTTP 与浏览器</w:t>
            </w:r>
          </w:p>
        </w:tc>
        <w:tc>
          <w:tcPr>
            <w:tcW w:type="dxa" w:w="38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acceptance/独立验收报告.md；16 组场景通过</w:t>
            </w:r>
          </w:p>
        </w:tc>
        <w:tc>
          <w:tcPr>
            <w:tcW w:type="dxa" w:w="4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真实请求、20 页面、CSV 文件、预算、凭证、签核和完整重启</w:t>
            </w:r>
          </w:p>
        </w:tc>
      </w:tr>
      <w:tr>
        <w:trPr>
          <w:cantSplit/>
        </w:trPr>
        <w:tc>
          <w:tcPr>
            <w:tcW w:type="dxa" w:w="1702"/>
            <w:vAlign w:val="top"/>
            <w:tcMar>
              <w:top w:w="65" w:type="dxa"/>
              <w:bottom w:w="65" w:type="dxa"/>
              <w:left w:w="65" w:type="dxa"/>
              <w:right w:w="65" w:type="dxa"/>
            </w:tcMar>
          </w:tcPr>
          <w:p>
            <w:pPr>
              <w:spacing w:before="30" w:after="30" w:line="252" w:lineRule="auto"/>
            </w:pPr>
            <w:r>
              <w:rPr>
                <w:rFonts w:ascii="Arial" w:hAnsi="Arial" w:eastAsia="宋体"/>
                <w:b w:val="0"/>
                <w:i w:val="0"/>
                <w:sz w:val="19"/>
              </w:rPr>
              <w:t>冻结字节</w:t>
            </w:r>
          </w:p>
        </w:tc>
        <w:tc>
          <w:tcPr>
            <w:tcW w:type="dxa" w:w="3863"/>
            <w:vAlign w:val="top"/>
            <w:tcMar>
              <w:top w:w="65" w:type="dxa"/>
              <w:bottom w:w="65" w:type="dxa"/>
              <w:left w:w="65" w:type="dxa"/>
              <w:right w:w="65" w:type="dxa"/>
            </w:tcMar>
          </w:tcPr>
          <w:p>
            <w:pPr>
              <w:spacing w:before="30" w:after="30" w:line="252" w:lineRule="auto"/>
            </w:pPr>
            <w:r>
              <w:rPr>
                <w:rFonts w:ascii="Arial" w:hAnsi="Arial" w:eastAsia="宋体"/>
                <w:b w:val="0"/>
                <w:i w:val="0"/>
                <w:sz w:val="19"/>
              </w:rPr>
              <w:t>源码SHA256SUMS、前端 HTML 摘要</w:t>
            </w:r>
          </w:p>
        </w:tc>
        <w:tc>
          <w:tcPr>
            <w:tcW w:type="dxa" w:w="4072"/>
            <w:vAlign w:val="top"/>
            <w:tcMar>
              <w:top w:w="65" w:type="dxa"/>
              <w:bottom w:w="65" w:type="dxa"/>
              <w:left w:w="65" w:type="dxa"/>
              <w:right w:w="65" w:type="dxa"/>
            </w:tcMar>
          </w:tcPr>
          <w:p>
            <w:pPr>
              <w:spacing w:before="30" w:after="30" w:line="252" w:lineRule="auto"/>
            </w:pPr>
            <w:r>
              <w:rPr>
                <w:rFonts w:ascii="Arial" w:hAnsi="Arial" w:eastAsia="宋体"/>
                <w:b w:val="0"/>
                <w:i w:val="0"/>
                <w:sz w:val="19"/>
              </w:rPr>
              <w:t>测试对象与实际交付代码对应</w:t>
            </w:r>
          </w:p>
        </w:tc>
      </w:tr>
      <w:tr>
        <w:trPr>
          <w:cantSplit/>
        </w:trPr>
        <w:tc>
          <w:tcPr>
            <w:tcW w:type="dxa" w:w="1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 启动链路</w:t>
            </w:r>
          </w:p>
        </w:tc>
        <w:tc>
          <w:tcPr>
            <w:tcW w:type="dxa" w:w="38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wine-windows-integration.json；8 项通过</w:t>
            </w:r>
          </w:p>
        </w:tc>
        <w:tc>
          <w:tcPr>
            <w:tcW w:type="dxa" w:w="4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原生 EXE→包内 Windows Python→Windows HTTP／SQLite 实际运行</w:t>
            </w:r>
          </w:p>
        </w:tc>
      </w:tr>
      <w:tr>
        <w:trPr>
          <w:cantSplit/>
        </w:trPr>
        <w:tc>
          <w:tcPr>
            <w:tcW w:type="dxa" w:w="1702"/>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独立包检查</w:t>
            </w:r>
          </w:p>
        </w:tc>
        <w:tc>
          <w:tcPr>
            <w:tcW w:type="dxa" w:w="3863"/>
            <w:vAlign w:val="top"/>
            <w:tcMar>
              <w:top w:w="65" w:type="dxa"/>
              <w:bottom w:w="65" w:type="dxa"/>
              <w:left w:w="65" w:type="dxa"/>
              <w:right w:w="65" w:type="dxa"/>
            </w:tcMar>
          </w:tcPr>
          <w:p>
            <w:pPr>
              <w:spacing w:before="30" w:after="30" w:line="252" w:lineRule="auto"/>
            </w:pPr>
            <w:r>
              <w:rPr>
                <w:rFonts w:ascii="Arial" w:hAnsi="Arial" w:eastAsia="宋体"/>
                <w:b w:val="0"/>
                <w:i w:val="0"/>
                <w:sz w:val="19"/>
              </w:rPr>
              <w:t>final-package-review.json</w:t>
            </w:r>
          </w:p>
        </w:tc>
        <w:tc>
          <w:tcPr>
            <w:tcW w:type="dxa" w:w="4072"/>
            <w:vAlign w:val="top"/>
            <w:tcMar>
              <w:top w:w="65" w:type="dxa"/>
              <w:bottom w:w="65" w:type="dxa"/>
              <w:left w:w="65" w:type="dxa"/>
              <w:right w:w="65" w:type="dxa"/>
            </w:tcMar>
          </w:tcPr>
          <w:p>
            <w:pPr>
              <w:spacing w:before="30" w:after="30" w:line="252" w:lineRule="auto"/>
            </w:pPr>
            <w:r>
              <w:rPr>
                <w:rFonts w:ascii="Arial" w:hAnsi="Arial" w:eastAsia="宋体"/>
                <w:b w:val="0"/>
                <w:i w:val="0"/>
                <w:sz w:val="19"/>
              </w:rPr>
              <w:t>ZIP CRC、逐文件摘要、Word 格式、无私有运行文件</w:t>
            </w:r>
          </w:p>
        </w:tc>
      </w:tr>
      <w:tr>
        <w:trPr>
          <w:cantSplit/>
        </w:trPr>
        <w:tc>
          <w:tcPr>
            <w:tcW w:type="dxa" w:w="1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公开下载</w:t>
            </w:r>
          </w:p>
        </w:tc>
        <w:tc>
          <w:tcPr>
            <w:tcW w:type="dxa" w:w="38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public-download-verification.json</w:t>
            </w:r>
          </w:p>
        </w:tc>
        <w:tc>
          <w:tcPr>
            <w:tcW w:type="dxa" w:w="4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固定提交的实际 HTTPS 文件与本地交付字节一致</w:t>
            </w:r>
          </w:p>
        </w:tc>
      </w:tr>
    </w:tbl>
    <w:p>
      <w:pPr>
        <w:spacing w:after="40"/>
      </w:pPr>
    </w:p>
    <w:p>
      <w:r>
        <w:rPr>
          <w:rFonts w:ascii="Arial" w:hAnsi="Arial" w:eastAsia="宋体"/>
          <w:b w:val="0"/>
          <w:i w:val="0"/>
        </w:rPr>
        <w:t>独立 HTTP 验收包括默认三表基准、直接只读 API 拒写、预算锁定及调整独立版本、合法 CSV 改表与错误整批零写入、8 月与 9 月隔离、签核及变更失效、会话／CSRF／来源保护、集团与制造子集团 24 个期间组合。浏览器实际修改预算基础层至 16,123.45，刷新及整个服务停止重启后读回同值；凭证草稿与审批影响也通过真实页面验证。</w:t>
      </w:r>
    </w:p>
    <w:p>
      <w:r>
        <w:rPr>
          <w:rFonts w:ascii="Arial" w:hAnsi="Arial" w:eastAsia="宋体"/>
          <w:b w:val="0"/>
          <w:i w:val="0"/>
        </w:rPr>
        <w:t>Windows 专项在 Wine 兼容环境运行真实 Windows 二进制和包内解释器，验证中文空格路径、重复启动、安全退出、进程随机身份、数据保存和重启。它不是 Linux 服务冒充 Windows 服务，也不等于已在实体 Windows 10／11 硬件上完成兼容验收。真实公司财务、真实 ERP、Excel 插件、生产容量、会计准则及安全认证仍需对应专项证据。</w:t>
      </w:r>
    </w:p>
    <w:p>
      <w:r>
        <w:rPr>
          <w:rFonts w:ascii="Arial" w:hAnsi="Arial" w:eastAsia="宋体"/>
          <w:b w:val="0"/>
          <w:i w:val="0"/>
        </w:rPr>
        <w:t>继续测试时使用隔离数据目录，避免修改用户唯一账套。测试不仅要判断响应为 200，还要检查金额、状态、审计、期间隔离和重启结果。出现金额、权限或流程缺陷，应先修复其根因，再重跑受影响测试及必要的完整流程。</w:t>
      </w:r>
    </w:p>
    <w:p>
      <w:pPr>
        <w:pStyle w:val="Heading1"/>
      </w:pPr>
      <w:bookmarkStart w:id="49" w:name="epm_49"/>
      <w:r>
        <w:rPr>
          <w:rFonts w:ascii="Arial" w:hAnsi="Arial" w:eastAsia="宋体"/>
          <w:b w:val="0"/>
          <w:i w:val="0"/>
        </w:rPr>
        <w:t>12. 生产扩展建议与交接清单</w:t>
      </w:r>
      <w:bookmarkEnd w:id="49"/>
    </w:p>
    <w:p>
      <w:pPr>
        <w:pStyle w:val="Heading2"/>
      </w:pPr>
      <w:bookmarkStart w:id="50" w:name="epm_50"/>
      <w:r>
        <w:rPr>
          <w:rFonts w:ascii="Arial" w:hAnsi="Arial" w:eastAsia="宋体"/>
          <w:b w:val="0"/>
          <w:i w:val="0"/>
        </w:rPr>
        <w:t>12.1 建议的后续研发分层</w:t>
      </w:r>
      <w:bookmarkEnd w:id="50"/>
    </w:p>
    <w:tbl>
      <w:tblPr>
        <w:tblStyle w:val="TableGrid"/>
        <w:tblW w:type="auto" w:w="0"/>
        <w:jc w:val="center"/>
        <w:tblLayout w:type="fixed"/>
        <w:tblLook w:firstColumn="1" w:firstRow="1" w:lastColumn="0" w:lastRow="0" w:noHBand="0" w:noVBand="1" w:val="04A0"/>
      </w:tblPr>
      <w:tblGrid>
        <w:gridCol w:w="2014"/>
        <w:gridCol w:w="4422"/>
        <w:gridCol w:w="3201"/>
      </w:tblGrid>
      <w:tr>
        <w:trPr>
          <w:cantSplit/>
          <w:tblHeader w:val="true"/>
        </w:trPr>
        <w:tc>
          <w:tcPr>
            <w:tcW w:type="dxa" w:w="20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建议阶段</w:t>
            </w:r>
          </w:p>
        </w:tc>
        <w:tc>
          <w:tcPr>
            <w:tcW w:type="dxa" w:w="44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需要补充的工作</w:t>
            </w:r>
          </w:p>
        </w:tc>
        <w:tc>
          <w:tcPr>
            <w:tcW w:type="dxa" w:w="32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阶段验收结果</w:t>
            </w:r>
          </w:p>
        </w:tc>
      </w:tr>
      <w:tr>
        <w:trPr>
          <w:cantSplit/>
        </w:trPr>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9"/>
              </w:rPr>
              <w:t>业务与会计政策确认</w:t>
            </w:r>
          </w:p>
        </w:tc>
        <w:tc>
          <w:tcPr>
            <w:tcW w:type="dxa" w:w="4422"/>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实际组织、持股、合并方法、币种、准则、期初及报表口径</w:t>
            </w:r>
          </w:p>
        </w:tc>
        <w:tc>
          <w:tcPr>
            <w:tcW w:type="dxa" w:w="3201"/>
            <w:vAlign w:val="top"/>
            <w:tcMar>
              <w:top w:w="65" w:type="dxa"/>
              <w:bottom w:w="65" w:type="dxa"/>
              <w:left w:w="65" w:type="dxa"/>
              <w:right w:w="65" w:type="dxa"/>
            </w:tcMar>
          </w:tcPr>
          <w:p>
            <w:pPr>
              <w:spacing w:before="30" w:after="30" w:line="252" w:lineRule="auto"/>
            </w:pPr>
            <w:r>
              <w:rPr>
                <w:rFonts w:ascii="Arial" w:hAnsi="Arial" w:eastAsia="宋体"/>
                <w:b w:val="0"/>
                <w:i w:val="0"/>
                <w:sz w:val="19"/>
              </w:rPr>
              <w:t>由财务签字确认的规则和真实金样</w:t>
            </w:r>
          </w:p>
        </w:tc>
      </w:tr>
      <w:tr>
        <w:trPr>
          <w:cantSplit/>
        </w:trPr>
        <w:tc>
          <w:tcPr>
            <w:tcW w:type="dxa" w:w="20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数据模型与接口</w:t>
            </w:r>
          </w:p>
        </w:tc>
        <w:tc>
          <w:tcPr>
            <w:tcW w:type="dxa" w:w="4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规范化法人、期间、科目、凭证、预算和审计；ERP 连接及幂等导入</w:t>
            </w:r>
          </w:p>
        </w:tc>
        <w:tc>
          <w:tcPr>
            <w:tcW w:type="dxa" w:w="32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字段字典、映射、质量规则和可重复导入</w:t>
            </w:r>
          </w:p>
        </w:tc>
      </w:tr>
      <w:tr>
        <w:trPr>
          <w:cantSplit/>
        </w:trPr>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财务合并引擎</w:t>
            </w:r>
          </w:p>
        </w:tc>
        <w:tc>
          <w:tcPr>
            <w:tcW w:type="dxa" w:w="4422"/>
            <w:vAlign w:val="top"/>
            <w:tcMar>
              <w:top w:w="65" w:type="dxa"/>
              <w:bottom w:w="65" w:type="dxa"/>
              <w:left w:w="65" w:type="dxa"/>
              <w:right w:w="65" w:type="dxa"/>
            </w:tcMar>
          </w:tcPr>
          <w:p>
            <w:pPr>
              <w:spacing w:before="30" w:after="30" w:line="252" w:lineRule="auto"/>
            </w:pPr>
            <w:r>
              <w:rPr>
                <w:rFonts w:ascii="Arial" w:hAnsi="Arial" w:eastAsia="宋体"/>
                <w:b w:val="0"/>
                <w:i w:val="0"/>
                <w:sz w:val="19"/>
              </w:rPr>
              <w:t>持股链、权益法、内部交易、未实现利润、税项及多币种折算</w:t>
            </w:r>
          </w:p>
        </w:tc>
        <w:tc>
          <w:tcPr>
            <w:tcW w:type="dxa" w:w="3201"/>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真实案例金额及分录、三表、披露验收</w:t>
            </w:r>
          </w:p>
        </w:tc>
      </w:tr>
      <w:tr>
        <w:trPr>
          <w:cantSplit/>
        </w:trPr>
        <w:tc>
          <w:tcPr>
            <w:tcW w:type="dxa" w:w="20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全面预算模型</w:t>
            </w:r>
          </w:p>
        </w:tc>
        <w:tc>
          <w:tcPr>
            <w:tcW w:type="dxa" w:w="4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销售、生产、采购、费用、资本、人员与资金驱动，完整三表预算</w:t>
            </w:r>
          </w:p>
        </w:tc>
        <w:tc>
          <w:tcPr>
            <w:tcW w:type="dxa" w:w="32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输入变化能按确定规则传导到全套预算报表</w:t>
            </w:r>
          </w:p>
        </w:tc>
      </w:tr>
      <w:tr>
        <w:trPr>
          <w:cantSplit/>
        </w:trPr>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9"/>
              </w:rPr>
              <w:t>协作和治理</w:t>
            </w:r>
          </w:p>
        </w:tc>
        <w:tc>
          <w:tcPr>
            <w:tcW w:type="dxa" w:w="4422"/>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真实账号、组织隔离、流程审批、职责分离和不可篡改审计方案</w:t>
            </w:r>
          </w:p>
        </w:tc>
        <w:tc>
          <w:tcPr>
            <w:tcW w:type="dxa" w:w="3201"/>
            <w:vAlign w:val="top"/>
            <w:tcMar>
              <w:top w:w="65" w:type="dxa"/>
              <w:bottom w:w="65" w:type="dxa"/>
              <w:left w:w="65" w:type="dxa"/>
              <w:right w:w="65" w:type="dxa"/>
            </w:tcMar>
          </w:tcPr>
          <w:p>
            <w:pPr>
              <w:spacing w:before="30" w:after="30" w:line="252" w:lineRule="auto"/>
            </w:pPr>
            <w:r>
              <w:rPr>
                <w:rFonts w:ascii="Arial" w:hAnsi="Arial" w:eastAsia="宋体"/>
                <w:b w:val="0"/>
                <w:i w:val="0"/>
                <w:sz w:val="19"/>
              </w:rPr>
              <w:t>越权矩阵、多人并发、审批责任验证</w:t>
            </w:r>
          </w:p>
        </w:tc>
      </w:tr>
      <w:tr>
        <w:trPr>
          <w:cantSplit/>
        </w:trPr>
        <w:tc>
          <w:tcPr>
            <w:tcW w:type="dxa" w:w="20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运行及交付</w:t>
            </w:r>
          </w:p>
        </w:tc>
        <w:tc>
          <w:tcPr>
            <w:tcW w:type="dxa" w:w="4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服务器部署、备份恢复、迁移、监控、容量和签名分发</w:t>
            </w:r>
          </w:p>
        </w:tc>
        <w:tc>
          <w:tcPr>
            <w:tcW w:type="dxa" w:w="32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恢复演练、可用性、性能与发布回退证据</w:t>
            </w:r>
          </w:p>
        </w:tc>
      </w:tr>
    </w:tbl>
    <w:p>
      <w:pPr>
        <w:spacing w:after="40"/>
      </w:pPr>
    </w:p>
    <w:p>
      <w:r>
        <w:rPr>
          <w:rFonts w:ascii="Arial" w:hAnsi="Arial" w:eastAsia="宋体"/>
          <w:b w:val="0"/>
          <w:i w:val="0"/>
        </w:rPr>
        <w:t>上述各项均为建议，不是现版本开关打开即可获得的功能。尤其不应把当前 JSON 快照中的对象名直接视为可承载生产容量的规范化表设计，也不应把同一会话的角色切换当成企业审批分工。</w:t>
      </w:r>
    </w:p>
    <w:p>
      <w:pPr>
        <w:pStyle w:val="Heading2"/>
      </w:pPr>
      <w:bookmarkStart w:id="51" w:name="epm_51"/>
      <w:r>
        <w:rPr>
          <w:rFonts w:ascii="Arial" w:hAnsi="Arial" w:eastAsia="宋体"/>
          <w:b w:val="0"/>
          <w:i w:val="0"/>
        </w:rPr>
        <w:t>12.2 研发交接核对表</w:t>
      </w:r>
      <w:bookmarkEnd w:id="51"/>
    </w:p>
    <w:tbl>
      <w:tblPr>
        <w:tblStyle w:val="TableGrid"/>
        <w:tblW w:type="auto" w:w="0"/>
        <w:jc w:val="center"/>
        <w:tblLayout w:type="fixed"/>
        <w:tblLook w:firstColumn="1" w:firstRow="1" w:lastColumn="0" w:lastRow="0" w:noHBand="0" w:noVBand="1" w:val="04A0"/>
      </w:tblPr>
      <w:tblGrid>
        <w:gridCol w:w="2574"/>
        <w:gridCol w:w="7063"/>
      </w:tblGrid>
      <w:tr>
        <w:trPr>
          <w:cantSplit/>
          <w:tblHeader w:val="true"/>
        </w:trPr>
        <w:tc>
          <w:tcPr>
            <w:tcW w:type="dxa" w:w="25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交接对象</w:t>
            </w:r>
          </w:p>
        </w:tc>
        <w:tc>
          <w:tcPr>
            <w:tcW w:type="dxa" w:w="706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必须核对的内容</w:t>
            </w:r>
          </w:p>
        </w:tc>
      </w:tr>
      <w:tr>
        <w:trPr>
          <w:cantSplit/>
        </w:trPr>
        <w:tc>
          <w:tcPr>
            <w:tcW w:type="dxa" w:w="2574"/>
            <w:vAlign w:val="top"/>
            <w:tcMar>
              <w:top w:w="65" w:type="dxa"/>
              <w:bottom w:w="65" w:type="dxa"/>
              <w:left w:w="65" w:type="dxa"/>
              <w:right w:w="65" w:type="dxa"/>
            </w:tcMar>
          </w:tcPr>
          <w:p>
            <w:pPr>
              <w:spacing w:before="30" w:after="30" w:line="252" w:lineRule="auto"/>
            </w:pPr>
            <w:r>
              <w:rPr>
                <w:rFonts w:ascii="Arial" w:hAnsi="Arial" w:eastAsia="宋体"/>
                <w:b w:val="0"/>
                <w:i w:val="0"/>
                <w:sz w:val="19"/>
              </w:rPr>
              <w:t>产品经理</w:t>
            </w:r>
          </w:p>
        </w:tc>
        <w:tc>
          <w:tcPr>
            <w:tcW w:type="dxa" w:w="7063"/>
            <w:vAlign w:val="top"/>
            <w:tcMar>
              <w:top w:w="65" w:type="dxa"/>
              <w:bottom w:w="65" w:type="dxa"/>
              <w:left w:w="65" w:type="dxa"/>
              <w:right w:w="65" w:type="dxa"/>
            </w:tcMar>
          </w:tcPr>
          <w:p>
            <w:pPr>
              <w:spacing w:before="30" w:after="30" w:line="252" w:lineRule="auto"/>
            </w:pPr>
            <w:r>
              <w:rPr>
                <w:rFonts w:ascii="Arial" w:hAnsi="Arial" w:eastAsia="宋体"/>
                <w:b w:val="0"/>
                <w:i w:val="0"/>
                <w:sz w:val="19"/>
              </w:rPr>
              <w:t>20 页信息结构、当前实现与预留边界、案例操作和错误提示一致</w:t>
            </w:r>
          </w:p>
        </w:tc>
      </w:tr>
      <w:tr>
        <w:trPr>
          <w:cantSplit/>
        </w:trPr>
        <w:tc>
          <w:tcPr>
            <w:tcW w:type="dxa" w:w="25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财务负责人</w:t>
            </w:r>
          </w:p>
        </w:tc>
        <w:tc>
          <w:tcPr>
            <w:tcW w:type="dxa" w:w="70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金样、累计口径、结转、现金流估算和预算比较基准已明确</w:t>
            </w:r>
          </w:p>
        </w:tc>
      </w:tr>
      <w:tr>
        <w:trPr>
          <w:cantSplit/>
        </w:trPr>
        <w:tc>
          <w:tcPr>
            <w:tcW w:type="dxa" w:w="2574"/>
            <w:vAlign w:val="top"/>
            <w:tcMar>
              <w:top w:w="65" w:type="dxa"/>
              <w:bottom w:w="65" w:type="dxa"/>
              <w:left w:w="65" w:type="dxa"/>
              <w:right w:w="65" w:type="dxa"/>
            </w:tcMar>
          </w:tcPr>
          <w:p>
            <w:pPr>
              <w:spacing w:before="30" w:after="30" w:line="252" w:lineRule="auto"/>
            </w:pPr>
            <w:r>
              <w:rPr>
                <w:rFonts w:ascii="Arial" w:hAnsi="Arial" w:eastAsia="宋体"/>
                <w:b w:val="0"/>
                <w:i w:val="0"/>
                <w:sz w:val="19"/>
              </w:rPr>
              <w:t>前端研发</w:t>
            </w:r>
          </w:p>
        </w:tc>
        <w:tc>
          <w:tcPr>
            <w:tcW w:type="dxa" w:w="7063"/>
            <w:vAlign w:val="top"/>
            <w:tcMar>
              <w:top w:w="65" w:type="dxa"/>
              <w:bottom w:w="65" w:type="dxa"/>
              <w:left w:w="65" w:type="dxa"/>
              <w:right w:w="65" w:type="dxa"/>
            </w:tcMar>
          </w:tcPr>
          <w:p>
            <w:pPr>
              <w:spacing w:before="30" w:after="30" w:line="252" w:lineRule="auto"/>
            </w:pPr>
            <w:r>
              <w:rPr>
                <w:rFonts w:ascii="Arial" w:hAnsi="Arial" w:eastAsia="宋体"/>
                <w:b w:val="0"/>
                <w:i w:val="0"/>
                <w:sz w:val="19"/>
              </w:rPr>
              <w:t>路由、上下文、请求契约、中文反馈、展示单位和用户值转义</w:t>
            </w:r>
          </w:p>
        </w:tc>
      </w:tr>
      <w:tr>
        <w:trPr>
          <w:cantSplit/>
        </w:trPr>
        <w:tc>
          <w:tcPr>
            <w:tcW w:type="dxa" w:w="25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后端研发</w:t>
            </w:r>
          </w:p>
        </w:tc>
        <w:tc>
          <w:tcPr>
            <w:tcW w:type="dxa" w:w="70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会话授权、领域动作、金额校验、失效范围、事务与 revision</w:t>
            </w:r>
          </w:p>
        </w:tc>
      </w:tr>
      <w:tr>
        <w:trPr>
          <w:cantSplit/>
        </w:trPr>
        <w:tc>
          <w:tcPr>
            <w:tcW w:type="dxa" w:w="2574"/>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数据研发</w:t>
            </w:r>
          </w:p>
        </w:tc>
        <w:tc>
          <w:tcPr>
            <w:tcW w:type="dxa" w:w="7063"/>
            <w:vAlign w:val="top"/>
            <w:tcMar>
              <w:top w:w="65" w:type="dxa"/>
              <w:bottom w:w="65" w:type="dxa"/>
              <w:left w:w="65" w:type="dxa"/>
              <w:right w:w="65" w:type="dxa"/>
            </w:tcMar>
          </w:tcPr>
          <w:p>
            <w:pPr>
              <w:spacing w:before="30" w:after="30" w:line="252" w:lineRule="auto"/>
            </w:pPr>
            <w:r>
              <w:rPr>
                <w:rFonts w:ascii="Arial" w:hAnsi="Arial" w:eastAsia="宋体"/>
                <w:b w:val="0"/>
                <w:i w:val="0"/>
                <w:sz w:val="19"/>
              </w:rPr>
              <w:t>CSV 输入口径、源批次、科目映射和真实 ERP 差异</w:t>
            </w:r>
          </w:p>
        </w:tc>
      </w:tr>
      <w:tr>
        <w:trPr>
          <w:cantSplit/>
        </w:trPr>
        <w:tc>
          <w:tcPr>
            <w:tcW w:type="dxa" w:w="25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测试人员</w:t>
            </w:r>
          </w:p>
        </w:tc>
        <w:tc>
          <w:tcPr>
            <w:tcW w:type="dxa" w:w="70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使用冻结代码及隔离账套，验证实际结果与完整服务重启</w:t>
            </w:r>
          </w:p>
        </w:tc>
      </w:tr>
      <w:tr>
        <w:trPr>
          <w:cantSplit/>
        </w:trPr>
        <w:tc>
          <w:tcPr>
            <w:tcW w:type="dxa" w:w="2574"/>
            <w:vAlign w:val="top"/>
            <w:tcMar>
              <w:top w:w="65" w:type="dxa"/>
              <w:bottom w:w="65" w:type="dxa"/>
              <w:left w:w="65" w:type="dxa"/>
              <w:right w:w="65" w:type="dxa"/>
            </w:tcMar>
          </w:tcPr>
          <w:p>
            <w:pPr>
              <w:spacing w:before="30" w:after="30" w:line="252" w:lineRule="auto"/>
            </w:pPr>
            <w:r>
              <w:rPr>
                <w:rFonts w:ascii="Arial" w:hAnsi="Arial" w:eastAsia="宋体"/>
                <w:b w:val="0"/>
                <w:i w:val="0"/>
                <w:sz w:val="19"/>
              </w:rPr>
              <w:t>交付运维</w:t>
            </w:r>
          </w:p>
        </w:tc>
        <w:tc>
          <w:tcPr>
            <w:tcW w:type="dxa" w:w="7063"/>
            <w:vAlign w:val="top"/>
            <w:tcMar>
              <w:top w:w="65" w:type="dxa"/>
              <w:bottom w:w="65" w:type="dxa"/>
              <w:left w:w="65" w:type="dxa"/>
              <w:right w:w="65" w:type="dxa"/>
            </w:tcMar>
          </w:tcPr>
          <w:p>
            <w:pPr>
              <w:spacing w:before="30" w:after="30" w:line="252" w:lineRule="auto"/>
            </w:pPr>
            <w:r>
              <w:rPr>
                <w:rFonts w:ascii="Arial" w:hAnsi="Arial" w:eastAsia="宋体"/>
                <w:b w:val="0"/>
                <w:i w:val="0"/>
                <w:sz w:val="19"/>
              </w:rPr>
              <w:t>源码可重建、运行包完整、数据目录独立、许可和校验保留</w:t>
            </w:r>
          </w:p>
        </w:tc>
      </w:tr>
    </w:tbl>
    <w:p>
      <w:pPr>
        <w:spacing w:after="40"/>
      </w:pPr>
    </w:p>
    <w:p>
      <w:r>
        <w:rPr>
          <w:rFonts w:ascii="Arial" w:hAnsi="Arial" w:eastAsia="宋体"/>
          <w:b w:val="0"/>
          <w:i w:val="0"/>
        </w:rPr>
        <w:t>本说明书与《产品说明书》《用户操作手册》配套使用：本册回答系统怎样构建与交互；产品册通过业务案例解释功能价值与结果；操作册按实际中文菜单给出完成工作的步骤。三册均以本轮冻结 Demo 为基准，后续代码或规则变更时应同步更新版本、案例预期与验证证据。</w:t>
      </w:r>
    </w:p>
    <w:sectPr w:rsidR="00FC693F" w:rsidRPr="0006063C" w:rsidSect="00034616">
      <w:headerReference w:type="default" r:id="rId9"/>
      <w:footerReference w:type="default" r:id="rId10"/>
      <w:pgSz w:w="11906" w:h="16838"/>
      <w:pgMar w:top="1106" w:right="1134" w:bottom="1049"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TY-EPM-SYS-001  ·  V1.0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系统研发与交互说明书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8"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系统研发与交互说明书</dc:title>
  <dc:subject>杭州天元宠物用品有限公司：中文本机EPM Demo文档</dc:subject>
  <dc:creator>自研EPM项目文档</dc:creator>
  <cp:keywords>集团财务合并,全面预算,经营分析,中文Demo,研发交互,用户手册</cp:keywords>
  <dc:description>generated by python-docx</dc:description>
  <cp:lastModifiedBy/>
  <cp:revision>1</cp:revision>
  <dcterms:created xsi:type="dcterms:W3CDTF">2013-12-23T23:15:00Z</dcterms:created>
  <dcterms:modified xsi:type="dcterms:W3CDTF">2013-12-23T23:15:00Z</dcterms:modified>
  <cp:category/>
</cp:coreProperties>
</file>