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20"/>
      </w:pPr>
      <w:r>
        <w:rPr>
          <w:rFonts w:ascii="Arial" w:hAnsi="Arial" w:eastAsia="宋体"/>
          <w:color w:val="4B6995"/>
          <w:sz w:val="24"/>
        </w:rPr>
        <w:t>天元 EPM  /  中文本机演示版</w:t>
      </w:r>
    </w:p>
    <w:p>
      <w:pPr>
        <w:spacing w:before="240" w:after="280"/>
      </w:pPr>
      <w:r>
        <w:rPr>
          <w:rFonts w:ascii="Arial" w:hAnsi="Arial" w:eastAsia="宋体"/>
          <w:b/>
          <w:color w:val="173F6E"/>
          <w:sz w:val="50"/>
        </w:rPr>
        <w:t>用户操作手册</w:t>
      </w:r>
    </w:p>
    <w:p>
      <w:r>
        <w:rPr>
          <w:rFonts w:ascii="Arial" w:hAnsi="Arial" w:eastAsia="宋体"/>
          <w:sz w:val="30"/>
        </w:rPr>
        <w:t>杭州天元宠物用品有限公司</w:t>
      </w:r>
    </w:p>
    <w:p>
      <w:r>
        <w:rPr>
          <w:rFonts w:ascii="Arial" w:hAnsi="Arial" w:eastAsia="宋体"/>
          <w:color w:val="66758D"/>
          <w:sz w:val="22"/>
        </w:rPr>
        <w:t>安装启动 · 字段填写 · 日常操作 · 常见问题</w:t>
      </w:r>
    </w:p>
    <w:p/>
    <w:tbl>
      <w:tblPr>
        <w:tblStyle w:val="TableGrid"/>
        <w:tblW w:type="auto" w:w="0"/>
        <w:jc w:val="center"/>
        <w:tblLayout w:type="fixed"/>
        <w:tblLook w:firstColumn="1" w:firstRow="1" w:lastColumn="0" w:lastRow="0" w:noHBand="0" w:noVBand="1" w:val="04A0"/>
      </w:tblPr>
      <w:tblGrid>
        <w:gridCol w:w="2939"/>
        <w:gridCol w:w="6699"/>
      </w:tblGrid>
      <w:tr>
        <w:trPr>
          <w:cantSplit/>
          <w:tblHeader w:val="true"/>
        </w:trPr>
        <w:tc>
          <w:tcPr>
            <w:tcW w:type="dxa" w:w="29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文档控制项</w:t>
            </w:r>
          </w:p>
        </w:tc>
        <w:tc>
          <w:tcPr>
            <w:tcW w:type="dxa" w:w="669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说明</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文档编号</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TY-EPM-USER-001</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文档版本 / 日期</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V1.0 / 2026年10月20日</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适配软件版本</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20261020-cn-demo1 · 已交付全中文持久化 Demo</w:t>
            </w:r>
          </w:p>
        </w:tc>
      </w:tr>
      <w:tr>
        <w:trPr>
          <w:cantSplit/>
        </w:trPr>
        <w:tc>
          <w:tcPr>
            <w:tcW w:type="dxa" w:w="29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适用读者</w:t>
            </w:r>
          </w:p>
        </w:tc>
        <w:tc>
          <w:tcPr>
            <w:tcW w:type="dxa" w:w="669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集团财务、法人会计、预算及经营分析人员</w:t>
            </w:r>
          </w:p>
        </w:tc>
      </w:tr>
      <w:tr>
        <w:trPr>
          <w:cantSplit/>
        </w:trPr>
        <w:tc>
          <w:tcPr>
            <w:tcW w:type="dxa" w:w="2939"/>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数据说明</w:t>
            </w:r>
          </w:p>
        </w:tc>
        <w:tc>
          <w:tcPr>
            <w:tcW w:type="dxa" w:w="6699"/>
            <w:vAlign w:val="top"/>
            <w:tcMar>
              <w:top w:w="65" w:type="dxa"/>
              <w:bottom w:w="65" w:type="dxa"/>
              <w:left w:w="65" w:type="dxa"/>
              <w:right w:w="65" w:type="dxa"/>
            </w:tcMar>
          </w:tcPr>
          <w:p>
            <w:pPr>
              <w:spacing w:before="30" w:after="30" w:line="252" w:lineRule="auto"/>
            </w:pPr>
            <w:r>
              <w:rPr>
                <w:rFonts w:ascii="Arial" w:hAnsi="Arial" w:eastAsia="宋体"/>
                <w:b w:val="0"/>
                <w:i w:val="0"/>
                <w:sz w:val="19"/>
              </w:rPr>
              <w:t>主公司名称由用户提供；演示子法人、人员、交易与金额均为虚构。</w:t>
            </w:r>
          </w:p>
        </w:tc>
      </w:tr>
    </w:tbl>
    <w:p>
      <w:pPr>
        <w:spacing w:after="40"/>
      </w:pPr>
    </w:p>
    <w:p>
      <w:pPr>
        <w:spacing w:before="200"/>
        <w:shd w:fill="F0F5FC"/>
      </w:pPr>
      <w:r>
        <w:t>本套说明依据实际交付源码、接口与验收结果整理，明确区分可操作功能、演示计算口径及后续研发建议。</w:t>
      </w:r>
    </w:p>
    <w:p>
      <w:r>
        <w:br w:type="page"/>
      </w:r>
    </w:p>
    <w:p>
      <w:pPr>
        <w:pStyle w:val="Heading1"/>
      </w:pPr>
      <w:r>
        <w:t>阅读导航</w:t>
      </w:r>
    </w:p>
    <w:p>
      <w:r>
        <w:t>点击下列章节可跳转。Word/WPS 的标题样式也可用于导航及生成自动目录。</w:t>
      </w:r>
    </w:p>
    <w:p>
      <w:pPr>
        <w:spacing w:after="80"/>
      </w:pPr>
      <w:hyperlink w:anchor="epm_1">
        <w:r>
          <w:rPr>
            <w:color w:val="245CA8"/>
            <w:rFonts w:ascii="Arial" w:eastAsia="宋体"/>
            <w:sz w:val="21"/>
          </w:rPr>
          <w:t xml:space="preserve">1. 使用本手册前先了解的事项</w:t>
        </w:r>
      </w:hyperlink>
    </w:p>
    <w:p>
      <w:pPr>
        <w:spacing w:after="80"/>
      </w:pPr>
      <w:hyperlink w:anchor="epm_5">
        <w:r>
          <w:rPr>
            <w:color w:val="245CA8"/>
            <w:rFonts w:ascii="Arial" w:eastAsia="宋体"/>
            <w:sz w:val="21"/>
          </w:rPr>
          <w:t xml:space="preserve">2. 一页上手：第一次打开与推荐操作路线</w:t>
        </w:r>
      </w:hyperlink>
    </w:p>
    <w:p>
      <w:pPr>
        <w:spacing w:after="80"/>
      </w:pPr>
      <w:hyperlink w:anchor="epm_9">
        <w:r>
          <w:rPr>
            <w:color w:val="245CA8"/>
            <w:rFonts w:ascii="Arial" w:eastAsia="宋体"/>
            <w:sz w:val="21"/>
          </w:rPr>
          <w:t xml:space="preserve">3. 认识工作台与通用操作</w:t>
        </w:r>
      </w:hyperlink>
    </w:p>
    <w:p>
      <w:pPr>
        <w:spacing w:after="80"/>
      </w:pPr>
      <w:hyperlink w:anchor="epm_14">
        <w:r>
          <w:rPr>
            <w:color w:val="245CA8"/>
            <w:rFonts w:ascii="Arial" w:eastAsia="宋体"/>
            <w:sz w:val="21"/>
          </w:rPr>
          <w:t xml:space="preserve">4. 演示角色及其操作范围</w:t>
        </w:r>
      </w:hyperlink>
    </w:p>
    <w:p>
      <w:pPr>
        <w:spacing w:after="80"/>
      </w:pPr>
      <w:hyperlink w:anchor="epm_17">
        <w:r>
          <w:rPr>
            <w:color w:val="245CA8"/>
            <w:rFonts w:ascii="Arial" w:eastAsia="宋体"/>
            <w:sz w:val="21"/>
          </w:rPr>
          <w:t xml:space="preserve">5. 集团组织、科目、持股与汇率</w:t>
        </w:r>
      </w:hyperlink>
    </w:p>
    <w:p>
      <w:pPr>
        <w:spacing w:after="80"/>
      </w:pPr>
      <w:hyperlink w:anchor="epm_22">
        <w:r>
          <w:rPr>
            <w:color w:val="245CA8"/>
            <w:rFonts w:ascii="Arial" w:eastAsia="宋体"/>
            <w:sz w:val="21"/>
          </w:rPr>
          <w:t xml:space="preserve">6. 数据接入与试算余额报送</w:t>
        </w:r>
      </w:hyperlink>
    </w:p>
    <w:p>
      <w:pPr>
        <w:spacing w:after="80"/>
      </w:pPr>
      <w:hyperlink w:anchor="epm_28">
        <w:r>
          <w:rPr>
            <w:color w:val="245CA8"/>
            <w:rFonts w:ascii="Arial" w:eastAsia="宋体"/>
            <w:sz w:val="21"/>
          </w:rPr>
          <w:t xml:space="preserve">7. 内部核对与调整凭证</w:t>
        </w:r>
      </w:hyperlink>
    </w:p>
    <w:p>
      <w:pPr>
        <w:spacing w:after="80"/>
      </w:pPr>
      <w:hyperlink w:anchor="epm_32">
        <w:r>
          <w:rPr>
            <w:color w:val="245CA8"/>
            <w:rFonts w:ascii="Arial" w:eastAsia="宋体"/>
            <w:sz w:val="21"/>
          </w:rPr>
          <w:t xml:space="preserve">8. 查看集团三张报表</w:t>
        </w:r>
      </w:hyperlink>
    </w:p>
    <w:p>
      <w:pPr>
        <w:spacing w:after="80"/>
      </w:pPr>
      <w:hyperlink w:anchor="epm_36">
        <w:r>
          <w:rPr>
            <w:color w:val="245CA8"/>
            <w:rFonts w:ascii="Arial" w:eastAsia="宋体"/>
            <w:sz w:val="21"/>
          </w:rPr>
          <w:t xml:space="preserve">9. 预算版本与编制准备</w:t>
        </w:r>
      </w:hyperlink>
    </w:p>
    <w:p>
      <w:pPr>
        <w:spacing w:after="80"/>
      </w:pPr>
      <w:hyperlink w:anchor="epm_39">
        <w:r>
          <w:rPr>
            <w:color w:val="245CA8"/>
            <w:rFonts w:ascii="Arial" w:eastAsia="宋体"/>
            <w:sz w:val="21"/>
          </w:rPr>
          <w:t xml:space="preserve">10. 预算编制、量价与分摊</w:t>
        </w:r>
      </w:hyperlink>
    </w:p>
    <w:p>
      <w:pPr>
        <w:spacing w:after="80"/>
      </w:pPr>
      <w:hyperlink w:anchor="epm_44">
        <w:r>
          <w:rPr>
            <w:color w:val="245CA8"/>
            <w:rFonts w:ascii="Arial" w:eastAsia="宋体"/>
            <w:sz w:val="21"/>
          </w:rPr>
          <w:t xml:space="preserve">11. 预算提交、审核、锁定与调整</w:t>
        </w:r>
      </w:hyperlink>
    </w:p>
    <w:p>
      <w:pPr>
        <w:spacing w:after="80"/>
      </w:pPr>
      <w:hyperlink w:anchor="epm_48">
        <w:r>
          <w:rPr>
            <w:color w:val="245CA8"/>
            <w:rFonts w:ascii="Arial" w:eastAsia="宋体"/>
            <w:sz w:val="21"/>
          </w:rPr>
          <w:t xml:space="preserve">12. 经营分析、驾驶舱与管理报表</w:t>
        </w:r>
      </w:hyperlink>
    </w:p>
    <w:p>
      <w:pPr>
        <w:spacing w:after="80"/>
      </w:pPr>
      <w:hyperlink w:anchor="epm_52">
        <w:r>
          <w:rPr>
            <w:color w:val="245CA8"/>
            <w:rFonts w:ascii="Arial" w:eastAsia="宋体"/>
            <w:sz w:val="21"/>
          </w:rPr>
          <w:t xml:space="preserve">13. 关账校验、签核与重新打开期间</w:t>
        </w:r>
      </w:hyperlink>
    </w:p>
    <w:p>
      <w:pPr>
        <w:spacing w:after="80"/>
      </w:pPr>
      <w:hyperlink w:anchor="epm_57">
        <w:r>
          <w:rPr>
            <w:color w:val="245CA8"/>
            <w:rFonts w:ascii="Arial" w:eastAsia="宋体"/>
            <w:sz w:val="21"/>
          </w:rPr>
          <w:t xml:space="preserve">14. 审计轨迹与集团配置</w:t>
        </w:r>
      </w:hyperlink>
    </w:p>
    <w:p>
      <w:pPr>
        <w:spacing w:after="80"/>
      </w:pPr>
      <w:hyperlink w:anchor="epm_60">
        <w:r>
          <w:rPr>
            <w:color w:val="245CA8"/>
            <w:rFonts w:ascii="Arial" w:eastAsia="宋体"/>
            <w:sz w:val="21"/>
          </w:rPr>
          <w:t xml:space="preserve">15. 本机保存、安全退出与备份</w:t>
        </w:r>
      </w:hyperlink>
    </w:p>
    <w:p>
      <w:pPr>
        <w:spacing w:after="80"/>
      </w:pPr>
      <w:hyperlink w:anchor="epm_64">
        <w:r>
          <w:rPr>
            <w:color w:val="245CA8"/>
            <w:rFonts w:ascii="Arial" w:eastAsia="宋体"/>
            <w:sz w:val="21"/>
          </w:rPr>
          <w:t xml:space="preserve">16. 常见问题与中文排错</w:t>
        </w:r>
      </w:hyperlink>
    </w:p>
    <w:p>
      <w:pPr>
        <w:spacing w:after="80"/>
      </w:pPr>
      <w:hyperlink w:anchor="epm_65">
        <w:r>
          <w:rPr>
            <w:color w:val="245CA8"/>
            <w:rFonts w:ascii="Arial" w:eastAsia="宋体"/>
            <w:sz w:val="21"/>
          </w:rPr>
          <w:t xml:space="preserve">17. 使用中必须保留的边界认识</w:t>
        </w:r>
      </w:hyperlink>
    </w:p>
    <w:p>
      <w:pPr>
        <w:spacing w:after="80"/>
      </w:pPr>
      <w:hyperlink w:anchor="epm_66">
        <w:r>
          <w:rPr>
            <w:color w:val="245CA8"/>
            <w:rFonts w:ascii="Arial" w:eastAsia="宋体"/>
            <w:sz w:val="21"/>
          </w:rPr>
          <w:t xml:space="preserve">18. 操作前后检查清单</w:t>
        </w:r>
      </w:hyperlink>
    </w:p>
    <w:p>
      <w:pPr>
        <w:spacing w:after="80"/>
      </w:pPr>
      <w:hyperlink w:anchor="epm_70">
        <w:r>
          <w:rPr>
            <w:color w:val="245CA8"/>
            <w:rFonts w:ascii="Arial" w:eastAsia="宋体"/>
            <w:sz w:val="21"/>
          </w:rPr>
          <w:t xml:space="preserve">附录：常用术语</w:t>
        </w:r>
      </w:hyperlink>
    </w:p>
    <w:p>
      <w:r>
        <w:br w:type="page"/>
      </w:r>
    </w:p>
    <w:p>
      <w:r>
        <w:rPr>
          <w:rFonts w:ascii="Arial" w:hAnsi="Arial" w:eastAsia="宋体"/>
          <w:b w:val="0"/>
          <w:i w:val="0"/>
        </w:rPr>
        <w:t>杭州天元宠物用品有限公司 · 全中文 EPM 演示环境</w:t>
      </w:r>
    </w:p>
    <w:p>
      <w:r>
        <w:rPr>
          <w:rFonts w:ascii="Arial" w:hAnsi="Arial" w:eastAsia="宋体"/>
          <w:b w:val="0"/>
          <w:i w:val="0"/>
        </w:rPr>
        <w:t>文档版本：V1.0</w:t>
      </w:r>
      <w:r>
        <w:br/>
      </w:r>
      <w:r>
        <w:rPr>
          <w:rFonts w:ascii="Arial" w:hAnsi="Arial" w:eastAsia="宋体"/>
          <w:b w:val="0"/>
          <w:i w:val="0"/>
        </w:rPr>
        <w:t>编制日期：2026年10月20日</w:t>
      </w:r>
      <w:r>
        <w:br/>
      </w:r>
      <w:r>
        <w:rPr>
          <w:rFonts w:ascii="Arial" w:hAnsi="Arial" w:eastAsia="宋体"/>
          <w:b w:val="0"/>
          <w:i w:val="0"/>
        </w:rPr>
        <w:t>适用软件：天元EPM Demo，Windows 10/11 64位中文本机演示版</w:t>
      </w:r>
      <w:r>
        <w:br/>
      </w:r>
      <w:r>
        <w:rPr>
          <w:rFonts w:ascii="Arial" w:hAnsi="Arial" w:eastAsia="宋体"/>
          <w:b w:val="0"/>
          <w:i w:val="0"/>
        </w:rPr>
        <w:t>适用读者：集团财务负责人、法人会计、经营分析人员、预算编制人员和产品评审人员</w:t>
      </w:r>
    </w:p>
    <w:p>
      <w:pPr>
        <w:pStyle w:val="Heading1"/>
      </w:pPr>
      <w:bookmarkStart w:id="1" w:name="epm_1"/>
      <w:r>
        <w:rPr>
          <w:rFonts w:ascii="Arial" w:hAnsi="Arial" w:eastAsia="宋体"/>
          <w:b w:val="0"/>
          <w:i w:val="0"/>
        </w:rPr>
        <w:t>1. 使用本手册前先了解的事项</w:t>
      </w:r>
      <w:bookmarkEnd w:id="1"/>
    </w:p>
    <w:p>
      <w:pPr>
        <w:pStyle w:val="Heading2"/>
      </w:pPr>
      <w:bookmarkStart w:id="2" w:name="epm_2"/>
      <w:r>
        <w:rPr>
          <w:rFonts w:ascii="Arial" w:hAnsi="Arial" w:eastAsia="宋体"/>
          <w:b w:val="0"/>
          <w:i w:val="0"/>
        </w:rPr>
        <w:t>1.1 本手册对应哪一套软件</w:t>
      </w:r>
      <w:bookmarkEnd w:id="2"/>
    </w:p>
    <w:p>
      <w:r>
        <w:rPr>
          <w:rFonts w:ascii="Arial" w:hAnsi="Arial" w:eastAsia="宋体"/>
          <w:b w:val="0"/>
          <w:i w:val="0"/>
        </w:rPr>
        <w:t>本手册对应按完整产品原型实现的独立中文 Demo。完整解压运行包后，启动文件名称为“天元EPM Demo.exe”。它提供集团合并报表、预算编制与审批、经营分析以及本机保存的演示操作。</w:t>
      </w:r>
    </w:p>
    <w:p>
      <w:r>
        <w:rPr>
          <w:rFonts w:ascii="Arial" w:hAnsi="Arial" w:eastAsia="宋体"/>
          <w:b w:val="0"/>
          <w:i w:val="0"/>
        </w:rPr>
        <w:t>主公司名称按需求显示为“杭州天元宠物用品有限公司”。预置子法人、责任人、交易和全部财务金额均为虚构样例，不代表该公司的真实业务或财务状况。操作时看到“演示环境·本机保存”，表示样例及修改会保存在当前电脑，并不表示已经连接公司的真实账套。</w:t>
      </w:r>
    </w:p>
    <w:p>
      <w:r>
        <w:rPr>
          <w:rFonts w:ascii="Arial" w:hAnsi="Arial" w:eastAsia="宋体"/>
          <w:b w:val="0"/>
          <w:i w:val="0"/>
        </w:rPr>
        <w:t>此前的 Frappe／Konsolidat 平台与本 Demo 分别运行。旧平台数据不会自动进入新 Demo。请从新 EXE 打开页面，不要使用旧平台收藏的固定网址，不需要谷歌邮箱、注册账号或英语初始化向导。</w:t>
      </w:r>
    </w:p>
    <w:p>
      <w:pPr>
        <w:pStyle w:val="Heading2"/>
      </w:pPr>
      <w:bookmarkStart w:id="3" w:name="epm_3"/>
      <w:r>
        <w:rPr>
          <w:rFonts w:ascii="Arial" w:hAnsi="Arial" w:eastAsia="宋体"/>
          <w:b w:val="0"/>
          <w:i w:val="0"/>
        </w:rPr>
        <w:t>1.2 如何阅读三份交付文档</w:t>
      </w:r>
      <w:bookmarkEnd w:id="3"/>
    </w:p>
    <w:tbl>
      <w:tblPr>
        <w:tblStyle w:val="TableGrid"/>
        <w:tblW w:type="auto" w:w="0"/>
        <w:jc w:val="center"/>
        <w:tblLayout w:type="fixed"/>
        <w:tblLook w:firstColumn="1" w:firstRow="1" w:lastColumn="0" w:lastRow="0" w:noHBand="0" w:noVBand="1" w:val="04A0"/>
      </w:tblPr>
      <w:tblGrid>
        <w:gridCol w:w="2405"/>
        <w:gridCol w:w="4587"/>
        <w:gridCol w:w="2646"/>
      </w:tblGrid>
      <w:tr>
        <w:trPr>
          <w:cantSplit/>
          <w:tblHeader w:val="true"/>
        </w:trPr>
        <w:tc>
          <w:tcPr>
            <w:tcW w:type="dxa" w:w="240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文档</w:t>
            </w:r>
          </w:p>
        </w:tc>
        <w:tc>
          <w:tcPr>
            <w:tcW w:type="dxa" w:w="458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主要回答的问题</w:t>
            </w:r>
          </w:p>
        </w:tc>
        <w:tc>
          <w:tcPr>
            <w:tcW w:type="dxa" w:w="264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建议读者</w:t>
            </w:r>
          </w:p>
        </w:tc>
      </w:tr>
      <w:tr>
        <w:trPr>
          <w:cantSplit/>
        </w:trPr>
        <w:tc>
          <w:tcPr>
            <w:tcW w:type="dxa" w:w="2405"/>
            <w:vAlign w:val="top"/>
            <w:tcMar>
              <w:top w:w="65" w:type="dxa"/>
              <w:bottom w:w="65" w:type="dxa"/>
              <w:left w:w="65" w:type="dxa"/>
              <w:right w:w="65" w:type="dxa"/>
            </w:tcMar>
          </w:tcPr>
          <w:p>
            <w:pPr>
              <w:spacing w:before="30" w:after="30" w:line="252" w:lineRule="auto"/>
            </w:pPr>
            <w:r>
              <w:rPr>
                <w:rFonts w:ascii="Arial" w:hAnsi="Arial" w:eastAsia="宋体"/>
                <w:b w:val="0"/>
                <w:i w:val="0"/>
                <w:sz w:val="19"/>
              </w:rPr>
              <w:t>系统研发与交互说明书</w:t>
            </w:r>
          </w:p>
        </w:tc>
        <w:tc>
          <w:tcPr>
            <w:tcW w:type="dxa" w:w="4587"/>
            <w:vAlign w:val="top"/>
            <w:tcMar>
              <w:top w:w="65" w:type="dxa"/>
              <w:bottom w:w="65" w:type="dxa"/>
              <w:left w:w="65" w:type="dxa"/>
              <w:right w:w="65" w:type="dxa"/>
            </w:tcMar>
          </w:tcPr>
          <w:p>
            <w:pPr>
              <w:spacing w:before="30" w:after="30" w:line="252" w:lineRule="auto"/>
            </w:pPr>
            <w:r>
              <w:rPr>
                <w:rFonts w:ascii="Arial" w:hAnsi="Arial" w:eastAsia="宋体"/>
                <w:b w:val="0"/>
                <w:i w:val="0"/>
                <w:sz w:val="19"/>
              </w:rPr>
              <w:t>系统如何实现，页面如何调用服务，数据如何保存及计算，研发如何接续开发</w:t>
            </w:r>
          </w:p>
        </w:tc>
        <w:tc>
          <w:tcPr>
            <w:tcW w:type="dxa" w:w="2646"/>
            <w:vAlign w:val="top"/>
            <w:tcMar>
              <w:top w:w="65" w:type="dxa"/>
              <w:bottom w:w="65" w:type="dxa"/>
              <w:left w:w="65" w:type="dxa"/>
              <w:right w:w="65" w:type="dxa"/>
            </w:tcMar>
          </w:tcPr>
          <w:p>
            <w:pPr>
              <w:spacing w:before="30" w:after="30" w:line="252" w:lineRule="auto"/>
            </w:pPr>
            <w:r>
              <w:rPr>
                <w:rFonts w:ascii="Arial" w:hAnsi="Arial" w:eastAsia="宋体"/>
                <w:b w:val="0"/>
                <w:i w:val="0"/>
                <w:sz w:val="19"/>
              </w:rPr>
              <w:t>研发、架构、测试、实施</w:t>
            </w:r>
          </w:p>
        </w:tc>
      </w:tr>
      <w:tr>
        <w:trPr>
          <w:cantSplit/>
        </w:trPr>
        <w:tc>
          <w:tcPr>
            <w:tcW w:type="dxa" w:w="240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产品说明书（含演示案例）</w:t>
            </w:r>
          </w:p>
        </w:tc>
        <w:tc>
          <w:tcPr>
            <w:tcW w:type="dxa" w:w="458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产品包含哪些能力，各模块如何联动，如何用完整案例评审产品</w:t>
            </w:r>
          </w:p>
        </w:tc>
        <w:tc>
          <w:tcPr>
            <w:tcW w:type="dxa" w:w="264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产品、财务负责人、经营管理者</w:t>
            </w:r>
          </w:p>
        </w:tc>
      </w:tr>
      <w:tr>
        <w:trPr>
          <w:cantSplit/>
        </w:trPr>
        <w:tc>
          <w:tcPr>
            <w:tcW w:type="dxa" w:w="2405"/>
            <w:vAlign w:val="top"/>
            <w:tcMar>
              <w:top w:w="65" w:type="dxa"/>
              <w:bottom w:w="65" w:type="dxa"/>
              <w:left w:w="65" w:type="dxa"/>
              <w:right w:w="65" w:type="dxa"/>
            </w:tcMar>
          </w:tcPr>
          <w:p>
            <w:pPr>
              <w:spacing w:before="30" w:after="30" w:line="252" w:lineRule="auto"/>
            </w:pPr>
            <w:r>
              <w:rPr>
                <w:rFonts w:ascii="Arial" w:hAnsi="Arial" w:eastAsia="宋体"/>
                <w:b w:val="0"/>
                <w:i w:val="0"/>
                <w:sz w:val="19"/>
              </w:rPr>
              <w:t>本用户操作手册</w:t>
            </w:r>
          </w:p>
        </w:tc>
        <w:tc>
          <w:tcPr>
            <w:tcW w:type="dxa" w:w="4587"/>
            <w:vAlign w:val="top"/>
            <w:tcMar>
              <w:top w:w="65" w:type="dxa"/>
              <w:bottom w:w="65" w:type="dxa"/>
              <w:left w:w="65" w:type="dxa"/>
              <w:right w:w="65" w:type="dxa"/>
            </w:tcMar>
          </w:tcPr>
          <w:p>
            <w:pPr>
              <w:spacing w:before="30" w:after="30" w:line="252" w:lineRule="auto"/>
            </w:pPr>
            <w:r>
              <w:rPr>
                <w:rFonts w:ascii="Arial" w:hAnsi="Arial" w:eastAsia="宋体"/>
                <w:b w:val="0"/>
                <w:i w:val="0"/>
                <w:sz w:val="19"/>
              </w:rPr>
              <w:t>从哪里点击、字段怎么填、保存后看哪里、遇到错误如何处理</w:t>
            </w:r>
          </w:p>
        </w:tc>
        <w:tc>
          <w:tcPr>
            <w:tcW w:type="dxa" w:w="2646"/>
            <w:vAlign w:val="top"/>
            <w:tcMar>
              <w:top w:w="65" w:type="dxa"/>
              <w:bottom w:w="65" w:type="dxa"/>
              <w:left w:w="65" w:type="dxa"/>
              <w:right w:w="65" w:type="dxa"/>
            </w:tcMar>
          </w:tcPr>
          <w:p>
            <w:pPr>
              <w:spacing w:before="30" w:after="30" w:line="252" w:lineRule="auto"/>
            </w:pPr>
            <w:r>
              <w:rPr>
                <w:rFonts w:ascii="Arial" w:hAnsi="Arial" w:eastAsia="宋体"/>
                <w:b w:val="0"/>
                <w:i w:val="0"/>
                <w:sz w:val="19"/>
              </w:rPr>
              <w:t>实际操作人员</w:t>
            </w:r>
          </w:p>
        </w:tc>
      </w:tr>
    </w:tbl>
    <w:p>
      <w:pPr>
        <w:spacing w:after="40"/>
      </w:pPr>
    </w:p>
    <w:p>
      <w:r>
        <w:rPr>
          <w:rFonts w:ascii="Arial" w:hAnsi="Arial" w:eastAsia="宋体"/>
          <w:b w:val="0"/>
          <w:i w:val="0"/>
        </w:rPr>
        <w:t>第一次使用建议先按第2章完成上手路线，再按需要阅读对应章节。需要修改演示财务数据前，先查看第15章的保存与备份说明。产品说明书中的案例可以作为本手册步骤的练习材料。</w:t>
      </w:r>
    </w:p>
    <w:p>
      <w:pPr>
        <w:pStyle w:val="Heading2"/>
      </w:pPr>
      <w:bookmarkStart w:id="4" w:name="epm_4"/>
      <w:r>
        <w:rPr>
          <w:rFonts w:ascii="Arial" w:hAnsi="Arial" w:eastAsia="宋体"/>
          <w:b w:val="0"/>
          <w:i w:val="0"/>
        </w:rPr>
        <w:t>1.3 本轮演示的关键口径</w:t>
      </w:r>
      <w:bookmarkEnd w:id="4"/>
    </w:p>
    <w:tbl>
      <w:tblPr>
        <w:tblStyle w:val="TableGrid"/>
        <w:tblW w:type="auto" w:w="0"/>
        <w:jc w:val="center"/>
        <w:tblLayout w:type="fixed"/>
        <w:tblLook w:firstColumn="1" w:firstRow="1" w:lastColumn="0" w:lastRow="0" w:noHBand="0" w:noVBand="1" w:val="04A0"/>
      </w:tblPr>
      <w:tblGrid>
        <w:gridCol w:w="1781"/>
        <w:gridCol w:w="3874"/>
        <w:gridCol w:w="3982"/>
      </w:tblGrid>
      <w:tr>
        <w:trPr>
          <w:cantSplit/>
          <w:tblHeader w:val="true"/>
        </w:trPr>
        <w:tc>
          <w:tcPr>
            <w:tcW w:type="dxa" w:w="17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项目</w:t>
            </w:r>
          </w:p>
        </w:tc>
        <w:tc>
          <w:tcPr>
            <w:tcW w:type="dxa" w:w="38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本轮口径</w:t>
            </w:r>
          </w:p>
        </w:tc>
        <w:tc>
          <w:tcPr>
            <w:tcW w:type="dxa" w:w="398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操作时应注意</w:t>
            </w:r>
          </w:p>
        </w:tc>
      </w:tr>
      <w:tr>
        <w:trPr>
          <w:cantSplit/>
        </w:trPr>
        <w:tc>
          <w:tcPr>
            <w:tcW w:type="dxa" w:w="1781"/>
            <w:vAlign w:val="top"/>
            <w:tcMar>
              <w:top w:w="65" w:type="dxa"/>
              <w:bottom w:w="65" w:type="dxa"/>
              <w:left w:w="65" w:type="dxa"/>
              <w:right w:w="65" w:type="dxa"/>
            </w:tcMar>
          </w:tcPr>
          <w:p>
            <w:pPr>
              <w:spacing w:before="30" w:after="30" w:line="252" w:lineRule="auto"/>
            </w:pPr>
            <w:r>
              <w:rPr>
                <w:rFonts w:ascii="Arial" w:hAnsi="Arial" w:eastAsia="宋体"/>
                <w:b w:val="0"/>
                <w:i w:val="0"/>
                <w:sz w:val="19"/>
              </w:rPr>
              <w:t>会计年度</w:t>
            </w:r>
          </w:p>
        </w:tc>
        <w:tc>
          <w:tcPr>
            <w:tcW w:type="dxa" w:w="3874"/>
            <w:vAlign w:val="top"/>
            <w:tcMar>
              <w:top w:w="65" w:type="dxa"/>
              <w:bottom w:w="65" w:type="dxa"/>
              <w:left w:w="65" w:type="dxa"/>
              <w:right w:w="65" w:type="dxa"/>
            </w:tcMar>
          </w:tcPr>
          <w:p>
            <w:pPr>
              <w:spacing w:before="30" w:after="30" w:line="252" w:lineRule="auto"/>
            </w:pPr>
            <w:r>
              <w:rPr>
                <w:rFonts w:ascii="Arial" w:hAnsi="Arial" w:eastAsia="宋体"/>
                <w:b w:val="0"/>
                <w:i w:val="0"/>
                <w:sz w:val="19"/>
              </w:rPr>
              <w:t>固定为2026年</w:t>
            </w:r>
          </w:p>
        </w:tc>
        <w:tc>
          <w:tcPr>
            <w:tcW w:type="dxa" w:w="3982"/>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不能通过修改配置建立新年度</w:t>
            </w:r>
          </w:p>
        </w:tc>
      </w:tr>
      <w:tr>
        <w:trPr>
          <w:cantSplit/>
        </w:trPr>
        <w:tc>
          <w:tcPr>
            <w:tcW w:type="dxa" w:w="17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实际期间</w:t>
            </w:r>
          </w:p>
        </w:tc>
        <w:tc>
          <w:tcPr>
            <w:tcW w:type="dxa" w:w="3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支持1至12期查看；初始实际样例截至9期</w:t>
            </w:r>
          </w:p>
        </w:tc>
        <w:tc>
          <w:tcPr>
            <w:tcW w:type="dxa" w:w="39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未独立导入时10—12期沿用9期累计数</w:t>
            </w:r>
          </w:p>
        </w:tc>
      </w:tr>
      <w:tr>
        <w:trPr>
          <w:cantSplit/>
        </w:trPr>
        <w:tc>
          <w:tcPr>
            <w:tcW w:type="dxa" w:w="1781"/>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预算期间</w:t>
            </w:r>
          </w:p>
        </w:tc>
        <w:tc>
          <w:tcPr>
            <w:tcW w:type="dxa" w:w="3874"/>
            <w:vAlign w:val="top"/>
            <w:tcMar>
              <w:top w:w="65" w:type="dxa"/>
              <w:bottom w:w="65" w:type="dxa"/>
              <w:left w:w="65" w:type="dxa"/>
              <w:right w:w="65" w:type="dxa"/>
            </w:tcMar>
          </w:tcPr>
          <w:p>
            <w:pPr>
              <w:spacing w:before="30" w:after="30" w:line="252" w:lineRule="auto"/>
            </w:pPr>
            <w:r>
              <w:rPr>
                <w:rFonts w:ascii="Arial" w:hAnsi="Arial" w:eastAsia="宋体"/>
                <w:b w:val="0"/>
                <w:i w:val="0"/>
                <w:sz w:val="19"/>
              </w:rPr>
              <w:t>全年12期</w:t>
            </w:r>
          </w:p>
        </w:tc>
        <w:tc>
          <w:tcPr>
            <w:tcW w:type="dxa" w:w="3982"/>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预算全年金额与本期累计金额不能混用</w:t>
            </w:r>
          </w:p>
        </w:tc>
      </w:tr>
      <w:tr>
        <w:trPr>
          <w:cantSplit/>
        </w:trPr>
        <w:tc>
          <w:tcPr>
            <w:tcW w:type="dxa" w:w="17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基础金额单位</w:t>
            </w:r>
          </w:p>
        </w:tc>
        <w:tc>
          <w:tcPr>
            <w:tcW w:type="dxa" w:w="3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人民币万元</w:t>
            </w:r>
          </w:p>
        </w:tc>
        <w:tc>
          <w:tcPr>
            <w:tcW w:type="dxa" w:w="39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输入100代表100万元，不是100元</w:t>
            </w:r>
          </w:p>
        </w:tc>
      </w:tr>
      <w:tr>
        <w:trPr>
          <w:cantSplit/>
        </w:trPr>
        <w:tc>
          <w:tcPr>
            <w:tcW w:type="dxa" w:w="1781"/>
            <w:vAlign w:val="top"/>
            <w:tcMar>
              <w:top w:w="65" w:type="dxa"/>
              <w:bottom w:w="65" w:type="dxa"/>
              <w:left w:w="65" w:type="dxa"/>
              <w:right w:w="65" w:type="dxa"/>
            </w:tcMar>
          </w:tcPr>
          <w:p>
            <w:pPr>
              <w:spacing w:before="30" w:after="30" w:line="252" w:lineRule="auto"/>
            </w:pPr>
            <w:r>
              <w:rPr>
                <w:rFonts w:ascii="Arial" w:hAnsi="Arial" w:eastAsia="宋体"/>
                <w:b w:val="0"/>
                <w:i w:val="0"/>
                <w:sz w:val="19"/>
              </w:rPr>
              <w:t>美元视图</w:t>
            </w:r>
          </w:p>
        </w:tc>
        <w:tc>
          <w:tcPr>
            <w:tcW w:type="dxa" w:w="3874"/>
            <w:vAlign w:val="top"/>
            <w:tcMar>
              <w:top w:w="65" w:type="dxa"/>
              <w:bottom w:w="65" w:type="dxa"/>
              <w:left w:w="65" w:type="dxa"/>
              <w:right w:w="65" w:type="dxa"/>
            </w:tcMar>
          </w:tcPr>
          <w:p>
            <w:pPr>
              <w:spacing w:before="30" w:after="30" w:line="252" w:lineRule="auto"/>
            </w:pPr>
            <w:r>
              <w:rPr>
                <w:rFonts w:ascii="Arial" w:hAnsi="Arial" w:eastAsia="宋体"/>
                <w:b w:val="0"/>
                <w:i w:val="0"/>
                <w:sz w:val="19"/>
              </w:rPr>
              <w:t>人民币万元除以保存的美元展示汇率，单位万美元</w:t>
            </w:r>
          </w:p>
        </w:tc>
        <w:tc>
          <w:tcPr>
            <w:tcW w:type="dxa" w:w="3982"/>
            <w:vAlign w:val="top"/>
            <w:tcMar>
              <w:top w:w="65" w:type="dxa"/>
              <w:bottom w:w="65" w:type="dxa"/>
              <w:left w:w="65" w:type="dxa"/>
              <w:right w:w="65" w:type="dxa"/>
            </w:tcMar>
          </w:tcPr>
          <w:p>
            <w:pPr>
              <w:spacing w:before="30" w:after="30" w:line="252" w:lineRule="auto"/>
            </w:pPr>
            <w:r>
              <w:rPr>
                <w:rFonts w:ascii="Arial" w:hAnsi="Arial" w:eastAsia="宋体"/>
                <w:b w:val="0"/>
                <w:i w:val="0"/>
                <w:sz w:val="19"/>
              </w:rPr>
              <w:t>切换展示币种不改变录入基准，录入仍按人民币万元</w:t>
            </w:r>
          </w:p>
        </w:tc>
      </w:tr>
      <w:tr>
        <w:trPr>
          <w:cantSplit/>
        </w:trPr>
        <w:tc>
          <w:tcPr>
            <w:tcW w:type="dxa" w:w="17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数据性质</w:t>
            </w:r>
          </w:p>
        </w:tc>
        <w:tc>
          <w:tcPr>
            <w:tcW w:type="dxa" w:w="38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本机持久化的虚构演示数据</w:t>
            </w:r>
          </w:p>
        </w:tc>
        <w:tc>
          <w:tcPr>
            <w:tcW w:type="dxa" w:w="398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不能直接作为正式报账、审计或对外披露依据</w:t>
            </w:r>
          </w:p>
        </w:tc>
      </w:tr>
      <w:tr>
        <w:trPr>
          <w:cantSplit/>
        </w:trPr>
        <w:tc>
          <w:tcPr>
            <w:tcW w:type="dxa" w:w="1781"/>
            <w:vAlign w:val="top"/>
            <w:tcMar>
              <w:top w:w="65" w:type="dxa"/>
              <w:bottom w:w="65" w:type="dxa"/>
              <w:left w:w="65" w:type="dxa"/>
              <w:right w:w="65" w:type="dxa"/>
            </w:tcMar>
          </w:tcPr>
          <w:p>
            <w:pPr>
              <w:spacing w:before="30" w:after="30" w:line="252" w:lineRule="auto"/>
            </w:pPr>
            <w:r>
              <w:rPr>
                <w:rFonts w:ascii="Arial" w:hAnsi="Arial" w:eastAsia="宋体"/>
                <w:b w:val="0"/>
                <w:i w:val="0"/>
                <w:sz w:val="19"/>
              </w:rPr>
              <w:t>使用模式</w:t>
            </w:r>
          </w:p>
        </w:tc>
        <w:tc>
          <w:tcPr>
            <w:tcW w:type="dxa" w:w="3874"/>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当前电脑上的单机演示</w:t>
            </w:r>
          </w:p>
        </w:tc>
        <w:tc>
          <w:tcPr>
            <w:tcW w:type="dxa" w:w="3982"/>
            <w:vAlign w:val="top"/>
            <w:tcMar>
              <w:top w:w="65" w:type="dxa"/>
              <w:bottom w:w="65" w:type="dxa"/>
              <w:left w:w="65" w:type="dxa"/>
              <w:right w:w="65" w:type="dxa"/>
            </w:tcMar>
          </w:tcPr>
          <w:p>
            <w:pPr>
              <w:spacing w:before="30" w:after="30" w:line="252" w:lineRule="auto"/>
            </w:pPr>
            <w:r>
              <w:rPr>
                <w:rFonts w:ascii="Arial" w:hAnsi="Arial" w:eastAsia="宋体"/>
                <w:b w:val="0"/>
                <w:i w:val="0"/>
                <w:sz w:val="19"/>
              </w:rPr>
              <w:t>演示角色切换不是公司正式账号授权</w:t>
            </w:r>
          </w:p>
        </w:tc>
      </w:tr>
    </w:tbl>
    <w:p>
      <w:pPr>
        <w:spacing w:after="40"/>
      </w:pPr>
    </w:p>
    <w:p>
      <w:pPr>
        <w:pStyle w:val="Heading1"/>
      </w:pPr>
      <w:bookmarkStart w:id="5" w:name="epm_5"/>
      <w:r>
        <w:rPr>
          <w:rFonts w:ascii="Arial" w:hAnsi="Arial" w:eastAsia="宋体"/>
          <w:b w:val="0"/>
          <w:i w:val="0"/>
        </w:rPr>
        <w:t>2. 一页上手：第一次打开与推荐操作路线</w:t>
      </w:r>
      <w:bookmarkEnd w:id="5"/>
    </w:p>
    <w:p>
      <w:pPr>
        <w:pStyle w:val="Heading2"/>
      </w:pPr>
      <w:bookmarkStart w:id="6" w:name="epm_6"/>
      <w:r>
        <w:rPr>
          <w:rFonts w:ascii="Arial" w:hAnsi="Arial" w:eastAsia="宋体"/>
          <w:b w:val="0"/>
          <w:i w:val="0"/>
        </w:rPr>
        <w:t>2.1 完整解压并启动</w:t>
      </w:r>
      <w:bookmarkEnd w:id="6"/>
    </w:p>
    <w:p>
      <w:pPr>
        <w:ind w:left="283" w:hanging="198"/>
      </w:pPr>
      <w:r>
        <w:rPr>
          <w:rFonts w:ascii="Arial" w:hAnsi="Arial" w:eastAsia="宋体"/>
        </w:rPr>
        <w:t xml:space="preserve">1. </w:t>
      </w:r>
      <w:r>
        <w:rPr>
          <w:rFonts w:ascii="Arial" w:hAnsi="Arial" w:eastAsia="宋体"/>
          <w:b w:val="0"/>
          <w:i w:val="0"/>
        </w:rPr>
        <w:t>下载 Windows 运行 ZIP，并将整个压缩包解压到电脑普通文件夹，例如“D:\天元EPM演示”。不要在 ZIP 预览窗口内直接双击 EXE。</w:t>
      </w:r>
    </w:p>
    <w:p>
      <w:pPr>
        <w:ind w:left="283" w:hanging="198"/>
      </w:pPr>
      <w:r>
        <w:rPr>
          <w:rFonts w:ascii="Arial" w:hAnsi="Arial" w:eastAsia="宋体"/>
        </w:rPr>
        <w:t xml:space="preserve">2. </w:t>
      </w:r>
      <w:r>
        <w:rPr>
          <w:rFonts w:ascii="Arial" w:hAnsi="Arial" w:eastAsia="宋体"/>
          <w:b w:val="0"/>
          <w:i w:val="0"/>
        </w:rPr>
        <w:t>打开解压后的“TianyuanEPMDemo”文件夹，确认其中同时存在 EXE 和“python、app、backend、frontend”等目录。</w:t>
      </w:r>
    </w:p>
    <w:p>
      <w:pPr>
        <w:ind w:left="283" w:hanging="198"/>
      </w:pPr>
      <w:r>
        <w:rPr>
          <w:rFonts w:ascii="Arial" w:hAnsi="Arial" w:eastAsia="宋体"/>
        </w:rPr>
        <w:t xml:space="preserve">3. </w:t>
      </w:r>
      <w:r>
        <w:rPr>
          <w:rFonts w:ascii="Arial" w:hAnsi="Arial" w:eastAsia="宋体"/>
          <w:b w:val="0"/>
          <w:i w:val="0"/>
        </w:rPr>
        <w:t>双击“天元EPM Demo.exe”，等待浏览器自动打开中文工作台。</w:t>
      </w:r>
    </w:p>
    <w:p>
      <w:pPr>
        <w:ind w:left="283" w:hanging="198"/>
      </w:pPr>
      <w:r>
        <w:rPr>
          <w:rFonts w:ascii="Arial" w:hAnsi="Arial" w:eastAsia="宋体"/>
        </w:rPr>
        <w:t xml:space="preserve">4. </w:t>
      </w:r>
      <w:r>
        <w:rPr>
          <w:rFonts w:ascii="Arial" w:hAnsi="Arial" w:eastAsia="宋体"/>
          <w:b w:val="0"/>
          <w:i w:val="0"/>
        </w:rPr>
        <w:t>确认顶部公司为“杭州天元宠物用品有限公司”，期间为“2026年09期”，报表币种为“人民币 CNY”。</w:t>
      </w:r>
    </w:p>
    <w:p>
      <w:pPr>
        <w:ind w:left="283" w:hanging="198"/>
      </w:pPr>
      <w:r>
        <w:rPr>
          <w:rFonts w:ascii="Arial" w:hAnsi="Arial" w:eastAsia="宋体"/>
        </w:rPr>
        <w:t xml:space="preserve">5. </w:t>
      </w:r>
      <w:r>
        <w:rPr>
          <w:rFonts w:ascii="Arial" w:hAnsi="Arial" w:eastAsia="宋体"/>
          <w:b w:val="0"/>
          <w:i w:val="0"/>
        </w:rPr>
        <w:t>确认侧栏可看到集团主数据、数据与报送、合并与关账、全面预算、经营分析和治理后台等分组。</w:t>
      </w:r>
    </w:p>
    <w:p>
      <w:r>
        <w:rPr>
          <w:rFonts w:ascii="Arial" w:hAnsi="Arial" w:eastAsia="宋体"/>
          <w:b w:val="0"/>
          <w:i w:val="0"/>
        </w:rPr>
        <w:t>电脑无需另装 Python、Docker、WSL 或虚拟机；首次运行也无需联网下载其他基础环境。程序使用包内运行库，因此请保留解压后的目录结构。</w:t>
      </w:r>
    </w:p>
    <w:p>
      <w:pPr>
        <w:pStyle w:val="Heading2"/>
      </w:pPr>
      <w:bookmarkStart w:id="7" w:name="epm_7"/>
      <w:r>
        <w:rPr>
          <w:rFonts w:ascii="Arial" w:hAnsi="Arial" w:eastAsia="宋体"/>
          <w:b w:val="0"/>
          <w:i w:val="0"/>
        </w:rPr>
        <w:t>2.2 十步完成第一次演示</w:t>
      </w:r>
      <w:bookmarkEnd w:id="7"/>
    </w:p>
    <w:tbl>
      <w:tblPr>
        <w:tblStyle w:val="TableGrid"/>
        <w:tblW w:type="auto" w:w="0"/>
        <w:jc w:val="center"/>
        <w:tblLayout w:type="fixed"/>
        <w:tblLook w:firstColumn="1" w:firstRow="1" w:lastColumn="0" w:lastRow="0" w:noHBand="0" w:noVBand="1" w:val="04A0"/>
      </w:tblPr>
      <w:tblGrid>
        <w:gridCol w:w="1468"/>
        <w:gridCol w:w="2078"/>
        <w:gridCol w:w="2722"/>
        <w:gridCol w:w="3370"/>
      </w:tblGrid>
      <w:tr>
        <w:trPr>
          <w:cantSplit/>
          <w:tblHeader w:val="true"/>
        </w:trPr>
        <w:tc>
          <w:tcPr>
            <w:tcW w:type="dxa" w:w="146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步骤</w:t>
            </w:r>
          </w:p>
        </w:tc>
        <w:tc>
          <w:tcPr>
            <w:tcW w:type="dxa" w:w="20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进入位置</w:t>
            </w:r>
          </w:p>
        </w:tc>
        <w:tc>
          <w:tcPr>
            <w:tcW w:type="dxa" w:w="27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执行动作</w:t>
            </w:r>
          </w:p>
        </w:tc>
        <w:tc>
          <w:tcPr>
            <w:tcW w:type="dxa" w:w="337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成功确认</w:t>
            </w:r>
          </w:p>
        </w:tc>
      </w:tr>
      <w:tr>
        <w:trPr>
          <w:cantSplit/>
        </w:trPr>
        <w:tc>
          <w:tcPr>
            <w:tcW w:type="dxa" w:w="1468"/>
            <w:vAlign w:val="top"/>
            <w:tcMar>
              <w:top w:w="65" w:type="dxa"/>
              <w:bottom w:w="65" w:type="dxa"/>
              <w:left w:w="65" w:type="dxa"/>
              <w:right w:w="65" w:type="dxa"/>
            </w:tcMar>
          </w:tcPr>
          <w:p>
            <w:pPr>
              <w:spacing w:before="30" w:after="30" w:line="252" w:lineRule="auto"/>
            </w:pPr>
            <w:r>
              <w:rPr>
                <w:rFonts w:ascii="Arial" w:hAnsi="Arial" w:eastAsia="宋体"/>
                <w:b w:val="0"/>
                <w:i w:val="0"/>
                <w:sz w:val="18"/>
              </w:rPr>
              <w:t>1</w:t>
            </w:r>
          </w:p>
        </w:tc>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集团经营总览</w:t>
            </w:r>
          </w:p>
        </w:tc>
        <w:tc>
          <w:tcPr>
            <w:tcW w:type="dxa" w:w="2722"/>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查看默认9期集团指标</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初始收入13,000、净利润1,720，单位万元</w:t>
            </w:r>
          </w:p>
        </w:tc>
      </w:tr>
      <w:tr>
        <w:trPr>
          <w:cantSplit/>
        </w:trPr>
        <w:tc>
          <w:tcPr>
            <w:tcW w:type="dxa" w:w="1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w:t>
            </w:r>
          </w:p>
        </w:tc>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集团三张报表</w:t>
            </w:r>
          </w:p>
        </w:tc>
        <w:tc>
          <w:tcPr>
            <w:tcW w:type="dxa" w:w="27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依次切换三张报表，查看勾稽</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资产等于负债加权益，期末现金与流量衔接</w:t>
            </w:r>
          </w:p>
        </w:tc>
      </w:tr>
      <w:tr>
        <w:trPr>
          <w:cantSplit/>
        </w:trPr>
        <w:tc>
          <w:tcPr>
            <w:tcW w:type="dxa" w:w="1468"/>
            <w:vAlign w:val="top"/>
            <w:tcMar>
              <w:top w:w="65" w:type="dxa"/>
              <w:bottom w:w="65" w:type="dxa"/>
              <w:left w:w="65" w:type="dxa"/>
              <w:right w:w="65" w:type="dxa"/>
            </w:tcMar>
          </w:tcPr>
          <w:p>
            <w:pPr>
              <w:spacing w:before="30" w:after="30" w:line="252" w:lineRule="auto"/>
            </w:pPr>
            <w:r>
              <w:rPr>
                <w:rFonts w:ascii="Arial" w:hAnsi="Arial" w:eastAsia="宋体"/>
                <w:b w:val="0"/>
                <w:i w:val="0"/>
                <w:sz w:val="18"/>
              </w:rPr>
              <w:t>3</w:t>
            </w:r>
          </w:p>
        </w:tc>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8"/>
              </w:rPr>
              <w:t>版本与多情景</w:t>
            </w:r>
          </w:p>
        </w:tc>
        <w:tc>
          <w:tcPr>
            <w:tcW w:type="dxa" w:w="2722"/>
            <w:vAlign w:val="top"/>
            <w:tcMar>
              <w:top w:w="65" w:type="dxa"/>
              <w:bottom w:w="65" w:type="dxa"/>
              <w:left w:w="65" w:type="dxa"/>
              <w:right w:w="65" w:type="dxa"/>
            </w:tcMar>
          </w:tcPr>
          <w:p>
            <w:pPr>
              <w:spacing w:before="30" w:after="30" w:line="252" w:lineRule="auto"/>
            </w:pPr>
            <w:r>
              <w:rPr>
                <w:rFonts w:ascii="Arial" w:hAnsi="Arial" w:eastAsia="宋体"/>
                <w:b w:val="0"/>
                <w:i w:val="0"/>
                <w:sz w:val="18"/>
              </w:rPr>
              <w:t>复制当前版本，起一个唯一的练习名称</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新版本变为“编制中”，原版仍在列表</w:t>
            </w:r>
          </w:p>
        </w:tc>
      </w:tr>
      <w:tr>
        <w:trPr>
          <w:cantSplit/>
        </w:trPr>
        <w:tc>
          <w:tcPr>
            <w:tcW w:type="dxa" w:w="1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4</w:t>
            </w:r>
          </w:p>
        </w:tc>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预算编制与分摊</w:t>
            </w:r>
          </w:p>
        </w:tc>
        <w:tc>
          <w:tcPr>
            <w:tcW w:type="dxa" w:w="27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调整基础层，点击“保存本层”</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提示已保存，年度目标同步变化</w:t>
            </w:r>
          </w:p>
        </w:tc>
      </w:tr>
      <w:tr>
        <w:trPr>
          <w:cantSplit/>
        </w:trPr>
        <w:tc>
          <w:tcPr>
            <w:tcW w:type="dxa" w:w="1468"/>
            <w:vAlign w:val="top"/>
            <w:tcMar>
              <w:top w:w="65" w:type="dxa"/>
              <w:bottom w:w="65" w:type="dxa"/>
              <w:left w:w="65" w:type="dxa"/>
              <w:right w:w="65" w:type="dxa"/>
            </w:tcMar>
          </w:tcPr>
          <w:p>
            <w:pPr>
              <w:spacing w:before="30" w:after="30" w:line="252" w:lineRule="auto"/>
            </w:pPr>
            <w:r>
              <w:rPr>
                <w:rFonts w:ascii="Arial" w:hAnsi="Arial" w:eastAsia="宋体"/>
                <w:b w:val="0"/>
                <w:i w:val="0"/>
                <w:sz w:val="18"/>
              </w:rPr>
              <w:t>5</w:t>
            </w:r>
          </w:p>
        </w:tc>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8"/>
              </w:rPr>
              <w:t>预算周期与审批</w:t>
            </w:r>
          </w:p>
        </w:tc>
        <w:tc>
          <w:tcPr>
            <w:tcW w:type="dxa" w:w="2722"/>
            <w:vAlign w:val="top"/>
            <w:tcMar>
              <w:top w:w="65" w:type="dxa"/>
              <w:bottom w:w="65" w:type="dxa"/>
              <w:left w:w="65" w:type="dxa"/>
              <w:right w:w="65" w:type="dxa"/>
            </w:tcMar>
          </w:tcPr>
          <w:p>
            <w:pPr>
              <w:spacing w:before="30" w:after="30" w:line="252" w:lineRule="auto"/>
            </w:pPr>
            <w:r>
              <w:rPr>
                <w:rFonts w:ascii="Arial" w:hAnsi="Arial" w:eastAsia="宋体"/>
                <w:b w:val="0"/>
                <w:i w:val="0"/>
                <w:sz w:val="18"/>
              </w:rPr>
              <w:t>依次提交、审核、锁定</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状态依次为审核中、已审批、已锁定</w:t>
            </w:r>
          </w:p>
        </w:tc>
      </w:tr>
      <w:tr>
        <w:trPr>
          <w:cantSplit/>
        </w:trPr>
        <w:tc>
          <w:tcPr>
            <w:tcW w:type="dxa" w:w="1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6</w:t>
            </w:r>
          </w:p>
        </w:tc>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预算调整与滚动预测</w:t>
            </w:r>
          </w:p>
        </w:tc>
        <w:tc>
          <w:tcPr>
            <w:tcW w:type="dxa" w:w="27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发起并批准一笔调整</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生成独立新版本，原版金额不变</w:t>
            </w:r>
          </w:p>
        </w:tc>
      </w:tr>
      <w:tr>
        <w:trPr>
          <w:cantSplit/>
        </w:trPr>
        <w:tc>
          <w:tcPr>
            <w:tcW w:type="dxa" w:w="1468"/>
            <w:vAlign w:val="top"/>
            <w:tcMar>
              <w:top w:w="65" w:type="dxa"/>
              <w:bottom w:w="65" w:type="dxa"/>
              <w:left w:w="65" w:type="dxa"/>
              <w:right w:w="65" w:type="dxa"/>
            </w:tcMar>
          </w:tcPr>
          <w:p>
            <w:pPr>
              <w:spacing w:before="30" w:after="30" w:line="252" w:lineRule="auto"/>
            </w:pPr>
            <w:r>
              <w:rPr>
                <w:rFonts w:ascii="Arial" w:hAnsi="Arial" w:eastAsia="宋体"/>
                <w:b w:val="0"/>
                <w:i w:val="0"/>
                <w:sz w:val="18"/>
              </w:rPr>
              <w:t>7</w:t>
            </w:r>
          </w:p>
        </w:tc>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8"/>
              </w:rPr>
              <w:t>经营差异与钻取</w:t>
            </w:r>
          </w:p>
        </w:tc>
        <w:tc>
          <w:tcPr>
            <w:tcW w:type="dxa" w:w="2722"/>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查看当前预算版本与实际的差异</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比较基准为所选版本，可打开追溯</w:t>
            </w:r>
          </w:p>
        </w:tc>
      </w:tr>
      <w:tr>
        <w:trPr>
          <w:cantSplit/>
        </w:trPr>
        <w:tc>
          <w:tcPr>
            <w:tcW w:type="dxa" w:w="1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8</w:t>
            </w:r>
          </w:p>
        </w:tc>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关账校验与签核</w:t>
            </w:r>
          </w:p>
        </w:tc>
        <w:tc>
          <w:tcPr>
            <w:tcW w:type="dxa" w:w="27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完成报送、说明、校验后签核</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本期显示已签核及签核时间</w:t>
            </w:r>
          </w:p>
        </w:tc>
      </w:tr>
      <w:tr>
        <w:trPr>
          <w:cantSplit/>
        </w:trPr>
        <w:tc>
          <w:tcPr>
            <w:tcW w:type="dxa" w:w="1468"/>
            <w:vAlign w:val="top"/>
            <w:tcMar>
              <w:top w:w="65" w:type="dxa"/>
              <w:bottom w:w="65" w:type="dxa"/>
              <w:left w:w="65" w:type="dxa"/>
              <w:right w:w="65" w:type="dxa"/>
            </w:tcMar>
          </w:tcPr>
          <w:p>
            <w:pPr>
              <w:spacing w:before="30" w:after="30" w:line="252" w:lineRule="auto"/>
            </w:pPr>
            <w:r>
              <w:rPr>
                <w:rFonts w:ascii="Arial" w:hAnsi="Arial" w:eastAsia="宋体"/>
                <w:b w:val="0"/>
                <w:i w:val="0"/>
                <w:sz w:val="18"/>
              </w:rPr>
              <w:t>9</w:t>
            </w:r>
          </w:p>
        </w:tc>
        <w:tc>
          <w:tcPr>
            <w:tcW w:type="dxa" w:w="2078"/>
            <w:vAlign w:val="top"/>
            <w:tcMar>
              <w:top w:w="65" w:type="dxa"/>
              <w:bottom w:w="65" w:type="dxa"/>
              <w:left w:w="65" w:type="dxa"/>
              <w:right w:w="65" w:type="dxa"/>
            </w:tcMar>
          </w:tcPr>
          <w:p>
            <w:pPr>
              <w:spacing w:before="30" w:after="30" w:line="252" w:lineRule="auto"/>
            </w:pPr>
            <w:r>
              <w:rPr>
                <w:rFonts w:ascii="Arial" w:hAnsi="Arial" w:eastAsia="宋体"/>
                <w:b w:val="0"/>
                <w:i w:val="0"/>
                <w:sz w:val="18"/>
              </w:rPr>
              <w:t>系统配置→本机环境工具</w:t>
            </w:r>
          </w:p>
        </w:tc>
        <w:tc>
          <w:tcPr>
            <w:tcW w:type="dxa" w:w="2722"/>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查看数据目录，点击安全退出并确认</w:t>
            </w:r>
          </w:p>
        </w:tc>
        <w:tc>
          <w:tcPr>
            <w:tcW w:type="dxa" w:w="3370"/>
            <w:vAlign w:val="top"/>
            <w:tcMar>
              <w:top w:w="65" w:type="dxa"/>
              <w:bottom w:w="65" w:type="dxa"/>
              <w:left w:w="65" w:type="dxa"/>
              <w:right w:w="65" w:type="dxa"/>
            </w:tcMar>
          </w:tcPr>
          <w:p>
            <w:pPr>
              <w:spacing w:before="30" w:after="30" w:line="252" w:lineRule="auto"/>
            </w:pPr>
            <w:r>
              <w:rPr>
                <w:rFonts w:ascii="Arial" w:hAnsi="Arial" w:eastAsia="宋体"/>
                <w:b w:val="0"/>
                <w:i w:val="0"/>
                <w:sz w:val="18"/>
              </w:rPr>
              <w:t>页面显示已安全退出，数据已保留</w:t>
            </w:r>
          </w:p>
        </w:tc>
      </w:tr>
      <w:tr>
        <w:trPr>
          <w:cantSplit/>
        </w:trPr>
        <w:tc>
          <w:tcPr>
            <w:tcW w:type="dxa" w:w="146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10</w:t>
            </w:r>
          </w:p>
        </w:tc>
        <w:tc>
          <w:tcPr>
            <w:tcW w:type="dxa" w:w="20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重新双击EXE</w:t>
            </w:r>
          </w:p>
        </w:tc>
        <w:tc>
          <w:tcPr>
            <w:tcW w:type="dxa" w:w="27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进入版本及审计页面复查</w:t>
            </w:r>
          </w:p>
        </w:tc>
        <w:tc>
          <w:tcPr>
            <w:tcW w:type="dxa" w:w="337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练习版本、金额和操作记录仍存在</w:t>
            </w:r>
          </w:p>
        </w:tc>
      </w:tr>
    </w:tbl>
    <w:p>
      <w:pPr>
        <w:spacing w:after="40"/>
      </w:pPr>
    </w:p>
    <w:p>
      <w:r>
        <w:rPr>
          <w:rFonts w:ascii="Arial" w:hAnsi="Arial" w:eastAsia="宋体"/>
          <w:b w:val="0"/>
          <w:i w:val="0"/>
        </w:rPr>
        <w:t>第一次演示不必先导入 CSV。预置账套可用于查看三表及完成流程。CSV、法人和科目变更会实际改动演示账套，建议熟悉保存、期间和备份后再练习。</w:t>
      </w:r>
    </w:p>
    <w:p>
      <w:pPr>
        <w:pStyle w:val="Heading2"/>
      </w:pPr>
      <w:bookmarkStart w:id="8" w:name="epm_8"/>
      <w:r>
        <w:rPr>
          <w:rFonts w:ascii="Arial" w:hAnsi="Arial" w:eastAsia="宋体"/>
          <w:b w:val="0"/>
          <w:i w:val="0"/>
        </w:rPr>
        <w:t>2.3 默认数字的核对表</w:t>
      </w:r>
      <w:bookmarkEnd w:id="8"/>
    </w:p>
    <w:p>
      <w:r>
        <w:rPr>
          <w:rFonts w:ascii="Arial" w:hAnsi="Arial" w:eastAsia="宋体"/>
          <w:b w:val="0"/>
          <w:i w:val="0"/>
        </w:rPr>
        <w:t>下表适用于首次初始化且未发生后续导入、凭证审批或主数据变更的2026年09期集团人民币口径。已修改的环境应与自己上一步操作结果比较，不能要求它恢复为下表。</w:t>
      </w:r>
    </w:p>
    <w:tbl>
      <w:tblPr>
        <w:tblStyle w:val="TableGrid"/>
        <w:tblW w:type="auto" w:w="0"/>
        <w:jc w:val="center"/>
        <w:tblLayout w:type="fixed"/>
        <w:tblLook w:firstColumn="1" w:firstRow="1" w:lastColumn="0" w:lastRow="0" w:noHBand="0" w:noVBand="1" w:val="04A0"/>
      </w:tblPr>
      <w:tblGrid>
        <w:gridCol w:w="4677"/>
        <w:gridCol w:w="4961"/>
      </w:tblGrid>
      <w:tr>
        <w:trPr>
          <w:cantSplit/>
          <w:tblHeader w:val="true"/>
        </w:trPr>
        <w:tc>
          <w:tcPr>
            <w:tcW w:type="dxa" w:w="46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指标</w:t>
            </w:r>
          </w:p>
        </w:tc>
        <w:tc>
          <w:tcPr>
            <w:tcW w:type="dxa" w:w="496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初始金额（人民币万元）</w:t>
            </w:r>
          </w:p>
        </w:tc>
      </w:tr>
      <w:tr>
        <w:trPr>
          <w:cantSplit/>
        </w:trPr>
        <w:tc>
          <w:tcPr>
            <w:tcW w:type="dxa" w:w="4677"/>
            <w:vAlign w:val="top"/>
            <w:tcMar>
              <w:top w:w="65" w:type="dxa"/>
              <w:bottom w:w="65" w:type="dxa"/>
              <w:left w:w="65" w:type="dxa"/>
              <w:right w:w="65" w:type="dxa"/>
            </w:tcMar>
          </w:tcPr>
          <w:p>
            <w:pPr>
              <w:spacing w:before="30" w:after="30" w:line="252" w:lineRule="auto"/>
            </w:pPr>
            <w:r>
              <w:rPr>
                <w:rFonts w:ascii="Arial" w:hAnsi="Arial" w:eastAsia="宋体"/>
                <w:b w:val="0"/>
                <w:i w:val="0"/>
                <w:sz w:val="19"/>
              </w:rPr>
              <w:t>累计营业收入</w:t>
            </w:r>
          </w:p>
        </w:tc>
        <w:tc>
          <w:tcPr>
            <w:tcW w:type="dxa" w:w="4961"/>
            <w:vAlign w:val="top"/>
            <w:tcMar>
              <w:top w:w="65" w:type="dxa"/>
              <w:bottom w:w="65" w:type="dxa"/>
              <w:left w:w="65" w:type="dxa"/>
              <w:right w:w="65" w:type="dxa"/>
            </w:tcMar>
          </w:tcPr>
          <w:p>
            <w:pPr>
              <w:spacing w:before="30" w:after="30" w:line="252" w:lineRule="auto"/>
            </w:pPr>
            <w:r>
              <w:rPr>
                <w:rFonts w:ascii="Arial" w:hAnsi="Arial" w:eastAsia="宋体"/>
                <w:b w:val="0"/>
                <w:i w:val="0"/>
                <w:sz w:val="19"/>
              </w:rPr>
              <w:t>13,000.00</w:t>
            </w:r>
          </w:p>
        </w:tc>
      </w:tr>
      <w:tr>
        <w:trPr>
          <w:cantSplit/>
        </w:trPr>
        <w:tc>
          <w:tcPr>
            <w:tcW w:type="dxa" w:w="46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累计净利润</w:t>
            </w:r>
          </w:p>
        </w:tc>
        <w:tc>
          <w:tcPr>
            <w:tcW w:type="dxa" w:w="49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1,720.00</w:t>
            </w:r>
          </w:p>
        </w:tc>
      </w:tr>
      <w:tr>
        <w:trPr>
          <w:cantSplit/>
        </w:trPr>
        <w:tc>
          <w:tcPr>
            <w:tcW w:type="dxa" w:w="4677"/>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资产总计</w:t>
            </w:r>
          </w:p>
        </w:tc>
        <w:tc>
          <w:tcPr>
            <w:tcW w:type="dxa" w:w="4961"/>
            <w:vAlign w:val="top"/>
            <w:tcMar>
              <w:top w:w="65" w:type="dxa"/>
              <w:bottom w:w="65" w:type="dxa"/>
              <w:left w:w="65" w:type="dxa"/>
              <w:right w:w="65" w:type="dxa"/>
            </w:tcMar>
          </w:tcPr>
          <w:p>
            <w:pPr>
              <w:spacing w:before="30" w:after="30" w:line="252" w:lineRule="auto"/>
            </w:pPr>
            <w:r>
              <w:rPr>
                <w:rFonts w:ascii="Arial" w:hAnsi="Arial" w:eastAsia="宋体"/>
                <w:b w:val="0"/>
                <w:i w:val="0"/>
                <w:sz w:val="19"/>
              </w:rPr>
              <w:t>9,580.00</w:t>
            </w:r>
          </w:p>
        </w:tc>
      </w:tr>
      <w:tr>
        <w:trPr>
          <w:cantSplit/>
        </w:trPr>
        <w:tc>
          <w:tcPr>
            <w:tcW w:type="dxa" w:w="46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负债合计</w:t>
            </w:r>
          </w:p>
        </w:tc>
        <w:tc>
          <w:tcPr>
            <w:tcW w:type="dxa" w:w="49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4,730.00</w:t>
            </w:r>
          </w:p>
        </w:tc>
      </w:tr>
      <w:tr>
        <w:trPr>
          <w:cantSplit/>
        </w:trPr>
        <w:tc>
          <w:tcPr>
            <w:tcW w:type="dxa" w:w="4677"/>
            <w:vAlign w:val="top"/>
            <w:tcMar>
              <w:top w:w="65" w:type="dxa"/>
              <w:bottom w:w="65" w:type="dxa"/>
              <w:left w:w="65" w:type="dxa"/>
              <w:right w:w="65" w:type="dxa"/>
            </w:tcMar>
          </w:tcPr>
          <w:p>
            <w:pPr>
              <w:spacing w:before="30" w:after="30" w:line="252" w:lineRule="auto"/>
            </w:pPr>
            <w:r>
              <w:rPr>
                <w:rFonts w:ascii="Arial" w:hAnsi="Arial" w:eastAsia="宋体"/>
                <w:b w:val="0"/>
                <w:i w:val="0"/>
                <w:sz w:val="19"/>
              </w:rPr>
              <w:t>所有者权益合计</w:t>
            </w:r>
          </w:p>
        </w:tc>
        <w:tc>
          <w:tcPr>
            <w:tcW w:type="dxa" w:w="4961"/>
            <w:vAlign w:val="top"/>
            <w:tcMar>
              <w:top w:w="65" w:type="dxa"/>
              <w:bottom w:w="65" w:type="dxa"/>
              <w:left w:w="65" w:type="dxa"/>
              <w:right w:w="65" w:type="dxa"/>
            </w:tcMar>
          </w:tcPr>
          <w:p>
            <w:pPr>
              <w:spacing w:before="30" w:after="30" w:line="252" w:lineRule="auto"/>
            </w:pPr>
            <w:r>
              <w:rPr>
                <w:rFonts w:ascii="Arial" w:hAnsi="Arial" w:eastAsia="宋体"/>
                <w:b w:val="0"/>
                <w:i w:val="0"/>
                <w:sz w:val="19"/>
              </w:rPr>
              <w:t>4,850.00</w:t>
            </w:r>
          </w:p>
        </w:tc>
      </w:tr>
      <w:tr>
        <w:trPr>
          <w:cantSplit/>
        </w:trPr>
        <w:tc>
          <w:tcPr>
            <w:tcW w:type="dxa" w:w="46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经营活动现金流量净额</w:t>
            </w:r>
          </w:p>
        </w:tc>
        <w:tc>
          <w:tcPr>
            <w:tcW w:type="dxa" w:w="496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1,450.00</w:t>
            </w:r>
          </w:p>
        </w:tc>
      </w:tr>
      <w:tr>
        <w:trPr>
          <w:cantSplit/>
        </w:trPr>
        <w:tc>
          <w:tcPr>
            <w:tcW w:type="dxa" w:w="4677"/>
            <w:vAlign w:val="top"/>
            <w:tcMar>
              <w:top w:w="65" w:type="dxa"/>
              <w:bottom w:w="65" w:type="dxa"/>
              <w:left w:w="65" w:type="dxa"/>
              <w:right w:w="65" w:type="dxa"/>
            </w:tcMar>
          </w:tcPr>
          <w:p>
            <w:pPr>
              <w:spacing w:before="30" w:after="30" w:line="252" w:lineRule="auto"/>
            </w:pPr>
            <w:r>
              <w:rPr>
                <w:rFonts w:ascii="Arial" w:hAnsi="Arial" w:eastAsia="宋体"/>
                <w:b w:val="0"/>
                <w:i w:val="0"/>
                <w:sz w:val="19"/>
              </w:rPr>
              <w:t>期末现金及现金等价物</w:t>
            </w:r>
          </w:p>
        </w:tc>
        <w:tc>
          <w:tcPr>
            <w:tcW w:type="dxa" w:w="4961"/>
            <w:vAlign w:val="top"/>
            <w:tcMar>
              <w:top w:w="65" w:type="dxa"/>
              <w:bottom w:w="65" w:type="dxa"/>
              <w:left w:w="65" w:type="dxa"/>
              <w:right w:w="65" w:type="dxa"/>
            </w:tcMar>
          </w:tcPr>
          <w:p>
            <w:pPr>
              <w:spacing w:before="30" w:after="30" w:line="252" w:lineRule="auto"/>
            </w:pPr>
            <w:r>
              <w:rPr>
                <w:rFonts w:ascii="Arial" w:hAnsi="Arial" w:eastAsia="宋体"/>
                <w:b w:val="0"/>
                <w:i w:val="0"/>
                <w:sz w:val="19"/>
              </w:rPr>
              <w:t>2,050.00</w:t>
            </w:r>
          </w:p>
        </w:tc>
      </w:tr>
    </w:tbl>
    <w:p>
      <w:pPr>
        <w:spacing w:after="40"/>
      </w:pPr>
    </w:p>
    <w:p>
      <w:pPr>
        <w:keepNext/>
        <w:jc w:val="center"/>
      </w:pPr>
      <w:r>
        <w:drawing>
          <wp:inline xmlns:a="http://schemas.openxmlformats.org/drawingml/2006/main" xmlns:pic="http://schemas.openxmlformats.org/drawingml/2006/picture">
            <wp:extent cx="6048000" cy="5038740"/>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048000" cy="5038740"/>
                    </a:xfrm>
                    <a:prstGeom prst="rect"/>
                  </pic:spPr>
                </pic:pic>
              </a:graphicData>
            </a:graphic>
          </wp:inline>
        </w:drawing>
      </w:r>
    </w:p>
    <w:p>
      <w:pPr>
        <w:jc w:val="center"/>
      </w:pPr>
      <w:r>
        <w:rPr>
          <w:rFonts w:ascii="Arial" w:hAnsi="Arial" w:eastAsia="宋体"/>
          <w:color w:val="66758D"/>
          <w:sz w:val="18"/>
        </w:rPr>
        <w:t>图 1  集团经营总览</w:t>
      </w:r>
    </w:p>
    <w:p>
      <w:pPr>
        <w:pStyle w:val="Heading1"/>
      </w:pPr>
      <w:bookmarkStart w:id="9" w:name="epm_9"/>
      <w:r>
        <w:rPr>
          <w:rFonts w:ascii="Arial" w:hAnsi="Arial" w:eastAsia="宋体"/>
          <w:b w:val="0"/>
          <w:i w:val="0"/>
        </w:rPr>
        <w:t>3. 认识工作台与通用操作</w:t>
      </w:r>
      <w:bookmarkEnd w:id="9"/>
    </w:p>
    <w:p>
      <w:pPr>
        <w:pStyle w:val="Heading2"/>
      </w:pPr>
      <w:bookmarkStart w:id="10" w:name="epm_10"/>
      <w:r>
        <w:rPr>
          <w:rFonts w:ascii="Arial" w:hAnsi="Arial" w:eastAsia="宋体"/>
          <w:b w:val="0"/>
          <w:i w:val="0"/>
        </w:rPr>
        <w:t>3.1 界面区域</w:t>
      </w:r>
      <w:bookmarkEnd w:id="10"/>
    </w:p>
    <w:p>
      <w:r>
        <w:rPr>
          <w:rFonts w:ascii="Arial" w:hAnsi="Arial" w:eastAsia="宋体"/>
          <w:b w:val="0"/>
          <w:i w:val="0"/>
        </w:rPr>
        <w:t>顶部用于选择集团范围、财务期间和报表币种；右侧有“本机环境”入口与当前演示角色头像。左侧为菜单导航和菜单搜索。中央显示当前页面、业务按钮、指标卡片、表格、图表及弹出表单。侧栏底部显示保存状态和数据版本。</w:t>
      </w:r>
    </w:p>
    <w:p>
      <w:r>
        <w:rPr>
          <w:rFonts w:ascii="Arial" w:hAnsi="Arial" w:eastAsia="宋体"/>
          <w:b w:val="0"/>
          <w:i w:val="0"/>
        </w:rPr>
        <w:t>屏幕较小时，可滚动左侧菜单查看后面的经营分析与治理后台。菜单搜索只筛选功能名称，不搜索凭证、科目或财务数据。清空搜索文字即可恢复全部菜单。</w:t>
      </w:r>
    </w:p>
    <w:p>
      <w:pPr>
        <w:pStyle w:val="Heading2"/>
      </w:pPr>
      <w:bookmarkStart w:id="11" w:name="epm_11"/>
      <w:r>
        <w:rPr>
          <w:rFonts w:ascii="Arial" w:hAnsi="Arial" w:eastAsia="宋体"/>
          <w:b w:val="0"/>
          <w:i w:val="0"/>
        </w:rPr>
        <w:t>3.2 三个全局筛选如何使用</w:t>
      </w:r>
      <w:bookmarkEnd w:id="11"/>
    </w:p>
    <w:tbl>
      <w:tblPr>
        <w:tblStyle w:val="TableGrid"/>
        <w:tblW w:type="auto" w:w="0"/>
        <w:jc w:val="center"/>
        <w:tblLayout w:type="fixed"/>
        <w:tblLook w:firstColumn="1" w:firstRow="1" w:lastColumn="0" w:lastRow="0" w:noHBand="0" w:noVBand="1" w:val="04A0"/>
      </w:tblPr>
      <w:tblGrid>
        <w:gridCol w:w="1456"/>
        <w:gridCol w:w="2174"/>
        <w:gridCol w:w="3511"/>
        <w:gridCol w:w="2497"/>
      </w:tblGrid>
      <w:tr>
        <w:trPr>
          <w:cantSplit/>
          <w:tblHeader w:val="true"/>
        </w:trPr>
        <w:tc>
          <w:tcPr>
            <w:tcW w:type="dxa" w:w="145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筛选</w:t>
            </w:r>
          </w:p>
        </w:tc>
        <w:tc>
          <w:tcPr>
            <w:tcW w:type="dxa" w:w="217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可选内容</w:t>
            </w:r>
          </w:p>
        </w:tc>
        <w:tc>
          <w:tcPr>
            <w:tcW w:type="dxa" w:w="351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影响范围</w:t>
            </w:r>
          </w:p>
        </w:tc>
        <w:tc>
          <w:tcPr>
            <w:tcW w:type="dxa" w:w="249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不会执行的动作</w:t>
            </w:r>
          </w:p>
        </w:tc>
      </w:tr>
      <w:tr>
        <w:trPr>
          <w:cantSplit/>
        </w:trPr>
        <w:tc>
          <w:tcPr>
            <w:tcW w:type="dxa" w:w="1456"/>
            <w:vAlign w:val="top"/>
            <w:tcMar>
              <w:top w:w="65" w:type="dxa"/>
              <w:bottom w:w="65" w:type="dxa"/>
              <w:left w:w="65" w:type="dxa"/>
              <w:right w:w="65" w:type="dxa"/>
            </w:tcMar>
          </w:tcPr>
          <w:p>
            <w:pPr>
              <w:spacing w:before="30" w:after="30" w:line="252" w:lineRule="auto"/>
            </w:pPr>
            <w:r>
              <w:rPr>
                <w:rFonts w:ascii="Arial" w:hAnsi="Arial" w:eastAsia="宋体"/>
                <w:b w:val="0"/>
                <w:i w:val="0"/>
                <w:sz w:val="18"/>
              </w:rPr>
              <w:t>集团范围</w:t>
            </w:r>
          </w:p>
        </w:tc>
        <w:tc>
          <w:tcPr>
            <w:tcW w:type="dxa" w:w="2174"/>
            <w:vAlign w:val="top"/>
            <w:tcMar>
              <w:top w:w="65" w:type="dxa"/>
              <w:bottom w:w="65" w:type="dxa"/>
              <w:left w:w="65" w:type="dxa"/>
              <w:right w:w="65" w:type="dxa"/>
            </w:tcMar>
          </w:tcPr>
          <w:p>
            <w:pPr>
              <w:spacing w:before="30" w:after="30" w:line="252" w:lineRule="auto"/>
            </w:pPr>
            <w:r>
              <w:rPr>
                <w:rFonts w:ascii="Arial" w:hAnsi="Arial" w:eastAsia="宋体"/>
                <w:b w:val="0"/>
                <w:i w:val="0"/>
                <w:sz w:val="18"/>
              </w:rPr>
              <w:t>主集团、天元制造子集团</w:t>
            </w:r>
          </w:p>
        </w:tc>
        <w:tc>
          <w:tcPr>
            <w:tcW w:type="dxa" w:w="351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当前范围报表、分析及期间流程</w:t>
            </w:r>
          </w:p>
        </w:tc>
        <w:tc>
          <w:tcPr>
            <w:tcW w:type="dxa" w:w="2497"/>
            <w:vAlign w:val="top"/>
            <w:tcMar>
              <w:top w:w="65" w:type="dxa"/>
              <w:bottom w:w="65" w:type="dxa"/>
              <w:left w:w="65" w:type="dxa"/>
              <w:right w:w="65" w:type="dxa"/>
            </w:tcMar>
          </w:tcPr>
          <w:p>
            <w:pPr>
              <w:spacing w:before="30" w:after="30" w:line="252" w:lineRule="auto"/>
            </w:pPr>
            <w:r>
              <w:rPr>
                <w:rFonts w:ascii="Arial" w:hAnsi="Arial" w:eastAsia="宋体"/>
                <w:b w:val="0"/>
                <w:i w:val="0"/>
                <w:sz w:val="18"/>
              </w:rPr>
              <w:t>不会自动改写法人档案</w:t>
            </w:r>
          </w:p>
        </w:tc>
      </w:tr>
      <w:tr>
        <w:trPr>
          <w:cantSplit/>
        </w:trPr>
        <w:tc>
          <w:tcPr>
            <w:tcW w:type="dxa" w:w="145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财务期间</w:t>
            </w:r>
          </w:p>
        </w:tc>
        <w:tc>
          <w:tcPr>
            <w:tcW w:type="dxa" w:w="217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2026年01至12期</w:t>
            </w:r>
          </w:p>
        </w:tc>
        <w:tc>
          <w:tcPr>
            <w:tcW w:type="dxa" w:w="351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累计实际、本期关账状态、CSV导入对应月份、当期凭证</w:t>
            </w:r>
          </w:p>
        </w:tc>
        <w:tc>
          <w:tcPr>
            <w:tcW w:type="dxa" w:w="249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不会自动生成未来实际业务</w:t>
            </w:r>
          </w:p>
        </w:tc>
      </w:tr>
      <w:tr>
        <w:trPr>
          <w:cantSplit/>
        </w:trPr>
        <w:tc>
          <w:tcPr>
            <w:tcW w:type="dxa" w:w="1456"/>
            <w:vAlign w:val="top"/>
            <w:tcMar>
              <w:top w:w="65" w:type="dxa"/>
              <w:bottom w:w="65" w:type="dxa"/>
              <w:left w:w="65" w:type="dxa"/>
              <w:right w:w="65" w:type="dxa"/>
            </w:tcMar>
          </w:tcPr>
          <w:p>
            <w:pPr>
              <w:spacing w:before="30" w:after="30" w:line="252" w:lineRule="auto"/>
            </w:pPr>
            <w:r>
              <w:rPr>
                <w:rFonts w:ascii="Arial" w:hAnsi="Arial" w:eastAsia="宋体"/>
                <w:b w:val="0"/>
                <w:i w:val="0"/>
                <w:sz w:val="18"/>
              </w:rPr>
              <w:t>报表币种</w:t>
            </w:r>
          </w:p>
        </w:tc>
        <w:tc>
          <w:tcPr>
            <w:tcW w:type="dxa" w:w="2174"/>
            <w:vAlign w:val="top"/>
            <w:tcMar>
              <w:top w:w="65" w:type="dxa"/>
              <w:bottom w:w="65" w:type="dxa"/>
              <w:left w:w="65" w:type="dxa"/>
              <w:right w:w="65" w:type="dxa"/>
            </w:tcMar>
          </w:tcPr>
          <w:p>
            <w:pPr>
              <w:spacing w:before="30" w:after="30" w:line="252" w:lineRule="auto"/>
            </w:pPr>
            <w:r>
              <w:rPr>
                <w:rFonts w:ascii="Arial" w:hAnsi="Arial" w:eastAsia="宋体"/>
                <w:b w:val="0"/>
                <w:i w:val="0"/>
                <w:sz w:val="18"/>
              </w:rPr>
              <w:t>人民币CNY、美元USD</w:t>
            </w:r>
          </w:p>
        </w:tc>
        <w:tc>
          <w:tcPr>
            <w:tcW w:type="dxa" w:w="3511"/>
            <w:vAlign w:val="top"/>
            <w:tcMar>
              <w:top w:w="65" w:type="dxa"/>
              <w:bottom w:w="65" w:type="dxa"/>
              <w:left w:w="65" w:type="dxa"/>
              <w:right w:w="65" w:type="dxa"/>
            </w:tcMar>
          </w:tcPr>
          <w:p>
            <w:pPr>
              <w:spacing w:before="30" w:after="30" w:line="252" w:lineRule="auto"/>
            </w:pPr>
            <w:r>
              <w:rPr>
                <w:rFonts w:ascii="Arial" w:hAnsi="Arial" w:eastAsia="宋体"/>
                <w:b w:val="0"/>
                <w:i w:val="0"/>
                <w:sz w:val="18"/>
              </w:rPr>
              <w:t>当前展示金额与相应导出</w:t>
            </w:r>
          </w:p>
        </w:tc>
        <w:tc>
          <w:tcPr>
            <w:tcW w:type="dxa" w:w="2497"/>
            <w:vAlign w:val="top"/>
            <w:tcMar>
              <w:top w:w="65" w:type="dxa"/>
              <w:bottom w:w="65" w:type="dxa"/>
              <w:left w:w="65" w:type="dxa"/>
              <w:right w:w="65" w:type="dxa"/>
            </w:tcMar>
          </w:tcPr>
          <w:p>
            <w:pPr>
              <w:spacing w:before="30" w:after="30" w:line="252" w:lineRule="auto"/>
            </w:pPr>
            <w:r>
              <w:rPr>
                <w:rFonts w:ascii="Arial" w:hAnsi="Arial" w:eastAsia="宋体"/>
                <w:b w:val="0"/>
                <w:i w:val="0"/>
                <w:sz w:val="18"/>
              </w:rPr>
              <w:t>不会执行结汇或改变基础录入金额</w:t>
            </w:r>
          </w:p>
        </w:tc>
      </w:tr>
    </w:tbl>
    <w:p>
      <w:pPr>
        <w:spacing w:after="40"/>
      </w:pPr>
    </w:p>
    <w:p>
      <w:r>
        <w:rPr>
          <w:rFonts w:ascii="Arial" w:hAnsi="Arial" w:eastAsia="宋体"/>
          <w:b w:val="0"/>
          <w:i w:val="0"/>
        </w:rPr>
        <w:t>“集团三张报表”和“经营差异与钻取”另提供法人范围选择。选择具体法人时查看该法人抵销前报送口径；集团合并口径包含适用的已审批调整，因此法人收入简单相加可能不同于集团收入。</w:t>
      </w:r>
    </w:p>
    <w:p>
      <w:r>
        <w:rPr>
          <w:rFonts w:ascii="Arial" w:hAnsi="Arial" w:eastAsia="宋体"/>
          <w:b w:val="0"/>
          <w:i w:val="0"/>
        </w:rPr>
        <w:t>预算版本是全年数据快照，不是切换月份时自动新建一份预算。当前版本影响编制和预实比较；切换月份只改变该版本累计比较到哪个期间。预算状态和财务期间签核属于两套流程，锁定预算不等于关闭财务期间。</w:t>
      </w:r>
    </w:p>
    <w:p>
      <w:pPr>
        <w:pStyle w:val="Heading2"/>
      </w:pPr>
      <w:bookmarkStart w:id="12" w:name="epm_12"/>
      <w:r>
        <w:rPr>
          <w:rFonts w:ascii="Arial" w:hAnsi="Arial" w:eastAsia="宋体"/>
          <w:b w:val="0"/>
          <w:i w:val="0"/>
        </w:rPr>
        <w:t>3.3 输入、保存、关闭和刷新</w:t>
      </w:r>
      <w:bookmarkEnd w:id="12"/>
    </w:p>
    <w:p>
      <w:r>
        <w:rPr>
          <w:rFonts w:ascii="Arial" w:hAnsi="Arial" w:eastAsia="宋体"/>
          <w:b w:val="0"/>
          <w:i w:val="0"/>
        </w:rPr>
        <w:t>弹窗中输入后，必须点击对应保存按钮才会写入数据库；点击“关闭”、右上角“×”或按 Esc 只关闭弹窗。未保存输入不能视作已经留存。保存成功后通常会关闭弹窗，显示中文提示，并更新侧栏“已保存·数据版本”以及相关表格。</w:t>
      </w:r>
    </w:p>
    <w:p>
      <w:r>
        <w:rPr>
          <w:rFonts w:ascii="Arial" w:hAnsi="Arial" w:eastAsia="宋体"/>
          <w:b w:val="0"/>
          <w:i w:val="0"/>
        </w:rPr>
        <w:t>同一电脑打开多个标签页时，某一标签页可能先修改数据。若提示“其他操作已更新数据”，系统会读取最新内容；应核对最新金额，再重新打开表单操作。不要通过反复快速点击保存来绕过提示。</w:t>
      </w:r>
    </w:p>
    <w:p>
      <w:r>
        <w:rPr>
          <w:rFonts w:ascii="Arial" w:hAnsi="Arial" w:eastAsia="宋体"/>
          <w:b w:val="0"/>
          <w:i w:val="0"/>
        </w:rPr>
        <w:t>按钮呈禁用状态时通常表示预算状态不允许、当前页面为只读口径或对应功能仅用于展示。即使部分按钮仍可点击，服务端也会校验角色与期间状态；以实际中文结果为准。出现错误时不应把表单中的数值当作已保存值，可刷新或重开该记录确认。</w:t>
      </w:r>
    </w:p>
    <w:p>
      <w:pPr>
        <w:pStyle w:val="Heading2"/>
      </w:pPr>
      <w:bookmarkStart w:id="13" w:name="epm_13"/>
      <w:r>
        <w:rPr>
          <w:rFonts w:ascii="Arial" w:hAnsi="Arial" w:eastAsia="宋体"/>
          <w:b w:val="0"/>
          <w:i w:val="0"/>
        </w:rPr>
        <w:t>3.4 完整20项导航</w:t>
      </w:r>
      <w:bookmarkEnd w:id="13"/>
    </w:p>
    <w:tbl>
      <w:tblPr>
        <w:tblStyle w:val="TableGrid"/>
        <w:tblW w:type="auto" w:w="0"/>
        <w:jc w:val="center"/>
        <w:tblLayout w:type="fixed"/>
        <w:tblLook w:firstColumn="1" w:firstRow="1" w:lastColumn="0" w:lastRow="0" w:noHBand="0" w:noVBand="1" w:val="04A0"/>
      </w:tblPr>
      <w:tblGrid>
        <w:gridCol w:w="2241"/>
        <w:gridCol w:w="2801"/>
        <w:gridCol w:w="4595"/>
      </w:tblGrid>
      <w:tr>
        <w:trPr>
          <w:cantSplit/>
          <w:tblHeader w:val="true"/>
        </w:trPr>
        <w:tc>
          <w:tcPr>
            <w:tcW w:type="dxa" w:w="224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分组</w:t>
            </w:r>
          </w:p>
        </w:tc>
        <w:tc>
          <w:tcPr>
            <w:tcW w:type="dxa" w:w="280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导航名称</w:t>
            </w:r>
          </w:p>
        </w:tc>
        <w:tc>
          <w:tcPr>
            <w:tcW w:type="dxa" w:w="45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主要用途</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工作空间</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集团经营总览</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看收入、利润、现金、趋势、贡献及关账进度</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集团主数据</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集团组织与持股</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查看组织，新增或编辑演示法人档案</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集团主数据</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科目与维度</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查看和维护集团科目，查看维度与报告层级</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数据与报送</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数据接入</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下载模板，导入CSV，查看接入批次</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数据与报送</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试算平衡报送</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查看法人累计余额并复核接收当前期</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数据与报送</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集团汇率</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维护美元展示汇率</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合并与关账</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持股与企业合并</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查看演示持股及合并方法</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合并与关账</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内部往来核对</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记录当前期内部交易差异核对说明</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合并与关账</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抵销与调整凭证</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查看凭证，新建草稿，由负责人审批</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合并与关账</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关账校验与签核</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完成前置任务、校验、签核及重新打开期间</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合并与关账</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集团三张报表</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查看三表、追溯、勾稽及导出</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全面预算</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预算周期与审批</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提交预算、审核、锁定及查看操作记录</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全面预算</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预算编制与分摊</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目标分层、量价、分摊与业务预算明细</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全面预算</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预算调整与滚动预测</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申请调整并生成独立版本或预测草稿</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全面预算</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版本与多情景</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复制、切换和比较完整预算版本</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经营分析</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经营差异与钻取</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查看预实比较、利润差异桥及法人贡献</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经营分析</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管理报表中心</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进入现有业务报表或打印当前视图</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治理后台</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组织权限</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查看权限矩阵，切换本机演示角色</w:t>
            </w:r>
          </w:p>
        </w:tc>
      </w:tr>
      <w:tr>
        <w:trPr>
          <w:cantSplit/>
        </w:trPr>
        <w:tc>
          <w:tcPr>
            <w:tcW w:type="dxa" w:w="2241"/>
            <w:vAlign w:val="top"/>
            <w:tcMar>
              <w:top w:w="65" w:type="dxa"/>
              <w:bottom w:w="65" w:type="dxa"/>
              <w:left w:w="65" w:type="dxa"/>
              <w:right w:w="65" w:type="dxa"/>
            </w:tcMar>
          </w:tcPr>
          <w:p>
            <w:pPr>
              <w:spacing w:before="30" w:after="30" w:line="252" w:lineRule="auto"/>
            </w:pPr>
            <w:r>
              <w:rPr>
                <w:rFonts w:ascii="Arial" w:hAnsi="Arial" w:eastAsia="宋体"/>
                <w:b w:val="0"/>
                <w:i w:val="0"/>
                <w:sz w:val="19"/>
              </w:rPr>
              <w:t>治理后台</w:t>
            </w:r>
          </w:p>
        </w:tc>
        <w:tc>
          <w:tcPr>
            <w:tcW w:type="dxa" w:w="2801"/>
            <w:vAlign w:val="top"/>
            <w:tcMar>
              <w:top w:w="65" w:type="dxa"/>
              <w:bottom w:w="65" w:type="dxa"/>
              <w:left w:w="65" w:type="dxa"/>
              <w:right w:w="65" w:type="dxa"/>
            </w:tcMar>
          </w:tcPr>
          <w:p>
            <w:pPr>
              <w:spacing w:before="30" w:after="30" w:line="252" w:lineRule="auto"/>
            </w:pPr>
            <w:r>
              <w:rPr>
                <w:rFonts w:ascii="Arial" w:hAnsi="Arial" w:eastAsia="宋体"/>
                <w:b w:val="0"/>
                <w:i w:val="0"/>
                <w:sz w:val="19"/>
              </w:rPr>
              <w:t>审计轨迹</w:t>
            </w:r>
          </w:p>
        </w:tc>
        <w:tc>
          <w:tcPr>
            <w:tcW w:type="dxa" w:w="4595"/>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查看并导出实际保存操作记录</w:t>
            </w:r>
          </w:p>
        </w:tc>
      </w:tr>
      <w:tr>
        <w:trPr>
          <w:cantSplit/>
        </w:trPr>
        <w:tc>
          <w:tcPr>
            <w:tcW w:type="dxa" w:w="224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治理后台</w:t>
            </w:r>
          </w:p>
        </w:tc>
        <w:tc>
          <w:tcPr>
            <w:tcW w:type="dxa" w:w="280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系统配置</w:t>
            </w:r>
          </w:p>
        </w:tc>
        <w:tc>
          <w:tcPr>
            <w:tcW w:type="dxa" w:w="45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维护集团名称，查看本机位置及安全退出</w:t>
            </w:r>
          </w:p>
        </w:tc>
      </w:tr>
    </w:tbl>
    <w:p>
      <w:pPr>
        <w:spacing w:after="40"/>
      </w:pPr>
    </w:p>
    <w:p>
      <w:pPr>
        <w:pStyle w:val="Heading1"/>
      </w:pPr>
      <w:bookmarkStart w:id="14" w:name="epm_14"/>
      <w:r>
        <w:rPr>
          <w:rFonts w:ascii="Arial" w:hAnsi="Arial" w:eastAsia="宋体"/>
          <w:b w:val="0"/>
          <w:i w:val="0"/>
        </w:rPr>
        <w:t>4. 演示角色及其操作范围</w:t>
      </w:r>
      <w:bookmarkEnd w:id="14"/>
    </w:p>
    <w:p>
      <w:pPr>
        <w:pStyle w:val="Heading2"/>
      </w:pPr>
      <w:bookmarkStart w:id="15" w:name="epm_15"/>
      <w:r>
        <w:rPr>
          <w:rFonts w:ascii="Arial" w:hAnsi="Arial" w:eastAsia="宋体"/>
          <w:b w:val="0"/>
          <w:i w:val="0"/>
        </w:rPr>
        <w:t>4.1 切换角色</w:t>
      </w:r>
      <w:bookmarkEnd w:id="15"/>
    </w:p>
    <w:p>
      <w:r>
        <w:rPr>
          <w:rFonts w:ascii="Arial" w:hAnsi="Arial" w:eastAsia="宋体"/>
          <w:b w:val="0"/>
          <w:i w:val="0"/>
        </w:rPr>
        <w:t>进入“组织权限”，点击“切换演示角色”，选择角色，再点击弹窗中的“切换角色”。头像也提供相应角色入口。切换后回到业务页面，检查当前角色文字；以它决定能否执行审批和配置。</w:t>
      </w:r>
    </w:p>
    <w:p>
      <w:r>
        <w:rPr>
          <w:rFonts w:ascii="Arial" w:hAnsi="Arial" w:eastAsia="宋体"/>
          <w:b w:val="0"/>
          <w:i w:val="0"/>
        </w:rPr>
        <w:t>这里是单机流程体验。当前启动凭证持有人能够切换三种角色，不需要创建邮箱账号；它不是生产身份认证，也未提供法人之间的数据读取隔离。法人会计仍可读取集团演示报表，不应把本环境理解为已完成企业权限建设。</w:t>
      </w:r>
    </w:p>
    <w:p>
      <w:pPr>
        <w:pStyle w:val="Heading2"/>
      </w:pPr>
      <w:bookmarkStart w:id="16" w:name="epm_16"/>
      <w:r>
        <w:rPr>
          <w:rFonts w:ascii="Arial" w:hAnsi="Arial" w:eastAsia="宋体"/>
          <w:b w:val="0"/>
          <w:i w:val="0"/>
        </w:rPr>
        <w:t>4.2 真实操作权限表</w:t>
      </w:r>
      <w:bookmarkEnd w:id="16"/>
    </w:p>
    <w:tbl>
      <w:tblPr>
        <w:tblStyle w:val="TableGrid"/>
        <w:tblW w:type="auto" w:w="0"/>
        <w:jc w:val="center"/>
        <w:tblLayout w:type="fixed"/>
        <w:tblLook w:firstColumn="1" w:firstRow="1" w:lastColumn="0" w:lastRow="0" w:noHBand="0" w:noVBand="1" w:val="04A0"/>
      </w:tblPr>
      <w:tblGrid>
        <w:gridCol w:w="4184"/>
        <w:gridCol w:w="1900"/>
        <w:gridCol w:w="1777"/>
        <w:gridCol w:w="1777"/>
      </w:tblGrid>
      <w:tr>
        <w:trPr>
          <w:cantSplit/>
          <w:tblHeader w:val="true"/>
        </w:trPr>
        <w:tc>
          <w:tcPr>
            <w:tcW w:type="dxa" w:w="41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操作</w:t>
            </w:r>
          </w:p>
        </w:tc>
        <w:tc>
          <w:tcPr>
            <w:tcW w:type="dxa" w:w="190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集团财务负责人</w:t>
            </w:r>
          </w:p>
        </w:tc>
        <w:tc>
          <w:tcPr>
            <w:tcW w:type="dxa" w:w="17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法人会计</w:t>
            </w:r>
          </w:p>
        </w:tc>
        <w:tc>
          <w:tcPr>
            <w:tcW w:type="dxa" w:w="177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8"/>
              </w:rPr>
              <w:t>审计只读</w:t>
            </w:r>
          </w:p>
        </w:tc>
      </w:tr>
      <w:tr>
        <w:trPr>
          <w:cantSplit/>
        </w:trPr>
        <w:tc>
          <w:tcPr>
            <w:tcW w:type="dxa" w:w="4184"/>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查看集团和法人报表、分析、审计</w:t>
            </w:r>
          </w:p>
        </w:tc>
        <w:tc>
          <w:tcPr>
            <w:tcW w:type="dxa" w:w="19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r>
      <w:tr>
        <w:trPr>
          <w:cantSplit/>
        </w:trPr>
        <w:tc>
          <w:tcPr>
            <w:tcW w:type="dxa" w:w="4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保存预算层、量价、分摊及业务明细</w:t>
            </w:r>
          </w:p>
        </w:tc>
        <w:tc>
          <w:tcPr>
            <w:tcW w:type="dxa" w:w="1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tcPr>
          <w:p>
            <w:pPr>
              <w:spacing w:before="30" w:after="30" w:line="252" w:lineRule="auto"/>
            </w:pPr>
            <w:r>
              <w:rPr>
                <w:rFonts w:ascii="Arial" w:hAnsi="Arial" w:eastAsia="宋体"/>
                <w:b w:val="0"/>
                <w:i w:val="0"/>
                <w:sz w:val="18"/>
              </w:rPr>
              <w:t>提交预算、复制或切换版本、发起预算调整</w:t>
            </w:r>
          </w:p>
        </w:tc>
        <w:tc>
          <w:tcPr>
            <w:tcW w:type="dxa" w:w="19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审核预算、锁定版本、批准或退回调整</w:t>
            </w:r>
          </w:p>
        </w:tc>
        <w:tc>
          <w:tcPr>
            <w:tcW w:type="dxa" w:w="1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tcPr>
          <w:p>
            <w:pPr>
              <w:spacing w:before="30" w:after="30" w:line="252" w:lineRule="auto"/>
            </w:pPr>
            <w:r>
              <w:rPr>
                <w:rFonts w:ascii="Arial" w:hAnsi="Arial" w:eastAsia="宋体"/>
                <w:b w:val="0"/>
                <w:i w:val="0"/>
                <w:sz w:val="18"/>
              </w:rPr>
              <w:t>CSV导入、报送复核、内部说明、经营说明、运行校验</w:t>
            </w:r>
          </w:p>
        </w:tc>
        <w:tc>
          <w:tcPr>
            <w:tcW w:type="dxa" w:w="19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新增调整凭证草稿</w:t>
            </w:r>
          </w:p>
        </w:tc>
        <w:tc>
          <w:tcPr>
            <w:tcW w:type="dxa" w:w="1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tcPr>
          <w:p>
            <w:pPr>
              <w:spacing w:before="30" w:after="30" w:line="252" w:lineRule="auto"/>
            </w:pPr>
            <w:r>
              <w:rPr>
                <w:rFonts w:ascii="Arial" w:hAnsi="Arial" w:eastAsia="宋体"/>
                <w:b w:val="0"/>
                <w:i w:val="0"/>
                <w:sz w:val="18"/>
              </w:rPr>
              <w:t>审批凭证、签核、重新打开期间</w:t>
            </w:r>
          </w:p>
        </w:tc>
        <w:tc>
          <w:tcPr>
            <w:tcW w:type="dxa" w:w="19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保存法人、科目、汇率和集团设置</w:t>
            </w:r>
          </w:p>
        </w:tc>
        <w:tc>
          <w:tcPr>
            <w:tcW w:type="dxa" w:w="190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c>
          <w:tcPr>
            <w:tcW w:type="dxa" w:w="177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8"/>
              </w:rPr>
              <w:t>禁止</w:t>
            </w:r>
          </w:p>
        </w:tc>
      </w:tr>
      <w:tr>
        <w:trPr>
          <w:cantSplit/>
        </w:trPr>
        <w:tc>
          <w:tcPr>
            <w:tcW w:type="dxa" w:w="4184"/>
            <w:vAlign w:val="top"/>
            <w:tcMar>
              <w:top w:w="65" w:type="dxa"/>
              <w:bottom w:w="65" w:type="dxa"/>
              <w:left w:w="65" w:type="dxa"/>
              <w:right w:w="65" w:type="dxa"/>
            </w:tcMar>
          </w:tcPr>
          <w:p>
            <w:pPr>
              <w:spacing w:before="30" w:after="30" w:line="252" w:lineRule="auto"/>
            </w:pPr>
            <w:r>
              <w:rPr>
                <w:rFonts w:ascii="Arial" w:hAnsi="Arial" w:eastAsia="宋体"/>
                <w:b w:val="0"/>
                <w:i w:val="0"/>
                <w:sz w:val="18"/>
              </w:rPr>
              <w:t>查看本机路径、打开数据目录、安全退出</w:t>
            </w:r>
          </w:p>
        </w:tc>
        <w:tc>
          <w:tcPr>
            <w:tcW w:type="dxa" w:w="1900"/>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c>
          <w:tcPr>
            <w:tcW w:type="dxa" w:w="1777"/>
            <w:vAlign w:val="top"/>
            <w:tcMar>
              <w:top w:w="65" w:type="dxa"/>
              <w:bottom w:w="65" w:type="dxa"/>
              <w:left w:w="65" w:type="dxa"/>
              <w:right w:w="65" w:type="dxa"/>
            </w:tcMar>
          </w:tcPr>
          <w:p>
            <w:pPr>
              <w:spacing w:before="30" w:after="30" w:line="252" w:lineRule="auto"/>
            </w:pPr>
            <w:r>
              <w:rPr>
                <w:rFonts w:ascii="Arial" w:hAnsi="Arial" w:eastAsia="宋体"/>
                <w:b w:val="0"/>
                <w:i w:val="0"/>
                <w:sz w:val="18"/>
              </w:rPr>
              <w:t>允许</w:t>
            </w:r>
          </w:p>
        </w:tc>
      </w:tr>
    </w:tbl>
    <w:p>
      <w:pPr>
        <w:spacing w:after="40"/>
      </w:pPr>
    </w:p>
    <w:p>
      <w:r>
        <w:rPr>
          <w:rFonts w:ascii="Arial" w:hAnsi="Arial" w:eastAsia="宋体"/>
          <w:b w:val="0"/>
          <w:i w:val="0"/>
        </w:rPr>
        <w:t>“切换预算版本”会更新演示环境的活跃版本，是服务端保存动作，因此审计只读不能执行。只读用户可查看当前版本及版本清单。角色不同产生的业务拒绝，不代表软件故障；需要审批时切回集团财务负责人。</w:t>
      </w:r>
    </w:p>
    <w:p>
      <w:pPr>
        <w:pStyle w:val="Heading1"/>
      </w:pPr>
      <w:bookmarkStart w:id="17" w:name="epm_17"/>
      <w:r>
        <w:rPr>
          <w:rFonts w:ascii="Arial" w:hAnsi="Arial" w:eastAsia="宋体"/>
          <w:b w:val="0"/>
          <w:i w:val="0"/>
        </w:rPr>
        <w:t>5. 集团组织、科目、持股与汇率</w:t>
      </w:r>
      <w:bookmarkEnd w:id="17"/>
    </w:p>
    <w:p>
      <w:pPr>
        <w:pStyle w:val="Heading2"/>
      </w:pPr>
      <w:bookmarkStart w:id="18" w:name="epm_18"/>
      <w:r>
        <w:rPr>
          <w:rFonts w:ascii="Arial" w:hAnsi="Arial" w:eastAsia="宋体"/>
          <w:b w:val="0"/>
          <w:i w:val="0"/>
        </w:rPr>
        <w:t>5.1 新增和编辑法人档案</w:t>
      </w:r>
      <w:bookmarkEnd w:id="18"/>
    </w:p>
    <w:p>
      <w:r>
        <w:rPr>
          <w:rFonts w:ascii="Arial" w:hAnsi="Arial" w:eastAsia="宋体"/>
          <w:b w:val="0"/>
          <w:i w:val="0"/>
        </w:rPr>
        <w:t>进入“集团组织与持股”，点击“新增法人”，按下表填写，点击“保存法人”。已有法人在组织树中点击“编辑档案”进入维护。保存后重新打开同一档案，核对编码、名称和责任人。</w:t>
      </w:r>
    </w:p>
    <w:tbl>
      <w:tblPr>
        <w:tblStyle w:val="TableGrid"/>
        <w:tblW w:type="auto" w:w="0"/>
        <w:jc w:val="center"/>
        <w:tblLayout w:type="fixed"/>
        <w:tblLook w:firstColumn="1" w:firstRow="1" w:lastColumn="0" w:lastRow="0" w:noHBand="0" w:noVBand="1" w:val="04A0"/>
      </w:tblPr>
      <w:tblGrid>
        <w:gridCol w:w="2178"/>
        <w:gridCol w:w="4304"/>
        <w:gridCol w:w="3155"/>
      </w:tblGrid>
      <w:tr>
        <w:trPr>
          <w:cantSplit/>
          <w:tblHeader w:val="true"/>
        </w:trPr>
        <w:tc>
          <w:tcPr>
            <w:tcW w:type="dxa" w:w="21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界面字段</w:t>
            </w:r>
          </w:p>
        </w:tc>
        <w:tc>
          <w:tcPr>
            <w:tcW w:type="dxa" w:w="430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填写要求</w:t>
            </w:r>
          </w:p>
        </w:tc>
        <w:tc>
          <w:tcPr>
            <w:tcW w:type="dxa" w:w="315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示例及注意事项</w:t>
            </w:r>
          </w:p>
        </w:tc>
      </w:tr>
      <w:tr>
        <w:trPr>
          <w:cantSplit/>
        </w:trPr>
        <w:tc>
          <w:tcPr>
            <w:tcW w:type="dxa" w:w="217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法人标识（英文或数字）</w:t>
            </w:r>
          </w:p>
        </w:tc>
        <w:tc>
          <w:tcPr>
            <w:tcW w:type="dxa" w:w="4304"/>
            <w:vAlign w:val="top"/>
            <w:tcMar>
              <w:top w:w="65" w:type="dxa"/>
              <w:bottom w:w="65" w:type="dxa"/>
              <w:left w:w="65" w:type="dxa"/>
              <w:right w:w="65" w:type="dxa"/>
            </w:tcMar>
          </w:tcPr>
          <w:p>
            <w:pPr>
              <w:spacing w:before="30" w:after="30" w:line="252" w:lineRule="auto"/>
            </w:pPr>
            <w:r>
              <w:rPr>
                <w:rFonts w:ascii="Arial" w:hAnsi="Arial" w:eastAsia="宋体"/>
                <w:b w:val="0"/>
                <w:i w:val="0"/>
                <w:sz w:val="19"/>
              </w:rPr>
              <w:t>2—20位，以大写字母开头，后续可用大写字母、数字、下划线和短横线</w:t>
            </w:r>
          </w:p>
        </w:tc>
        <w:tc>
          <w:tcPr>
            <w:tcW w:type="dxa" w:w="3155"/>
            <w:vAlign w:val="top"/>
            <w:tcMar>
              <w:top w:w="65" w:type="dxa"/>
              <w:bottom w:w="65" w:type="dxa"/>
              <w:left w:w="65" w:type="dxa"/>
              <w:right w:w="65" w:type="dxa"/>
            </w:tcMar>
          </w:tcPr>
          <w:p>
            <w:pPr>
              <w:spacing w:before="30" w:after="30" w:line="252" w:lineRule="auto"/>
            </w:pPr>
            <w:r>
              <w:rPr>
                <w:rFonts w:ascii="Arial" w:hAnsi="Arial" w:eastAsia="宋体"/>
                <w:b w:val="0"/>
                <w:i w:val="0"/>
                <w:sz w:val="19"/>
              </w:rPr>
              <w:t>如TYNEW；已有标识不能在编辑表单改写</w:t>
            </w:r>
          </w:p>
        </w:tc>
      </w:tr>
      <w:tr>
        <w:trPr>
          <w:cantSplit/>
        </w:trPr>
        <w:tc>
          <w:tcPr>
            <w:tcW w:type="dxa" w:w="21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法人编码（必填）</w:t>
            </w:r>
          </w:p>
        </w:tc>
        <w:tc>
          <w:tcPr>
            <w:tcW w:type="dxa" w:w="43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非空、同一环境唯一，最多100字</w:t>
            </w:r>
          </w:p>
        </w:tc>
        <w:tc>
          <w:tcPr>
            <w:tcW w:type="dxa" w:w="31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如TY04；CSV通常填写此业务编码</w:t>
            </w:r>
          </w:p>
        </w:tc>
      </w:tr>
      <w:tr>
        <w:trPr>
          <w:cantSplit/>
        </w:trPr>
        <w:tc>
          <w:tcPr>
            <w:tcW w:type="dxa" w:w="217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法人全称（必填）</w:t>
            </w:r>
          </w:p>
        </w:tc>
        <w:tc>
          <w:tcPr>
            <w:tcW w:type="dxa" w:w="4304"/>
            <w:vAlign w:val="top"/>
            <w:tcMar>
              <w:top w:w="65" w:type="dxa"/>
              <w:bottom w:w="65" w:type="dxa"/>
              <w:left w:w="65" w:type="dxa"/>
              <w:right w:w="65" w:type="dxa"/>
            </w:tcMar>
          </w:tcPr>
          <w:p>
            <w:pPr>
              <w:spacing w:before="30" w:after="30" w:line="252" w:lineRule="auto"/>
            </w:pPr>
            <w:r>
              <w:rPr>
                <w:rFonts w:ascii="Arial" w:hAnsi="Arial" w:eastAsia="宋体"/>
                <w:b w:val="0"/>
                <w:i w:val="0"/>
                <w:sz w:val="19"/>
              </w:rPr>
              <w:t>非空、最多100字</w:t>
            </w:r>
          </w:p>
        </w:tc>
        <w:tc>
          <w:tcPr>
            <w:tcW w:type="dxa" w:w="3155"/>
            <w:vAlign w:val="top"/>
            <w:tcMar>
              <w:top w:w="65" w:type="dxa"/>
              <w:bottom w:w="65" w:type="dxa"/>
              <w:left w:w="65" w:type="dxa"/>
              <w:right w:w="65" w:type="dxa"/>
            </w:tcMar>
          </w:tcPr>
          <w:p>
            <w:pPr>
              <w:spacing w:before="30" w:after="30" w:line="252" w:lineRule="auto"/>
            </w:pPr>
            <w:r>
              <w:rPr>
                <w:rFonts w:ascii="Arial" w:hAnsi="Arial" w:eastAsia="宋体"/>
                <w:b w:val="0"/>
                <w:i w:val="0"/>
                <w:sz w:val="19"/>
              </w:rPr>
              <w:t>如天元演示服务有限公司</w:t>
            </w:r>
          </w:p>
        </w:tc>
      </w:tr>
      <w:tr>
        <w:trPr>
          <w:cantSplit/>
        </w:trPr>
        <w:tc>
          <w:tcPr>
            <w:tcW w:type="dxa" w:w="21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简称</w:t>
            </w:r>
          </w:p>
        </w:tc>
        <w:tc>
          <w:tcPr>
            <w:tcW w:type="dxa" w:w="43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填写非空简称，最多100字</w:t>
            </w:r>
          </w:p>
        </w:tc>
        <w:tc>
          <w:tcPr>
            <w:tcW w:type="dxa" w:w="31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虽未标“必填”，保存仍要求有内容</w:t>
            </w:r>
          </w:p>
        </w:tc>
      </w:tr>
      <w:tr>
        <w:trPr>
          <w:cantSplit/>
        </w:trPr>
        <w:tc>
          <w:tcPr>
            <w:tcW w:type="dxa" w:w="2178"/>
            <w:vAlign w:val="top"/>
            <w:tcMar>
              <w:top w:w="65" w:type="dxa"/>
              <w:bottom w:w="65" w:type="dxa"/>
              <w:left w:w="65" w:type="dxa"/>
              <w:right w:w="65" w:type="dxa"/>
            </w:tcMar>
          </w:tcPr>
          <w:p>
            <w:pPr>
              <w:spacing w:before="30" w:after="30" w:line="252" w:lineRule="auto"/>
            </w:pPr>
            <w:r>
              <w:rPr>
                <w:rFonts w:ascii="Arial" w:hAnsi="Arial" w:eastAsia="宋体"/>
                <w:b w:val="0"/>
                <w:i w:val="0"/>
                <w:sz w:val="19"/>
              </w:rPr>
              <w:t>报送责任人</w:t>
            </w:r>
          </w:p>
        </w:tc>
        <w:tc>
          <w:tcPr>
            <w:tcW w:type="dxa" w:w="4304"/>
            <w:vAlign w:val="top"/>
            <w:tcMar>
              <w:top w:w="65" w:type="dxa"/>
              <w:bottom w:w="65" w:type="dxa"/>
              <w:left w:w="65" w:type="dxa"/>
              <w:right w:w="65" w:type="dxa"/>
            </w:tcMar>
          </w:tcPr>
          <w:p>
            <w:pPr>
              <w:spacing w:before="30" w:after="30" w:line="252" w:lineRule="auto"/>
            </w:pPr>
            <w:r>
              <w:rPr>
                <w:rFonts w:ascii="Arial" w:hAnsi="Arial" w:eastAsia="宋体"/>
                <w:b w:val="0"/>
                <w:i w:val="0"/>
                <w:sz w:val="19"/>
              </w:rPr>
              <w:t>填写非空责任人，最多100字</w:t>
            </w:r>
          </w:p>
        </w:tc>
        <w:tc>
          <w:tcPr>
            <w:tcW w:type="dxa" w:w="3155"/>
            <w:vAlign w:val="top"/>
            <w:tcMar>
              <w:top w:w="65" w:type="dxa"/>
              <w:bottom w:w="65" w:type="dxa"/>
              <w:left w:w="65" w:type="dxa"/>
              <w:right w:w="65" w:type="dxa"/>
            </w:tcMar>
          </w:tcPr>
          <w:p>
            <w:pPr>
              <w:spacing w:before="30" w:after="30" w:line="252" w:lineRule="auto"/>
            </w:pPr>
            <w:r>
              <w:rPr>
                <w:rFonts w:ascii="Arial" w:hAnsi="Arial" w:eastAsia="宋体"/>
                <w:b w:val="0"/>
                <w:i w:val="0"/>
                <w:sz w:val="19"/>
              </w:rPr>
              <w:t>用于展示报送职责，不会自动创建账号</w:t>
            </w:r>
          </w:p>
        </w:tc>
      </w:tr>
      <w:tr>
        <w:trPr>
          <w:cantSplit/>
        </w:trPr>
        <w:tc>
          <w:tcPr>
            <w:tcW w:type="dxa" w:w="21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本位币</w:t>
            </w:r>
          </w:p>
        </w:tc>
        <w:tc>
          <w:tcPr>
            <w:tcW w:type="dxa" w:w="430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当前选择人民币CNY</w:t>
            </w:r>
          </w:p>
        </w:tc>
        <w:tc>
          <w:tcPr>
            <w:tcW w:type="dxa" w:w="315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本轮不支持不同法人各自使用外币本位币</w:t>
            </w:r>
          </w:p>
        </w:tc>
      </w:tr>
    </w:tbl>
    <w:p>
      <w:pPr>
        <w:spacing w:after="40"/>
      </w:pPr>
    </w:p>
    <w:p>
      <w:r>
        <w:rPr>
          <w:rFonts w:ascii="Arial" w:hAnsi="Arial" w:eastAsia="宋体"/>
          <w:b w:val="0"/>
          <w:i w:val="0"/>
        </w:rPr>
        <w:t>新增法人初始财务金额为零。需要看到非零报表，应导入它当前期的整套试算余额。新增法人不会自动分配年度销售预算占比；不要把它在演示预算分解中显示为零理解成已经完成法人预算分配规则。</w:t>
      </w:r>
    </w:p>
    <w:p>
      <w:r>
        <w:rPr>
          <w:rFonts w:ascii="Arial" w:hAnsi="Arial" w:eastAsia="宋体"/>
          <w:b w:val="0"/>
          <w:i w:val="0"/>
        </w:rPr>
        <w:t>主数据维护可能影响多个期间。若已有期间签核，系统会要求先由负责人重新打开关联期间，再允许相关修改。不要为改一个名称删除整套数据。当前页面没有删除法人或调整任意持股链的功能。</w:t>
      </w:r>
    </w:p>
    <w:p>
      <w:pPr>
        <w:pStyle w:val="Heading2"/>
      </w:pPr>
      <w:bookmarkStart w:id="19" w:name="epm_19"/>
      <w:r>
        <w:rPr>
          <w:rFonts w:ascii="Arial" w:hAnsi="Arial" w:eastAsia="宋体"/>
          <w:b w:val="0"/>
          <w:i w:val="0"/>
        </w:rPr>
        <w:t>5.2 维护集团科目</w:t>
      </w:r>
      <w:bookmarkEnd w:id="19"/>
    </w:p>
    <w:p>
      <w:r>
        <w:rPr>
          <w:rFonts w:ascii="Arial" w:hAnsi="Arial" w:eastAsia="宋体"/>
          <w:b w:val="0"/>
          <w:i w:val="0"/>
        </w:rPr>
        <w:t>进入“科目与维度”，选择“集团科目表”，点击“新增科目”，或在已有科目行点击“编辑”。填写后点击“保存科目”，再在清单中核对报表口径和余额方向。</w:t>
      </w:r>
    </w:p>
    <w:tbl>
      <w:tblPr>
        <w:tblStyle w:val="TableGrid"/>
        <w:tblW w:type="auto" w:w="0"/>
        <w:jc w:val="center"/>
        <w:tblLayout w:type="fixed"/>
        <w:tblLook w:firstColumn="1" w:firstRow="1" w:lastColumn="0" w:lastRow="0" w:noHBand="0" w:noVBand="1" w:val="04A0"/>
      </w:tblPr>
      <w:tblGrid>
        <w:gridCol w:w="1692"/>
        <w:gridCol w:w="4369"/>
        <w:gridCol w:w="3576"/>
      </w:tblGrid>
      <w:tr>
        <w:trPr>
          <w:cantSplit/>
          <w:tblHeader w:val="true"/>
        </w:trPr>
        <w:tc>
          <w:tcPr>
            <w:tcW w:type="dxa" w:w="169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436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规则</w:t>
            </w:r>
          </w:p>
        </w:tc>
        <w:tc>
          <w:tcPr>
            <w:tcW w:type="dxa" w:w="357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为什么需要核对</w:t>
            </w:r>
          </w:p>
        </w:tc>
      </w:tr>
      <w:tr>
        <w:trPr>
          <w:cantSplit/>
        </w:trPr>
        <w:tc>
          <w:tcPr>
            <w:tcW w:type="dxa" w:w="1692"/>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科目编码</w:t>
            </w:r>
          </w:p>
        </w:tc>
        <w:tc>
          <w:tcPr>
            <w:tcW w:type="dxa" w:w="4369"/>
            <w:vAlign w:val="top"/>
            <w:tcMar>
              <w:top w:w="65" w:type="dxa"/>
              <w:bottom w:w="65" w:type="dxa"/>
              <w:left w:w="65" w:type="dxa"/>
              <w:right w:w="65" w:type="dxa"/>
            </w:tcMar>
          </w:tcPr>
          <w:p>
            <w:pPr>
              <w:spacing w:before="30" w:after="30" w:line="252" w:lineRule="auto"/>
            </w:pPr>
            <w:r>
              <w:rPr>
                <w:rFonts w:ascii="Arial" w:hAnsi="Arial" w:eastAsia="宋体"/>
                <w:b w:val="0"/>
                <w:i w:val="0"/>
                <w:sz w:val="19"/>
              </w:rPr>
              <w:t>1—20位字母、数字、下划线或短横线；已有编码在表单中只读</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9"/>
              </w:rPr>
              <w:t>CSV及凭证依此识别科目</w:t>
            </w:r>
          </w:p>
        </w:tc>
      </w:tr>
      <w:tr>
        <w:trPr>
          <w:cantSplit/>
        </w:trPr>
        <w:tc>
          <w:tcPr>
            <w:tcW w:type="dxa" w:w="16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科目名称</w:t>
            </w:r>
          </w:p>
        </w:tc>
        <w:tc>
          <w:tcPr>
            <w:tcW w:type="dxa" w:w="43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非空、最多100字</w:t>
            </w:r>
          </w:p>
        </w:tc>
        <w:tc>
          <w:tcPr>
            <w:tcW w:type="dxa" w:w="3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显示在凭证及科目清单</w:t>
            </w:r>
          </w:p>
        </w:tc>
      </w:tr>
      <w:tr>
        <w:trPr>
          <w:cantSplit/>
        </w:trPr>
        <w:tc>
          <w:tcPr>
            <w:tcW w:type="dxa" w:w="1692"/>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科目类型</w:t>
            </w:r>
          </w:p>
        </w:tc>
        <w:tc>
          <w:tcPr>
            <w:tcW w:type="dxa" w:w="4369"/>
            <w:vAlign w:val="top"/>
            <w:tcMar>
              <w:top w:w="65" w:type="dxa"/>
              <w:bottom w:w="65" w:type="dxa"/>
              <w:left w:w="65" w:type="dxa"/>
              <w:right w:w="65" w:type="dxa"/>
            </w:tcMar>
          </w:tcPr>
          <w:p>
            <w:pPr>
              <w:spacing w:before="30" w:after="30" w:line="252" w:lineRule="auto"/>
            </w:pPr>
            <w:r>
              <w:rPr>
                <w:rFonts w:ascii="Arial" w:hAnsi="Arial" w:eastAsia="宋体"/>
                <w:b w:val="0"/>
                <w:i w:val="0"/>
                <w:sz w:val="19"/>
              </w:rPr>
              <w:t>资产、负债、权益、收入、成本、费用或税费</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9"/>
              </w:rPr>
              <w:t>为业务分类，需与口径一致</w:t>
            </w:r>
          </w:p>
        </w:tc>
      </w:tr>
      <w:tr>
        <w:trPr>
          <w:cantSplit/>
        </w:trPr>
        <w:tc>
          <w:tcPr>
            <w:tcW w:type="dxa" w:w="169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余额方向</w:t>
            </w:r>
          </w:p>
        </w:tc>
        <w:tc>
          <w:tcPr>
            <w:tcW w:type="dxa" w:w="436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借或贷</w:t>
            </w:r>
          </w:p>
        </w:tc>
        <w:tc>
          <w:tcPr>
            <w:tcW w:type="dxa" w:w="357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决定试算余额和分录影响的正负方向</w:t>
            </w:r>
          </w:p>
        </w:tc>
      </w:tr>
      <w:tr>
        <w:trPr>
          <w:cantSplit/>
        </w:trPr>
        <w:tc>
          <w:tcPr>
            <w:tcW w:type="dxa" w:w="1692"/>
            <w:vAlign w:val="top"/>
            <w:tcMar>
              <w:top w:w="65" w:type="dxa"/>
              <w:bottom w:w="65" w:type="dxa"/>
              <w:left w:w="65" w:type="dxa"/>
              <w:right w:w="65" w:type="dxa"/>
            </w:tcMar>
          </w:tcPr>
          <w:p>
            <w:pPr>
              <w:spacing w:before="30" w:after="30" w:line="252" w:lineRule="auto"/>
            </w:pPr>
            <w:r>
              <w:rPr>
                <w:rFonts w:ascii="Arial" w:hAnsi="Arial" w:eastAsia="宋体"/>
                <w:b w:val="0"/>
                <w:i w:val="0"/>
                <w:sz w:val="19"/>
              </w:rPr>
              <w:t>报表口径</w:t>
            </w:r>
          </w:p>
        </w:tc>
        <w:tc>
          <w:tcPr>
            <w:tcW w:type="dxa" w:w="4369"/>
            <w:vAlign w:val="top"/>
            <w:tcMar>
              <w:top w:w="65" w:type="dxa"/>
              <w:bottom w:w="65" w:type="dxa"/>
              <w:left w:w="65" w:type="dxa"/>
              <w:right w:w="65" w:type="dxa"/>
            </w:tcMar>
          </w:tcPr>
          <w:p>
            <w:pPr>
              <w:spacing w:before="30" w:after="30" w:line="252" w:lineRule="auto"/>
            </w:pPr>
            <w:r>
              <w:rPr>
                <w:rFonts w:ascii="Arial" w:hAnsi="Arial" w:eastAsia="宋体"/>
                <w:b w:val="0"/>
                <w:i w:val="0"/>
                <w:sz w:val="19"/>
              </w:rPr>
              <w:t>从系统内置项目中选择</w:t>
            </w:r>
          </w:p>
        </w:tc>
        <w:tc>
          <w:tcPr>
            <w:tcW w:type="dxa" w:w="3576"/>
            <w:vAlign w:val="top"/>
            <w:tcMar>
              <w:top w:w="65" w:type="dxa"/>
              <w:bottom w:w="65" w:type="dxa"/>
              <w:left w:w="65" w:type="dxa"/>
              <w:right w:w="65" w:type="dxa"/>
            </w:tcMar>
          </w:tcPr>
          <w:p>
            <w:pPr>
              <w:spacing w:before="30" w:after="30" w:line="252" w:lineRule="auto"/>
            </w:pPr>
            <w:r>
              <w:rPr>
                <w:rFonts w:ascii="Arial" w:hAnsi="Arial" w:eastAsia="宋体"/>
                <w:b w:val="0"/>
                <w:i w:val="0"/>
                <w:sz w:val="19"/>
              </w:rPr>
              <w:t>决定金额进入收入、存货、应付等哪个报表项目</w:t>
            </w:r>
          </w:p>
        </w:tc>
      </w:tr>
    </w:tbl>
    <w:p>
      <w:pPr>
        <w:spacing w:after="40"/>
      </w:pPr>
    </w:p>
    <w:p>
      <w:r>
        <w:rPr>
          <w:rFonts w:ascii="Arial" w:hAnsi="Arial" w:eastAsia="宋体"/>
          <w:b w:val="0"/>
          <w:i w:val="0"/>
        </w:rPr>
        <w:t>不要仅为让导入通过而随意改变既有科目的方向或口径。映射改变可能影响后续导入及调整计算，系统并不替代会计政策审定。“管理维度”和“报告层级”页签用于查看当前支持的法人、期间、预算层和报表规则，未提供任意新增维度建模器。</w:t>
      </w:r>
    </w:p>
    <w:p>
      <w:r>
        <w:rPr>
          <w:rFonts w:ascii="Arial" w:hAnsi="Arial" w:eastAsia="宋体"/>
          <w:b w:val="0"/>
          <w:i w:val="0"/>
        </w:rPr>
        <w:t>“导出当前清单”导出集团科目表，供整理CSV和研发核对。导出的管理清单带有说明行，不是试算余额导入模板。</w:t>
      </w:r>
    </w:p>
    <w:p>
      <w:pPr>
        <w:pStyle w:val="Heading2"/>
      </w:pPr>
      <w:bookmarkStart w:id="20" w:name="epm_20"/>
      <w:r>
        <w:rPr>
          <w:rFonts w:ascii="Arial" w:hAnsi="Arial" w:eastAsia="宋体"/>
          <w:b w:val="0"/>
          <w:i w:val="0"/>
        </w:rPr>
        <w:t>5.3 查看持股与合并范围</w:t>
      </w:r>
      <w:bookmarkEnd w:id="20"/>
    </w:p>
    <w:p>
      <w:r>
        <w:rPr>
          <w:rFonts w:ascii="Arial" w:hAnsi="Arial" w:eastAsia="宋体"/>
          <w:b w:val="0"/>
          <w:i w:val="0"/>
        </w:rPr>
        <w:t>“集团组织与持股”和“持股与企业合并”中的“查看合并范围”列出当前范围的法人编码、名称及合并方法。后一个页面展示演示母子关系、持股比例和全额合并方法。</w:t>
      </w:r>
    </w:p>
    <w:p>
      <w:r>
        <w:rPr>
          <w:rFonts w:ascii="Arial" w:hAnsi="Arial" w:eastAsia="宋体"/>
          <w:b w:val="0"/>
          <w:i w:val="0"/>
        </w:rPr>
        <w:t>这两个页面主要用于查看控制关系和维护法人档案。购买日估值、购买价分摊、股权变更审批、交叉持股和多层少数股东计算未在本轮提供完整操作。页面中的会计准则名称属于演示设置说明，不能据此推断全部准则处理已完成。</w:t>
      </w:r>
    </w:p>
    <w:p>
      <w:pPr>
        <w:pStyle w:val="Heading2"/>
      </w:pPr>
      <w:bookmarkStart w:id="21" w:name="epm_21"/>
      <w:r>
        <w:rPr>
          <w:rFonts w:ascii="Arial" w:hAnsi="Arial" w:eastAsia="宋体"/>
          <w:b w:val="0"/>
          <w:i w:val="0"/>
        </w:rPr>
        <w:t>5.4 维护美元展示汇率</w:t>
      </w:r>
      <w:bookmarkEnd w:id="21"/>
    </w:p>
    <w:p>
      <w:r>
        <w:rPr>
          <w:rFonts w:ascii="Arial" w:hAnsi="Arial" w:eastAsia="宋体"/>
          <w:b w:val="0"/>
          <w:i w:val="0"/>
        </w:rPr>
        <w:t>由集团财务负责人进入“集团汇率”，点击“新增或编辑汇率”或美元行的“编辑汇率”。币种固定为USD，填写币种名称和“1美元折合人民币”，点击“保存汇率”。汇率必须大于零、不超过1,000,000，最多保留6位小数。</w:t>
      </w:r>
    </w:p>
    <w:p>
      <w:r>
        <w:rPr>
          <w:rFonts w:ascii="Arial" w:hAnsi="Arial" w:eastAsia="宋体"/>
          <w:b w:val="0"/>
          <w:i w:val="0"/>
        </w:rPr>
        <w:t>初始汇率为7.1，表示1美元折合7.1元人民币。切换美元视图后，人民币万元数除以7.1得到万美元数；修改汇率会同步影响美元展示和相应导出。它不连接行情、不执行结汇，也未区分交易日、平均、期末等正式外币折算政策。</w:t>
      </w:r>
    </w:p>
    <w:p>
      <w:pPr>
        <w:pStyle w:val="Heading1"/>
      </w:pPr>
      <w:bookmarkStart w:id="22" w:name="epm_22"/>
      <w:r>
        <w:rPr>
          <w:rFonts w:ascii="Arial" w:hAnsi="Arial" w:eastAsia="宋体"/>
          <w:b w:val="0"/>
          <w:i w:val="0"/>
        </w:rPr>
        <w:t>6. 数据接入与试算余额报送</w:t>
      </w:r>
      <w:bookmarkEnd w:id="22"/>
    </w:p>
    <w:p>
      <w:pPr>
        <w:pStyle w:val="Heading2"/>
      </w:pPr>
      <w:bookmarkStart w:id="23" w:name="epm_23"/>
      <w:r>
        <w:rPr>
          <w:rFonts w:ascii="Arial" w:hAnsi="Arial" w:eastAsia="宋体"/>
          <w:b w:val="0"/>
          <w:i w:val="0"/>
        </w:rPr>
        <w:t>6.1 准备完整的当前期CSV</w:t>
      </w:r>
      <w:bookmarkEnd w:id="23"/>
    </w:p>
    <w:p>
      <w:r>
        <w:rPr>
          <w:rFonts w:ascii="Arial" w:hAnsi="Arial" w:eastAsia="宋体"/>
          <w:b w:val="0"/>
          <w:i w:val="0"/>
        </w:rPr>
        <w:t>“数据接入”可点击“下载空白模板”，“试算平衡报送”可点击“下载空白报送模板”。得到的是UTF-8 CSV，只带规定列头。用Excel或WPS编辑时，请另存为UTF-8 CSV，并确认没有多余说明行、隐藏标题或新增列。</w:t>
      </w:r>
    </w:p>
    <w:p>
      <w:r>
        <w:rPr>
          <w:rFonts w:ascii="Arial" w:hAnsi="Arial" w:eastAsia="宋体"/>
          <w:b w:val="0"/>
          <w:i w:val="0"/>
        </w:rPr>
        <w:t>第一行及顺序必须严格如下，不增加空格、注释或单位行：</w:t>
      </w:r>
    </w:p>
    <w:p>
      <w:pPr>
        <w:spacing w:before="0" w:after="0" w:line="240" w:lineRule="auto"/>
        <w:ind w:left="113"/>
        <w:shd w:fill="F4F6FA"/>
      </w:pPr>
      <w:r>
        <w:rPr>
          <w:rFonts w:ascii="Consolas" w:hAnsi="Consolas" w:eastAsia="宋体"/>
          <w:sz w:val="16"/>
        </w:rPr>
        <w:t>法人编码,期间,科目编码,借方余额,贷方余额</w:t>
      </w:r>
    </w:p>
    <w:p>
      <w:pPr>
        <w:spacing w:after="20"/>
      </w:pPr>
    </w:p>
    <w:tbl>
      <w:tblPr>
        <w:tblStyle w:val="TableGrid"/>
        <w:tblW w:type="auto" w:w="0"/>
        <w:jc w:val="center"/>
        <w:tblLayout w:type="fixed"/>
        <w:tblLook w:firstColumn="1" w:firstRow="1" w:lastColumn="0" w:lastRow="0" w:noHBand="0" w:noVBand="1" w:val="04A0"/>
      </w:tblPr>
      <w:tblGrid>
        <w:gridCol w:w="1839"/>
        <w:gridCol w:w="3154"/>
        <w:gridCol w:w="4645"/>
      </w:tblGrid>
      <w:tr>
        <w:trPr>
          <w:cantSplit/>
          <w:tblHeader w:val="true"/>
        </w:trPr>
        <w:tc>
          <w:tcPr>
            <w:tcW w:type="dxa" w:w="183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列</w:t>
            </w:r>
          </w:p>
        </w:tc>
        <w:tc>
          <w:tcPr>
            <w:tcW w:type="dxa" w:w="315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填写方式</w:t>
            </w:r>
          </w:p>
        </w:tc>
        <w:tc>
          <w:tcPr>
            <w:tcW w:type="dxa" w:w="464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校验要求</w:t>
            </w:r>
          </w:p>
        </w:tc>
      </w:tr>
      <w:tr>
        <w:trPr>
          <w:cantSplit/>
        </w:trPr>
        <w:tc>
          <w:tcPr>
            <w:tcW w:type="dxa" w:w="1839"/>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法人编码</w:t>
            </w:r>
          </w:p>
        </w:tc>
        <w:tc>
          <w:tcPr>
            <w:tcW w:type="dxa" w:w="3154"/>
            <w:vAlign w:val="top"/>
            <w:tcMar>
              <w:top w:w="65" w:type="dxa"/>
              <w:bottom w:w="65" w:type="dxa"/>
              <w:left w:w="65" w:type="dxa"/>
              <w:right w:w="65" w:type="dxa"/>
            </w:tcMar>
          </w:tcPr>
          <w:p>
            <w:pPr>
              <w:spacing w:before="30" w:after="30" w:line="252" w:lineRule="auto"/>
            </w:pPr>
            <w:r>
              <w:rPr>
                <w:rFonts w:ascii="Arial" w:hAnsi="Arial" w:eastAsia="宋体"/>
                <w:b w:val="0"/>
                <w:i w:val="0"/>
                <w:sz w:val="19"/>
              </w:rPr>
              <w:t>如TY01、TY02、TY03</w:t>
            </w:r>
          </w:p>
        </w:tc>
        <w:tc>
          <w:tcPr>
            <w:tcW w:type="dxa" w:w="4645"/>
            <w:vAlign w:val="top"/>
            <w:tcMar>
              <w:top w:w="65" w:type="dxa"/>
              <w:bottom w:w="65" w:type="dxa"/>
              <w:left w:w="65" w:type="dxa"/>
              <w:right w:w="65" w:type="dxa"/>
            </w:tcMar>
          </w:tcPr>
          <w:p>
            <w:pPr>
              <w:spacing w:before="30" w:after="30" w:line="252" w:lineRule="auto"/>
            </w:pPr>
            <w:r>
              <w:rPr>
                <w:rFonts w:ascii="Arial" w:hAnsi="Arial" w:eastAsia="宋体"/>
                <w:b w:val="0"/>
                <w:i w:val="0"/>
                <w:sz w:val="19"/>
              </w:rPr>
              <w:t>必须已存在；也支持内部标识MFG等，但建议用界面业务编码</w:t>
            </w:r>
          </w:p>
        </w:tc>
      </w:tr>
      <w:tr>
        <w:trPr>
          <w:cantSplit/>
        </w:trPr>
        <w:tc>
          <w:tcPr>
            <w:tcW w:type="dxa" w:w="18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期间</w:t>
            </w:r>
          </w:p>
        </w:tc>
        <w:tc>
          <w:tcPr>
            <w:tcW w:type="dxa" w:w="31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如2026-09</w:t>
            </w:r>
          </w:p>
        </w:tc>
        <w:tc>
          <w:tcPr>
            <w:tcW w:type="dxa" w:w="46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必须与顶部选择期间完全一致</w:t>
            </w:r>
          </w:p>
        </w:tc>
      </w:tr>
      <w:tr>
        <w:trPr>
          <w:cantSplit/>
        </w:trPr>
        <w:tc>
          <w:tcPr>
            <w:tcW w:type="dxa" w:w="1839"/>
            <w:vAlign w:val="top"/>
            <w:tcMar>
              <w:top w:w="65" w:type="dxa"/>
              <w:bottom w:w="65" w:type="dxa"/>
              <w:left w:w="65" w:type="dxa"/>
              <w:right w:w="65" w:type="dxa"/>
            </w:tcMar>
          </w:tcPr>
          <w:p>
            <w:pPr>
              <w:spacing w:before="30" w:after="30" w:line="252" w:lineRule="auto"/>
            </w:pPr>
            <w:r>
              <w:rPr>
                <w:rFonts w:ascii="Arial" w:hAnsi="Arial" w:eastAsia="宋体"/>
                <w:b w:val="0"/>
                <w:i w:val="0"/>
                <w:sz w:val="19"/>
              </w:rPr>
              <w:t>科目编码</w:t>
            </w:r>
          </w:p>
        </w:tc>
        <w:tc>
          <w:tcPr>
            <w:tcW w:type="dxa" w:w="3154"/>
            <w:vAlign w:val="top"/>
            <w:tcMar>
              <w:top w:w="65" w:type="dxa"/>
              <w:bottom w:w="65" w:type="dxa"/>
              <w:left w:w="65" w:type="dxa"/>
              <w:right w:w="65" w:type="dxa"/>
            </w:tcMar>
          </w:tcPr>
          <w:p>
            <w:pPr>
              <w:spacing w:before="30" w:after="30" w:line="252" w:lineRule="auto"/>
            </w:pPr>
            <w:r>
              <w:rPr>
                <w:rFonts w:ascii="Arial" w:hAnsi="Arial" w:eastAsia="宋体"/>
                <w:b w:val="0"/>
                <w:i w:val="0"/>
                <w:sz w:val="19"/>
              </w:rPr>
              <w:t>如1002、6001</w:t>
            </w:r>
          </w:p>
        </w:tc>
        <w:tc>
          <w:tcPr>
            <w:tcW w:type="dxa" w:w="4645"/>
            <w:vAlign w:val="top"/>
            <w:tcMar>
              <w:top w:w="65" w:type="dxa"/>
              <w:bottom w:w="65" w:type="dxa"/>
              <w:left w:w="65" w:type="dxa"/>
              <w:right w:w="65" w:type="dxa"/>
            </w:tcMar>
          </w:tcPr>
          <w:p>
            <w:pPr>
              <w:spacing w:before="30" w:after="30" w:line="252" w:lineRule="auto"/>
            </w:pPr>
            <w:r>
              <w:rPr>
                <w:rFonts w:ascii="Arial" w:hAnsi="Arial" w:eastAsia="宋体"/>
                <w:b w:val="0"/>
                <w:i w:val="0"/>
                <w:sz w:val="19"/>
              </w:rPr>
              <w:t>必须已在集团科目表维护</w:t>
            </w:r>
          </w:p>
        </w:tc>
      </w:tr>
      <w:tr>
        <w:trPr>
          <w:cantSplit/>
        </w:trPr>
        <w:tc>
          <w:tcPr>
            <w:tcW w:type="dxa" w:w="183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借方余额</w:t>
            </w:r>
          </w:p>
        </w:tc>
        <w:tc>
          <w:tcPr>
            <w:tcW w:type="dxa" w:w="315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如100.00或0</w:t>
            </w:r>
          </w:p>
        </w:tc>
        <w:tc>
          <w:tcPr>
            <w:tcW w:type="dxa" w:w="464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非负、最多两位小数，填写纯数字</w:t>
            </w:r>
          </w:p>
        </w:tc>
      </w:tr>
      <w:tr>
        <w:trPr>
          <w:cantSplit/>
        </w:trPr>
        <w:tc>
          <w:tcPr>
            <w:tcW w:type="dxa" w:w="1839"/>
            <w:vAlign w:val="top"/>
            <w:tcMar>
              <w:top w:w="65" w:type="dxa"/>
              <w:bottom w:w="65" w:type="dxa"/>
              <w:left w:w="65" w:type="dxa"/>
              <w:right w:w="65" w:type="dxa"/>
            </w:tcMar>
          </w:tcPr>
          <w:p>
            <w:pPr>
              <w:spacing w:before="30" w:after="30" w:line="252" w:lineRule="auto"/>
            </w:pPr>
            <w:r>
              <w:rPr>
                <w:rFonts w:ascii="Arial" w:hAnsi="Arial" w:eastAsia="宋体"/>
                <w:b w:val="0"/>
                <w:i w:val="0"/>
                <w:sz w:val="19"/>
              </w:rPr>
              <w:t>贷方余额</w:t>
            </w:r>
          </w:p>
        </w:tc>
        <w:tc>
          <w:tcPr>
            <w:tcW w:type="dxa" w:w="3154"/>
            <w:vAlign w:val="top"/>
            <w:tcMar>
              <w:top w:w="65" w:type="dxa"/>
              <w:bottom w:w="65" w:type="dxa"/>
              <w:left w:w="65" w:type="dxa"/>
              <w:right w:w="65" w:type="dxa"/>
            </w:tcMar>
          </w:tcPr>
          <w:p>
            <w:pPr>
              <w:spacing w:before="30" w:after="30" w:line="252" w:lineRule="auto"/>
            </w:pPr>
            <w:r>
              <w:rPr>
                <w:rFonts w:ascii="Arial" w:hAnsi="Arial" w:eastAsia="宋体"/>
                <w:b w:val="0"/>
                <w:i w:val="0"/>
                <w:sz w:val="19"/>
              </w:rPr>
              <w:t>如0或100.00</w:t>
            </w:r>
          </w:p>
        </w:tc>
        <w:tc>
          <w:tcPr>
            <w:tcW w:type="dxa" w:w="4645"/>
            <w:vAlign w:val="top"/>
            <w:tcMar>
              <w:top w:w="65" w:type="dxa"/>
              <w:bottom w:w="65" w:type="dxa"/>
              <w:left w:w="65" w:type="dxa"/>
              <w:right w:w="65" w:type="dxa"/>
            </w:tcMar>
          </w:tcPr>
          <w:p>
            <w:pPr>
              <w:spacing w:before="30" w:after="30" w:line="252" w:lineRule="auto"/>
            </w:pPr>
            <w:r>
              <w:rPr>
                <w:rFonts w:ascii="Arial" w:hAnsi="Arial" w:eastAsia="宋体"/>
                <w:b w:val="0"/>
                <w:i w:val="0"/>
                <w:sz w:val="19"/>
              </w:rPr>
              <w:t>非负、最多两位小数，不能与借方同时为正</w:t>
            </w:r>
          </w:p>
        </w:tc>
      </w:tr>
    </w:tbl>
    <w:p>
      <w:pPr>
        <w:spacing w:after="40"/>
      </w:pPr>
    </w:p>
    <w:p>
      <w:r>
        <w:rPr>
          <w:rFonts w:ascii="Arial" w:hAnsi="Arial" w:eastAsia="宋体"/>
          <w:b w:val="0"/>
          <w:i w:val="0"/>
        </w:rPr>
        <w:t>允许某科目两边都为零。不要使用“1,000.00”等带千分位的金额或“100万元”等带文字的金额。每个法人本批必须借方合计等于贷方合计；同一法人同一科目只出现一次。</w:t>
      </w:r>
    </w:p>
    <w:p>
      <w:r>
        <w:rPr>
          <w:rFonts w:ascii="Arial" w:hAnsi="Arial" w:eastAsia="宋体"/>
          <w:b w:val="0"/>
          <w:i w:val="0"/>
        </w:rPr>
        <w:t>文件选择入口限制2MiB以内，服务端还会检查字符数和请求总字节数，最多10,000条数据行。建议文件明显小于2MB。需要分批时，以“一个法人一个期间的完整余额”为单位拆分，不能把同一法人同一期的一套科目拆成前后两批；后批会覆盖前批。</w:t>
      </w:r>
    </w:p>
    <w:p>
      <w:pPr>
        <w:pStyle w:val="Heading2"/>
      </w:pPr>
      <w:bookmarkStart w:id="24" w:name="epm_24"/>
      <w:r>
        <w:rPr>
          <w:rFonts w:ascii="Arial" w:hAnsi="Arial" w:eastAsia="宋体"/>
          <w:b w:val="0"/>
          <w:i w:val="0"/>
        </w:rPr>
        <w:t>6.2 导入的含义：替换当期整套累计余额</w:t>
      </w:r>
      <w:bookmarkEnd w:id="24"/>
    </w:p>
    <w:p>
      <w:r>
        <w:rPr>
          <w:rFonts w:ascii="Arial" w:hAnsi="Arial" w:eastAsia="宋体"/>
          <w:b w:val="0"/>
          <w:i w:val="0"/>
        </w:rPr>
        <w:t>导入不是增加一笔差额。文件中列出的每家法人，在当前期间的整套累计余额会被替换；未列出的科目会按新余额中的零参与计算，不会自动保留旧值。文件没有涉及的法人以及其他期间不因此被覆盖。</w:t>
      </w:r>
    </w:p>
    <w:p>
      <w:r>
        <w:rPr>
          <w:rFonts w:ascii="Arial" w:hAnsi="Arial" w:eastAsia="宋体"/>
          <w:b w:val="0"/>
          <w:i w:val="0"/>
        </w:rPr>
        <w:t>实际导入哪家法人由CSV每行“法人编码”决定，不是由当前报表页的法人筛选限制。同一文件可以包含多家法人，应在导入前逐家核对。为避免错误，上传时可先回到主集团、人民币视图，并明确选好期间。</w:t>
      </w:r>
    </w:p>
    <w:p>
      <w:r>
        <w:rPr>
          <w:rFonts w:ascii="Arial" w:hAnsi="Arial" w:eastAsia="宋体"/>
          <w:b w:val="0"/>
          <w:i w:val="0"/>
        </w:rPr>
        <w:t>软件保留历史导入批次、来源名称、行数、时间和解析行，用于追溯；当前报表采用最新覆盖的当前期数据。重复导入同一文件会形成新的批次，因此不应靠反复上传判断软件是否已保存。</w:t>
      </w:r>
    </w:p>
    <w:p>
      <w:pPr>
        <w:pStyle w:val="Heading2"/>
      </w:pPr>
      <w:bookmarkStart w:id="25" w:name="epm_25"/>
      <w:r>
        <w:rPr>
          <w:rFonts w:ascii="Arial" w:hAnsi="Arial" w:eastAsia="宋体"/>
          <w:b w:val="0"/>
          <w:i w:val="0"/>
        </w:rPr>
        <w:t>6.3 执行导入</w:t>
      </w:r>
      <w:bookmarkEnd w:id="25"/>
    </w:p>
    <w:p>
      <w:pPr>
        <w:ind w:left="283" w:hanging="198"/>
      </w:pPr>
      <w:r>
        <w:rPr>
          <w:rFonts w:ascii="Arial" w:hAnsi="Arial" w:eastAsia="宋体"/>
        </w:rPr>
        <w:t xml:space="preserve">1. </w:t>
      </w:r>
      <w:r>
        <w:rPr>
          <w:rFonts w:ascii="Arial" w:hAnsi="Arial" w:eastAsia="宋体"/>
          <w:b w:val="0"/>
          <w:i w:val="0"/>
        </w:rPr>
        <w:t>确认角色为集团财务负责人或法人会计；确认目标月份没有关联集团签核保护。</w:t>
      </w:r>
    </w:p>
    <w:p>
      <w:pPr>
        <w:ind w:left="283" w:hanging="198"/>
      </w:pPr>
      <w:r>
        <w:rPr>
          <w:rFonts w:ascii="Arial" w:hAnsi="Arial" w:eastAsia="宋体"/>
        </w:rPr>
        <w:t xml:space="preserve">2. </w:t>
      </w:r>
      <w:r>
        <w:rPr>
          <w:rFonts w:ascii="Arial" w:hAnsi="Arial" w:eastAsia="宋体"/>
          <w:b w:val="0"/>
          <w:i w:val="0"/>
        </w:rPr>
        <w:t>在顶部选择目标期间，例如2026年09期。</w:t>
      </w:r>
    </w:p>
    <w:p>
      <w:pPr>
        <w:ind w:left="283" w:hanging="198"/>
      </w:pPr>
      <w:r>
        <w:rPr>
          <w:rFonts w:ascii="Arial" w:hAnsi="Arial" w:eastAsia="宋体"/>
        </w:rPr>
        <w:t xml:space="preserve">3. </w:t>
      </w:r>
      <w:r>
        <w:rPr>
          <w:rFonts w:ascii="Arial" w:hAnsi="Arial" w:eastAsia="宋体"/>
          <w:b w:val="0"/>
          <w:i w:val="0"/>
        </w:rPr>
        <w:t>在“数据接入”点击“导入试算余额”，或在“试算平衡报送”点击“导入报送”。</w:t>
      </w:r>
    </w:p>
    <w:p>
      <w:pPr>
        <w:ind w:left="283" w:hanging="198"/>
      </w:pPr>
      <w:r>
        <w:rPr>
          <w:rFonts w:ascii="Arial" w:hAnsi="Arial" w:eastAsia="宋体"/>
        </w:rPr>
        <w:t xml:space="preserve">4. </w:t>
      </w:r>
      <w:r>
        <w:rPr>
          <w:rFonts w:ascii="Arial" w:hAnsi="Arial" w:eastAsia="宋体"/>
          <w:b w:val="0"/>
          <w:i w:val="0"/>
        </w:rPr>
        <w:t>在弹窗中选择本机CSV文件；选择后文件文字会载入“CSV内容（可粘贴）”，来源名称也会带入。</w:t>
      </w:r>
    </w:p>
    <w:p>
      <w:pPr>
        <w:ind w:left="283" w:hanging="198"/>
      </w:pPr>
      <w:r>
        <w:rPr>
          <w:rFonts w:ascii="Arial" w:hAnsi="Arial" w:eastAsia="宋体"/>
        </w:rPr>
        <w:t xml:space="preserve">5. </w:t>
      </w:r>
      <w:r>
        <w:rPr>
          <w:rFonts w:ascii="Arial" w:hAnsi="Arial" w:eastAsia="宋体"/>
          <w:b w:val="0"/>
          <w:i w:val="0"/>
        </w:rPr>
        <w:t>检查来源文件名称、表头、法人编码、期间和金额。也可直接将完整CSV粘贴到内容框。</w:t>
      </w:r>
    </w:p>
    <w:p>
      <w:pPr>
        <w:ind w:left="283" w:hanging="198"/>
      </w:pPr>
      <w:r>
        <w:rPr>
          <w:rFonts w:ascii="Arial" w:hAnsi="Arial" w:eastAsia="宋体"/>
        </w:rPr>
        <w:t xml:space="preserve">6. </w:t>
      </w:r>
      <w:r>
        <w:rPr>
          <w:rFonts w:ascii="Arial" w:hAnsi="Arial" w:eastAsia="宋体"/>
          <w:b w:val="0"/>
          <w:i w:val="0"/>
        </w:rPr>
        <w:t>点击“校验并导入”，等待“试算余额已整批校验入库，当前期间报表已更新”的成功提示。</w:t>
      </w:r>
    </w:p>
    <w:p>
      <w:pPr>
        <w:ind w:left="283" w:hanging="198"/>
      </w:pPr>
      <w:r>
        <w:rPr>
          <w:rFonts w:ascii="Arial" w:hAnsi="Arial" w:eastAsia="宋体"/>
        </w:rPr>
        <w:t xml:space="preserve">7. </w:t>
      </w:r>
      <w:r>
        <w:rPr>
          <w:rFonts w:ascii="Arial" w:hAnsi="Arial" w:eastAsia="宋体"/>
          <w:b w:val="0"/>
          <w:i w:val="0"/>
        </w:rPr>
        <w:t>查看最近接入批次，并进入“集团三张报表”核对本期变化；必要时切到其他月份确认没有覆盖。</w:t>
      </w:r>
    </w:p>
    <w:p>
      <w:r>
        <w:rPr>
          <w:rFonts w:ascii="Arial" w:hAnsi="Arial" w:eastAsia="宋体"/>
          <w:b w:val="0"/>
          <w:i w:val="0"/>
        </w:rPr>
        <w:t>不要从本手册复制两行示意数据当成完整试算余额。软件包“backend/examples”附有完整示例“试算余额_2026年09月_示例.csv”和空白模板，可先在练习账套中核对后使用。样例不是公司真实数据。</w:t>
      </w:r>
    </w:p>
    <w:p>
      <w:pPr>
        <w:pStyle w:val="Heading2"/>
      </w:pPr>
      <w:bookmarkStart w:id="26" w:name="epm_26"/>
      <w:r>
        <w:rPr>
          <w:rFonts w:ascii="Arial" w:hAnsi="Arial" w:eastAsia="宋体"/>
          <w:b w:val="0"/>
          <w:i w:val="0"/>
        </w:rPr>
        <w:t>6.4 导入失败与整批回滚</w:t>
      </w:r>
      <w:bookmarkEnd w:id="26"/>
    </w:p>
    <w:tbl>
      <w:tblPr>
        <w:tblStyle w:val="TableGrid"/>
        <w:tblW w:type="auto" w:w="0"/>
        <w:jc w:val="center"/>
        <w:tblLayout w:type="fixed"/>
        <w:tblLook w:firstColumn="1" w:firstRow="1" w:lastColumn="0" w:lastRow="0" w:noHBand="0" w:noVBand="1" w:val="04A0"/>
      </w:tblPr>
      <w:tblGrid>
        <w:gridCol w:w="2332"/>
        <w:gridCol w:w="3584"/>
        <w:gridCol w:w="3721"/>
      </w:tblGrid>
      <w:tr>
        <w:trPr>
          <w:cantSplit/>
          <w:tblHeader w:val="true"/>
        </w:trPr>
        <w:tc>
          <w:tcPr>
            <w:tcW w:type="dxa" w:w="233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提示方向</w:t>
            </w:r>
          </w:p>
        </w:tc>
        <w:tc>
          <w:tcPr>
            <w:tcW w:type="dxa" w:w="3584"/>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常见原因</w:t>
            </w:r>
          </w:p>
        </w:tc>
        <w:tc>
          <w:tcPr>
            <w:tcW w:type="dxa" w:w="372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处理办法</w:t>
            </w:r>
          </w:p>
        </w:tc>
      </w:tr>
      <w:tr>
        <w:trPr>
          <w:cantSplit/>
        </w:trPr>
        <w:tc>
          <w:tcPr>
            <w:tcW w:type="dxa" w:w="2332"/>
            <w:vAlign w:val="top"/>
            <w:tcMar>
              <w:top w:w="65" w:type="dxa"/>
              <w:bottom w:w="65" w:type="dxa"/>
              <w:left w:w="65" w:type="dxa"/>
              <w:right w:w="65" w:type="dxa"/>
            </w:tcMar>
          </w:tcPr>
          <w:p>
            <w:pPr>
              <w:spacing w:before="30" w:after="30" w:line="252" w:lineRule="auto"/>
            </w:pPr>
            <w:r>
              <w:rPr>
                <w:rFonts w:ascii="Arial" w:hAnsi="Arial" w:eastAsia="宋体"/>
                <w:b w:val="0"/>
                <w:i w:val="0"/>
                <w:sz w:val="19"/>
              </w:rPr>
              <w:t>表头不符合模板</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多了标题、列名改动、列顺序变化</w:t>
            </w:r>
          </w:p>
        </w:tc>
        <w:tc>
          <w:tcPr>
            <w:tcW w:type="dxa" w:w="3721"/>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重新下载空白模板，保留准确第一行</w:t>
            </w:r>
          </w:p>
        </w:tc>
      </w:tr>
      <w:tr>
        <w:trPr>
          <w:cantSplit/>
        </w:trPr>
        <w:tc>
          <w:tcPr>
            <w:tcW w:type="dxa" w:w="23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法人或科目不存在</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编码拼写错误或尚未维护</w:t>
            </w:r>
          </w:p>
        </w:tc>
        <w:tc>
          <w:tcPr>
            <w:tcW w:type="dxa" w:w="3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对照主数据核实，必要时负责人先建档</w:t>
            </w:r>
          </w:p>
        </w:tc>
      </w:tr>
      <w:tr>
        <w:trPr>
          <w:cantSplit/>
        </w:trPr>
        <w:tc>
          <w:tcPr>
            <w:tcW w:type="dxa" w:w="2332"/>
            <w:vAlign w:val="top"/>
            <w:tcMar>
              <w:top w:w="65" w:type="dxa"/>
              <w:bottom w:w="65" w:type="dxa"/>
              <w:left w:w="65" w:type="dxa"/>
              <w:right w:w="65" w:type="dxa"/>
            </w:tcMar>
          </w:tcPr>
          <w:p>
            <w:pPr>
              <w:spacing w:before="30" w:after="30" w:line="252" w:lineRule="auto"/>
            </w:pPr>
            <w:r>
              <w:rPr>
                <w:rFonts w:ascii="Arial" w:hAnsi="Arial" w:eastAsia="宋体"/>
                <w:b w:val="0"/>
                <w:i w:val="0"/>
                <w:sz w:val="19"/>
              </w:rPr>
              <w:t>期间不一致</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顶部选8期但文件写2026-09</w:t>
            </w:r>
          </w:p>
        </w:tc>
        <w:tc>
          <w:tcPr>
            <w:tcW w:type="dxa" w:w="3721"/>
            <w:vAlign w:val="top"/>
            <w:tcMar>
              <w:top w:w="65" w:type="dxa"/>
              <w:bottom w:w="65" w:type="dxa"/>
              <w:left w:w="65" w:type="dxa"/>
              <w:right w:w="65" w:type="dxa"/>
            </w:tcMar>
          </w:tcPr>
          <w:p>
            <w:pPr>
              <w:spacing w:before="30" w:after="30" w:line="252" w:lineRule="auto"/>
            </w:pPr>
            <w:r>
              <w:rPr>
                <w:rFonts w:ascii="Arial" w:hAnsi="Arial" w:eastAsia="宋体"/>
                <w:b w:val="0"/>
                <w:i w:val="0"/>
                <w:sz w:val="19"/>
              </w:rPr>
              <w:t>明确目标期间后同时核对界面和文件</w:t>
            </w:r>
          </w:p>
        </w:tc>
      </w:tr>
      <w:tr>
        <w:trPr>
          <w:cantSplit/>
        </w:trPr>
        <w:tc>
          <w:tcPr>
            <w:tcW w:type="dxa" w:w="23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同一法人科目重复</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重复粘贴、将同科目拆多行</w:t>
            </w:r>
          </w:p>
        </w:tc>
        <w:tc>
          <w:tcPr>
            <w:tcW w:type="dxa" w:w="3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先按法人和科目汇总为一行</w:t>
            </w:r>
          </w:p>
        </w:tc>
      </w:tr>
      <w:tr>
        <w:trPr>
          <w:cantSplit/>
        </w:trPr>
        <w:tc>
          <w:tcPr>
            <w:tcW w:type="dxa" w:w="2332"/>
            <w:vAlign w:val="top"/>
            <w:tcMar>
              <w:top w:w="65" w:type="dxa"/>
              <w:bottom w:w="65" w:type="dxa"/>
              <w:left w:w="65" w:type="dxa"/>
              <w:right w:w="65" w:type="dxa"/>
            </w:tcMar>
          </w:tcPr>
          <w:p>
            <w:pPr>
              <w:spacing w:before="30" w:after="30" w:line="252" w:lineRule="auto"/>
            </w:pPr>
            <w:r>
              <w:rPr>
                <w:rFonts w:ascii="Arial" w:hAnsi="Arial" w:eastAsia="宋体"/>
                <w:b w:val="0"/>
                <w:i w:val="0"/>
                <w:sz w:val="19"/>
              </w:rPr>
              <w:t>借贷余额同时为正</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把双向发生额填入余额列</w:t>
            </w:r>
          </w:p>
        </w:tc>
        <w:tc>
          <w:tcPr>
            <w:tcW w:type="dxa" w:w="3721"/>
            <w:vAlign w:val="top"/>
            <w:tcMar>
              <w:top w:w="65" w:type="dxa"/>
              <w:bottom w:w="65" w:type="dxa"/>
              <w:left w:w="65" w:type="dxa"/>
              <w:right w:w="65" w:type="dxa"/>
            </w:tcMar>
          </w:tcPr>
          <w:p>
            <w:pPr>
              <w:spacing w:before="30" w:after="30" w:line="252" w:lineRule="auto"/>
            </w:pPr>
            <w:r>
              <w:rPr>
                <w:rFonts w:ascii="Arial" w:hAnsi="Arial" w:eastAsia="宋体"/>
                <w:b w:val="0"/>
                <w:i w:val="0"/>
                <w:sz w:val="19"/>
              </w:rPr>
              <w:t>按试算余额口径整理，不能两边均为正</w:t>
            </w:r>
          </w:p>
        </w:tc>
      </w:tr>
      <w:tr>
        <w:trPr>
          <w:cantSplit/>
        </w:trPr>
        <w:tc>
          <w:tcPr>
            <w:tcW w:type="dxa" w:w="233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法人试算不平衡</w:t>
            </w:r>
          </w:p>
        </w:tc>
        <w:tc>
          <w:tcPr>
            <w:tcW w:type="dxa" w:w="3584"/>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漏科目、金额单位不一、方向填反</w:t>
            </w:r>
          </w:p>
        </w:tc>
        <w:tc>
          <w:tcPr>
            <w:tcW w:type="dxa" w:w="372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逐法人重算借贷合计，再提交完整套</w:t>
            </w:r>
          </w:p>
        </w:tc>
      </w:tr>
      <w:tr>
        <w:trPr>
          <w:cantSplit/>
        </w:trPr>
        <w:tc>
          <w:tcPr>
            <w:tcW w:type="dxa" w:w="2332"/>
            <w:vAlign w:val="top"/>
            <w:tcMar>
              <w:top w:w="65" w:type="dxa"/>
              <w:bottom w:w="65" w:type="dxa"/>
              <w:left w:w="65" w:type="dxa"/>
              <w:right w:w="65" w:type="dxa"/>
            </w:tcMar>
          </w:tcPr>
          <w:p>
            <w:pPr>
              <w:spacing w:before="30" w:after="30" w:line="252" w:lineRule="auto"/>
            </w:pPr>
            <w:r>
              <w:rPr>
                <w:rFonts w:ascii="Arial" w:hAnsi="Arial" w:eastAsia="宋体"/>
                <w:b w:val="0"/>
                <w:i w:val="0"/>
                <w:sz w:val="19"/>
              </w:rPr>
              <w:t>正文过大</w:t>
            </w:r>
          </w:p>
        </w:tc>
        <w:tc>
          <w:tcPr>
            <w:tcW w:type="dxa" w:w="3584"/>
            <w:vAlign w:val="top"/>
            <w:tcMar>
              <w:top w:w="65" w:type="dxa"/>
              <w:bottom w:w="65" w:type="dxa"/>
              <w:left w:w="65" w:type="dxa"/>
              <w:right w:w="65" w:type="dxa"/>
            </w:tcMar>
          </w:tcPr>
          <w:p>
            <w:pPr>
              <w:spacing w:before="30" w:after="30" w:line="252" w:lineRule="auto"/>
            </w:pPr>
            <w:r>
              <w:rPr>
                <w:rFonts w:ascii="Arial" w:hAnsi="Arial" w:eastAsia="宋体"/>
                <w:b w:val="0"/>
                <w:i w:val="0"/>
                <w:sz w:val="19"/>
              </w:rPr>
              <w:t>文件接近上限或包含过多文字</w:t>
            </w:r>
          </w:p>
        </w:tc>
        <w:tc>
          <w:tcPr>
            <w:tcW w:type="dxa" w:w="3721"/>
            <w:vAlign w:val="top"/>
            <w:tcMar>
              <w:top w:w="65" w:type="dxa"/>
              <w:bottom w:w="65" w:type="dxa"/>
              <w:left w:w="65" w:type="dxa"/>
              <w:right w:w="65" w:type="dxa"/>
            </w:tcMar>
          </w:tcPr>
          <w:p>
            <w:pPr>
              <w:spacing w:before="30" w:after="30" w:line="252" w:lineRule="auto"/>
            </w:pPr>
            <w:r>
              <w:rPr>
                <w:rFonts w:ascii="Arial" w:hAnsi="Arial" w:eastAsia="宋体"/>
                <w:b w:val="0"/>
                <w:i w:val="0"/>
                <w:sz w:val="19"/>
              </w:rPr>
              <w:t>按法人完整套合理分批</w:t>
            </w:r>
          </w:p>
        </w:tc>
      </w:tr>
    </w:tbl>
    <w:p>
      <w:pPr>
        <w:spacing w:after="40"/>
      </w:pPr>
    </w:p>
    <w:p>
      <w:r>
        <w:rPr>
          <w:rFonts w:ascii="Arial" w:hAnsi="Arial" w:eastAsia="宋体"/>
          <w:b w:val="0"/>
          <w:i w:val="0"/>
        </w:rPr>
        <w:t>系统发现任一坏行或任一法人不平衡时，整批拒绝。不会先导入正确行，再留下半批错误。按中文提示中的行号修改后再重试；失败后可重开报表核对，原已保存金额应保持。</w:t>
      </w:r>
    </w:p>
    <w:p>
      <w:pPr>
        <w:pStyle w:val="Heading2"/>
      </w:pPr>
      <w:bookmarkStart w:id="27" w:name="epm_27"/>
      <w:r>
        <w:rPr>
          <w:rFonts w:ascii="Arial" w:hAnsi="Arial" w:eastAsia="宋体"/>
          <w:b w:val="0"/>
          <w:i w:val="0"/>
        </w:rPr>
        <w:t>6.5 复核并接收本期</w:t>
      </w:r>
      <w:bookmarkEnd w:id="27"/>
    </w:p>
    <w:p>
      <w:r>
        <w:rPr>
          <w:rFonts w:ascii="Arial" w:hAnsi="Arial" w:eastAsia="宋体"/>
          <w:b w:val="0"/>
          <w:i w:val="0"/>
        </w:rPr>
        <w:t>进入“试算平衡报送”，在各法人行点击“检查与追溯”，核对法人编码、当前期、累计收入、累计净利润和批次。确认后点击“复核并接收本期”。成功后卡片显示“已接收”，清单状态显示已复核。</w:t>
      </w:r>
    </w:p>
    <w:p>
      <w:r>
        <w:rPr>
          <w:rFonts w:ascii="Arial" w:hAnsi="Arial" w:eastAsia="宋体"/>
          <w:b w:val="0"/>
          <w:i w:val="0"/>
        </w:rPr>
        <w:t>这个动作记录当前集团及月份的复核接收状态，不会自动替各法人创建独立生产审批单。即使未新导入CSV，也可对预置演示数据完成复核。后续导入或审批财务调整会使该月份的旧确认和校验失效，需要重新执行。</w:t>
      </w:r>
    </w:p>
    <w:p>
      <w:r>
        <w:rPr>
          <w:rFonts w:ascii="Arial" w:hAnsi="Arial" w:eastAsia="宋体"/>
          <w:b w:val="0"/>
          <w:i w:val="0"/>
        </w:rPr>
        <w:t>CSV只有累计余额，没有现金流明细。导入后系统沿用样例期初现金和样例投资、筹资流量，以现金变动倒算经营现金流，属于演示估算；不能因为勾稽通过就认定真实现金流分类已正确完成。</w:t>
      </w:r>
    </w:p>
    <w:p>
      <w:pPr>
        <w:pStyle w:val="Heading1"/>
      </w:pPr>
      <w:bookmarkStart w:id="28" w:name="epm_28"/>
      <w:r>
        <w:rPr>
          <w:rFonts w:ascii="Arial" w:hAnsi="Arial" w:eastAsia="宋体"/>
          <w:b w:val="0"/>
          <w:i w:val="0"/>
        </w:rPr>
        <w:t>7. 内部核对与调整凭证</w:t>
      </w:r>
      <w:bookmarkEnd w:id="28"/>
    </w:p>
    <w:p>
      <w:pPr>
        <w:pStyle w:val="Heading2"/>
      </w:pPr>
      <w:bookmarkStart w:id="29" w:name="epm_29"/>
      <w:r>
        <w:rPr>
          <w:rFonts w:ascii="Arial" w:hAnsi="Arial" w:eastAsia="宋体"/>
          <w:b w:val="0"/>
          <w:i w:val="0"/>
        </w:rPr>
        <w:t>7.1 保存内部差异核对说明</w:t>
      </w:r>
      <w:bookmarkEnd w:id="29"/>
    </w:p>
    <w:p>
      <w:r>
        <w:rPr>
          <w:rFonts w:ascii="Arial" w:hAnsi="Arial" w:eastAsia="宋体"/>
          <w:b w:val="0"/>
          <w:i w:val="0"/>
        </w:rPr>
        <w:t>进入“内部往来核对”，点击“确认差异说明”；已有说明时按钮为“查看或更新差异说明”。填写“差异说明（必填）”，点击“保存并确认说明”。说明非空、最多500字，保存到当前集团及期间。</w:t>
      </w:r>
    </w:p>
    <w:p>
      <w:r>
        <w:rPr>
          <w:rFonts w:ascii="Arial" w:hAnsi="Arial" w:eastAsia="宋体"/>
          <w:b w:val="0"/>
          <w:i w:val="0"/>
        </w:rPr>
        <w:t>成功后确认状态为已确认，说明状态为已保存，可再次打开查看。这个动作保存核对依据，不会自动生成抵销分录或改变利润。需要记账调整时，应另到“抵销与调整凭证”保存并审批凭证。</w:t>
      </w:r>
    </w:p>
    <w:p>
      <w:pPr>
        <w:pStyle w:val="Heading2"/>
      </w:pPr>
      <w:bookmarkStart w:id="30" w:name="epm_30"/>
      <w:r>
        <w:rPr>
          <w:rFonts w:ascii="Arial" w:hAnsi="Arial" w:eastAsia="宋体"/>
          <w:b w:val="0"/>
          <w:i w:val="0"/>
        </w:rPr>
        <w:t>7.2 新建平衡凭证草稿</w:t>
      </w:r>
      <w:bookmarkEnd w:id="30"/>
    </w:p>
    <w:p>
      <w:r>
        <w:rPr>
          <w:rFonts w:ascii="Arial" w:hAnsi="Arial" w:eastAsia="宋体"/>
          <w:b w:val="0"/>
          <w:i w:val="0"/>
        </w:rPr>
        <w:t>进入“抵销与调整凭证”，确认顶部月份，再点击“新增调整凭证”。当前界面可填2至4行有效分录，零金额行自动忽略。填写下表字段后点击“保存凭证草稿”。</w:t>
      </w:r>
    </w:p>
    <w:tbl>
      <w:tblPr>
        <w:tblStyle w:val="TableGrid"/>
        <w:tblW w:type="auto" w:w="0"/>
        <w:jc w:val="center"/>
        <w:tblLayout w:type="fixed"/>
        <w:tblLook w:firstColumn="1" w:firstRow="1" w:lastColumn="0" w:lastRow="0" w:noHBand="0" w:noVBand="1" w:val="04A0"/>
      </w:tblPr>
      <w:tblGrid>
        <w:gridCol w:w="2181"/>
        <w:gridCol w:w="3728"/>
        <w:gridCol w:w="3728"/>
      </w:tblGrid>
      <w:tr>
        <w:trPr>
          <w:cantSplit/>
          <w:tblHeader w:val="true"/>
        </w:trPr>
        <w:tc>
          <w:tcPr>
            <w:tcW w:type="dxa" w:w="218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37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要求</w:t>
            </w:r>
          </w:p>
        </w:tc>
        <w:tc>
          <w:tcPr>
            <w:tcW w:type="dxa" w:w="372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示例</w:t>
            </w:r>
          </w:p>
        </w:tc>
      </w:tr>
      <w:tr>
        <w:trPr>
          <w:cantSplit/>
        </w:trPr>
        <w:tc>
          <w:tcPr>
            <w:tcW w:type="dxa" w:w="2181"/>
            <w:vAlign w:val="top"/>
            <w:tcMar>
              <w:top w:w="65" w:type="dxa"/>
              <w:bottom w:w="65" w:type="dxa"/>
              <w:left w:w="65" w:type="dxa"/>
              <w:right w:w="65" w:type="dxa"/>
            </w:tcMar>
          </w:tcPr>
          <w:p>
            <w:pPr>
              <w:spacing w:before="30" w:after="30" w:line="252" w:lineRule="auto"/>
            </w:pPr>
            <w:r>
              <w:rPr>
                <w:rFonts w:ascii="Arial" w:hAnsi="Arial" w:eastAsia="宋体"/>
                <w:b w:val="0"/>
                <w:i w:val="0"/>
                <w:sz w:val="19"/>
              </w:rPr>
              <w:t>凭证摘要（必填）</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非空、最多100字</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补提本期管理费用</w:t>
            </w:r>
          </w:p>
        </w:tc>
      </w:tr>
      <w:tr>
        <w:trPr>
          <w:cantSplit/>
        </w:trPr>
        <w:tc>
          <w:tcPr>
            <w:tcW w:type="dxa" w:w="21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类型</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合并调整、往来抵销、未实现利润</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按用途选择</w:t>
            </w:r>
          </w:p>
        </w:tc>
      </w:tr>
      <w:tr>
        <w:trPr>
          <w:cantSplit/>
        </w:trPr>
        <w:tc>
          <w:tcPr>
            <w:tcW w:type="dxa" w:w="2181"/>
            <w:vAlign w:val="top"/>
            <w:tcMar>
              <w:top w:w="65" w:type="dxa"/>
              <w:bottom w:w="65" w:type="dxa"/>
              <w:left w:w="65" w:type="dxa"/>
              <w:right w:w="65" w:type="dxa"/>
            </w:tcMar>
          </w:tcPr>
          <w:p>
            <w:pPr>
              <w:spacing w:before="30" w:after="30" w:line="252" w:lineRule="auto"/>
            </w:pPr>
            <w:r>
              <w:rPr>
                <w:rFonts w:ascii="Arial" w:hAnsi="Arial" w:eastAsia="宋体"/>
                <w:b w:val="0"/>
                <w:i w:val="0"/>
                <w:sz w:val="19"/>
              </w:rPr>
              <w:t>现金流类别</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不涉及现金科目，或经营/投资/筹资活动</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含现金科目必须选具体活动</w:t>
            </w:r>
          </w:p>
        </w:tc>
      </w:tr>
      <w:tr>
        <w:trPr>
          <w:cantSplit/>
        </w:trPr>
        <w:tc>
          <w:tcPr>
            <w:tcW w:type="dxa" w:w="21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调整依据（必填）</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非空、最多500字</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说明调整原因、业务依据和演示用途</w:t>
            </w:r>
          </w:p>
        </w:tc>
      </w:tr>
      <w:tr>
        <w:trPr>
          <w:cantSplit/>
        </w:trPr>
        <w:tc>
          <w:tcPr>
            <w:tcW w:type="dxa" w:w="2181"/>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集团科目</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从现有科目中选择</w:t>
            </w:r>
          </w:p>
        </w:tc>
        <w:tc>
          <w:tcPr>
            <w:tcW w:type="dxa" w:w="3728"/>
            <w:vAlign w:val="top"/>
            <w:tcMar>
              <w:top w:w="65" w:type="dxa"/>
              <w:bottom w:w="65" w:type="dxa"/>
              <w:left w:w="65" w:type="dxa"/>
              <w:right w:w="65" w:type="dxa"/>
            </w:tcMar>
          </w:tcPr>
          <w:p>
            <w:pPr>
              <w:spacing w:before="30" w:after="30" w:line="252" w:lineRule="auto"/>
            </w:pPr>
            <w:r>
              <w:rPr>
                <w:rFonts w:ascii="Arial" w:hAnsi="Arial" w:eastAsia="宋体"/>
                <w:b w:val="0"/>
                <w:i w:val="0"/>
                <w:sz w:val="19"/>
              </w:rPr>
              <w:t>6602期间费用、2241其他流动负债</w:t>
            </w:r>
          </w:p>
        </w:tc>
      </w:tr>
      <w:tr>
        <w:trPr>
          <w:cantSplit/>
        </w:trPr>
        <w:tc>
          <w:tcPr>
            <w:tcW w:type="dxa" w:w="218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借方、贷方金额</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人民币万元、非负、最多两位小数</w:t>
            </w:r>
          </w:p>
        </w:tc>
        <w:tc>
          <w:tcPr>
            <w:tcW w:type="dxa" w:w="372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每行只能一侧为正，整张借贷相等</w:t>
            </w:r>
          </w:p>
        </w:tc>
      </w:tr>
    </w:tbl>
    <w:p>
      <w:pPr>
        <w:spacing w:after="40"/>
      </w:pPr>
    </w:p>
    <w:p>
      <w:r>
        <w:rPr>
          <w:rFonts w:ascii="Arial" w:hAnsi="Arial" w:eastAsia="宋体"/>
          <w:b w:val="0"/>
          <w:i w:val="0"/>
        </w:rPr>
        <w:t>例如在同一行同时输入借方10和贷方10，即使整张看似相等也会拒绝。应将借、贷分别放在不同分录行。借方合计必须严格等于贷方合计，不能用小数尾差“差不多相等”处理。</w:t>
      </w:r>
    </w:p>
    <w:p>
      <w:pPr>
        <w:pStyle w:val="Heading2"/>
      </w:pPr>
      <w:bookmarkStart w:id="31" w:name="epm_31"/>
      <w:r>
        <w:rPr>
          <w:rFonts w:ascii="Arial" w:hAnsi="Arial" w:eastAsia="宋体"/>
          <w:b w:val="0"/>
          <w:i w:val="0"/>
        </w:rPr>
        <w:t>7.3 草稿与审批的区别</w:t>
      </w:r>
      <w:bookmarkEnd w:id="31"/>
    </w:p>
    <w:p>
      <w:r>
        <w:rPr>
          <w:rFonts w:ascii="Arial" w:hAnsi="Arial" w:eastAsia="宋体"/>
          <w:b w:val="0"/>
          <w:i w:val="0"/>
        </w:rPr>
        <w:t>草稿保存后会出现在当前期清单，状态为“草稿”，但不会影响报表。由集团财务负责人点击“复核并审批”，检查凭证摘要和编号，再点击弹窗“确认审批”。审批后状态为“已审批”，当前期三表重新计算。</w:t>
      </w:r>
    </w:p>
    <w:p>
      <w:r>
        <w:rPr>
          <w:rFonts w:ascii="Arial" w:hAnsi="Arial" w:eastAsia="宋体"/>
          <w:b w:val="0"/>
          <w:i w:val="0"/>
        </w:rPr>
        <w:t>练习可使用借记6602期间费用10、贷记2241其他流动负债10。未发生其他变化时，初始集团净利润会由1,720变为1,710；若环境已经改动，则应核对审批前后净利润减少10，而非强求固定总额。草稿阶段净利润不应变化。</w:t>
      </w:r>
    </w:p>
    <w:p>
      <w:r>
        <w:rPr>
          <w:rFonts w:ascii="Arial" w:hAnsi="Arial" w:eastAsia="宋体"/>
          <w:b w:val="0"/>
          <w:i w:val="0"/>
        </w:rPr>
        <w:t>含现金科目的凭证必须选择现金流活动类别，例如现金增加100、收入增加100且属于经营活动时，应选择“经营活动”。选择空的“不涉及现金科目”会拒绝保存。正确分类会影响现金流量表，并与期末现金勾稽。</w:t>
      </w:r>
    </w:p>
    <w:p>
      <w:r>
        <w:rPr>
          <w:rFonts w:ascii="Arial" w:hAnsi="Arial" w:eastAsia="宋体"/>
          <w:b w:val="0"/>
          <w:i w:val="0"/>
        </w:rPr>
        <w:t>审批凭证会影响本期及关联范围的校验确认。当前Demo未提供已审批凭证直接撤销、删除或修改按钮；需要更正时，应由财务负责人确认会计处理后使用新的平衡反向凭证留痕。不要修改数据库文件来“删除错误凭证”。</w:t>
      </w:r>
    </w:p>
    <w:p>
      <w:pPr>
        <w:pStyle w:val="Heading1"/>
      </w:pPr>
      <w:bookmarkStart w:id="32" w:name="epm_32"/>
      <w:r>
        <w:rPr>
          <w:rFonts w:ascii="Arial" w:hAnsi="Arial" w:eastAsia="宋体"/>
          <w:b w:val="0"/>
          <w:i w:val="0"/>
        </w:rPr>
        <w:t>8. 查看集团三张报表</w:t>
      </w:r>
      <w:bookmarkEnd w:id="32"/>
    </w:p>
    <w:p>
      <w:pPr>
        <w:pStyle w:val="Heading2"/>
      </w:pPr>
      <w:bookmarkStart w:id="33" w:name="epm_33"/>
      <w:r>
        <w:rPr>
          <w:rFonts w:ascii="Arial" w:hAnsi="Arial" w:eastAsia="宋体"/>
          <w:b w:val="0"/>
          <w:i w:val="0"/>
        </w:rPr>
        <w:t>8.1 利润表、资产负债表和现金流量表</w:t>
      </w:r>
      <w:bookmarkEnd w:id="33"/>
    </w:p>
    <w:p>
      <w:r>
        <w:rPr>
          <w:rFonts w:ascii="Arial" w:hAnsi="Arial" w:eastAsia="宋体"/>
          <w:b w:val="0"/>
          <w:i w:val="0"/>
        </w:rPr>
        <w:t>进入“集团三张报表”，确认集团范围、期间、币种及法人范围，再点击对应页签。利润表显示本期累计、预算累计、差异及追溯；资产负债表和现金流量表显示当前金额与依据入口。</w:t>
      </w:r>
    </w:p>
    <w:p>
      <w:r>
        <w:rPr>
          <w:rFonts w:ascii="Arial" w:hAnsi="Arial" w:eastAsia="宋体"/>
          <w:b w:val="0"/>
          <w:i w:val="0"/>
        </w:rPr>
        <w:t>初始集团营业收入13,000万元已包含演示内部销售抵销，不能直接用三家法人收入相加替代。科目、导入、已审批凭证共同决定实际数；预算列取当前活跃预算版本。资产、现金及负债数字改变，应沿报送或凭证检查原因。</w:t>
      </w:r>
    </w:p>
    <w:p>
      <w:pPr>
        <w:keepNext/>
        <w:jc w:val="center"/>
      </w:pPr>
      <w:r>
        <w:drawing>
          <wp:inline xmlns:a="http://schemas.openxmlformats.org/drawingml/2006/main" xmlns:pic="http://schemas.openxmlformats.org/drawingml/2006/picture">
            <wp:extent cx="5620986" cy="6696000"/>
            <wp:docPr id="2" name="Picture 2"/>
            <wp:cNvGraphicFramePr>
              <a:graphicFrameLocks noChangeAspect="1"/>
            </wp:cNvGraphicFramePr>
            <a:graphic>
              <a:graphicData uri="http://schemas.openxmlformats.org/drawingml/2006/picture">
                <pic:pic>
                  <pic:nvPicPr>
                    <pic:cNvPr id="0" name="statements.png"/>
                    <pic:cNvPicPr/>
                  </pic:nvPicPr>
                  <pic:blipFill>
                    <a:blip r:embed="rId12"/>
                    <a:stretch>
                      <a:fillRect/>
                    </a:stretch>
                  </pic:blipFill>
                  <pic:spPr>
                    <a:xfrm>
                      <a:off x="0" y="0"/>
                      <a:ext cx="5620986" cy="6696000"/>
                    </a:xfrm>
                    <a:prstGeom prst="rect"/>
                  </pic:spPr>
                </pic:pic>
              </a:graphicData>
            </a:graphic>
          </wp:inline>
        </w:drawing>
      </w:r>
    </w:p>
    <w:p>
      <w:pPr>
        <w:jc w:val="center"/>
      </w:pPr>
      <w:r>
        <w:rPr>
          <w:rFonts w:ascii="Arial" w:hAnsi="Arial" w:eastAsia="宋体"/>
          <w:color w:val="66758D"/>
          <w:sz w:val="18"/>
        </w:rPr>
        <w:t>图 2  集团三张报表</w:t>
      </w:r>
    </w:p>
    <w:p>
      <w:pPr>
        <w:pStyle w:val="Heading2"/>
      </w:pPr>
      <w:bookmarkStart w:id="34" w:name="epm_34"/>
      <w:r>
        <w:rPr>
          <w:rFonts w:ascii="Arial" w:hAnsi="Arial" w:eastAsia="宋体"/>
          <w:b w:val="0"/>
          <w:i w:val="0"/>
        </w:rPr>
        <w:t>8.2 追溯与勾稽</w:t>
      </w:r>
      <w:bookmarkEnd w:id="34"/>
    </w:p>
    <w:p>
      <w:r>
        <w:rPr>
          <w:rFonts w:ascii="Arial" w:hAnsi="Arial" w:eastAsia="宋体"/>
          <w:b w:val="0"/>
          <w:i w:val="0"/>
        </w:rPr>
        <w:t>利润表行点击“法人 / 调整”，查看当前范围的法人来源金额、抵销及调整和合并结果。可继续“查看报送”或“查看凭证”。资产负债表和现金流量表的“查看依据”显示当前报表对应行金额及校验结果，是本轮演示依据展示，不是所有总账原始单据的完整穿透查询。</w:t>
      </w:r>
    </w:p>
    <w:p>
      <w:r>
        <w:rPr>
          <w:rFonts w:ascii="Arial" w:hAnsi="Arial" w:eastAsia="宋体"/>
          <w:b w:val="0"/>
          <w:i w:val="0"/>
        </w:rPr>
        <w:t>点击“勾稽检查”查看规则、差额及是否通过。重点检查资产等于负债加权益、期末现金等于期初现金加净增加额，以及权益变动与利润衔接。勾稽校验是检查已输入数据，不是自动填补错误或代替会计判断。</w:t>
      </w:r>
    </w:p>
    <w:p>
      <w:pPr>
        <w:pStyle w:val="Heading2"/>
      </w:pPr>
      <w:bookmarkStart w:id="35" w:name="epm_35"/>
      <w:r>
        <w:rPr>
          <w:rFonts w:ascii="Arial" w:hAnsi="Arial" w:eastAsia="宋体"/>
          <w:b w:val="0"/>
          <w:i w:val="0"/>
        </w:rPr>
        <w:t>8.3 导出当前报表</w:t>
      </w:r>
      <w:bookmarkEnd w:id="35"/>
    </w:p>
    <w:p>
      <w:r>
        <w:rPr>
          <w:rFonts w:ascii="Arial" w:hAnsi="Arial" w:eastAsia="宋体"/>
          <w:b w:val="0"/>
          <w:i w:val="0"/>
        </w:rPr>
        <w:t>点击“导出当前报表”，浏览器下载UTF-8 CSV。导出使用当前期间、范围、币种及已保存数据，并带演示说明和抬头。利润表导出含实际、预算及差异；另两张表导出对应项目金额。</w:t>
      </w:r>
    </w:p>
    <w:p>
      <w:r>
        <w:rPr>
          <w:rFonts w:ascii="Arial" w:hAnsi="Arial" w:eastAsia="宋体"/>
          <w:b w:val="0"/>
          <w:i w:val="0"/>
        </w:rPr>
        <w:t>导出管理报表不是导入模板。不要将含演示说明行和抬头的导出文件原样上传到“试算余额”入口。用Excel或WPS打开后若出现编码问题，可在导入文本时选择UTF-8；金额单位以文件抬头为准。</w:t>
      </w:r>
    </w:p>
    <w:p>
      <w:pPr>
        <w:pStyle w:val="Heading1"/>
      </w:pPr>
      <w:bookmarkStart w:id="36" w:name="epm_36"/>
      <w:r>
        <w:rPr>
          <w:rFonts w:ascii="Arial" w:hAnsi="Arial" w:eastAsia="宋体"/>
          <w:b w:val="0"/>
          <w:i w:val="0"/>
        </w:rPr>
        <w:t>9. 预算版本与编制准备</w:t>
      </w:r>
      <w:bookmarkEnd w:id="36"/>
    </w:p>
    <w:p>
      <w:pPr>
        <w:pStyle w:val="Heading2"/>
      </w:pPr>
      <w:bookmarkStart w:id="37" w:name="epm_37"/>
      <w:r>
        <w:rPr>
          <w:rFonts w:ascii="Arial" w:hAnsi="Arial" w:eastAsia="宋体"/>
          <w:b w:val="0"/>
          <w:i w:val="0"/>
        </w:rPr>
        <w:t>9.1 先明确当前活跃版本</w:t>
      </w:r>
      <w:bookmarkEnd w:id="37"/>
    </w:p>
    <w:p>
      <w:r>
        <w:rPr>
          <w:rFonts w:ascii="Arial" w:hAnsi="Arial" w:eastAsia="宋体"/>
          <w:b w:val="0"/>
          <w:i w:val="0"/>
        </w:rPr>
        <w:t>预算的四个菜单共用当前活跃版本。初始版本包括“V1 基准预算”和“V2 年度目标”；默认活跃V2，年度收入目标18,400万元。版本清单会显示名称、情景、年度目标及状态。</w:t>
      </w:r>
    </w:p>
    <w:p>
      <w:r>
        <w:rPr>
          <w:rFonts w:ascii="Arial" w:hAnsi="Arial" w:eastAsia="宋体"/>
          <w:b w:val="0"/>
          <w:i w:val="0"/>
        </w:rPr>
        <w:t>建议练习前先进入“版本与多情景”，点击“复制当前版本”，输入唯一名称，例如“用户练习_20261020”，情景选择年度预算、滚动预测或压力情景，然后“保存新版本”。系统保存完整独立草稿并自动切换至它。已有同名版本会被拒绝，可加日期或序号。</w:t>
      </w:r>
    </w:p>
    <w:p>
      <w:r>
        <w:rPr>
          <w:rFonts w:ascii="Arial" w:hAnsi="Arial" w:eastAsia="宋体"/>
          <w:b w:val="0"/>
          <w:i w:val="0"/>
        </w:rPr>
        <w:t>版本复制保留层级、分摊、量价、业务明细等快照，原版金额与状态保持。复制预算并不能隔离财务报送或调整凭证；实际财务账套仍是同一份，因此财务练习要依照备份与期间说明操作。</w:t>
      </w:r>
    </w:p>
    <w:p>
      <w:pPr>
        <w:pStyle w:val="Heading2"/>
      </w:pPr>
      <w:bookmarkStart w:id="38" w:name="epm_38"/>
      <w:r>
        <w:rPr>
          <w:rFonts w:ascii="Arial" w:hAnsi="Arial" w:eastAsia="宋体"/>
          <w:b w:val="0"/>
          <w:i w:val="0"/>
        </w:rPr>
        <w:t>9.2 状态与可执行动作</w:t>
      </w:r>
      <w:bookmarkEnd w:id="38"/>
    </w:p>
    <w:tbl>
      <w:tblPr>
        <w:tblStyle w:val="TableGrid"/>
        <w:tblW w:type="auto" w:w="0"/>
        <w:jc w:val="center"/>
        <w:tblLayout w:type="fixed"/>
        <w:tblLook w:firstColumn="1" w:firstRow="1" w:lastColumn="0" w:lastRow="0" w:noHBand="0" w:noVBand="1" w:val="04A0"/>
      </w:tblPr>
      <w:tblGrid>
        <w:gridCol w:w="2265"/>
        <w:gridCol w:w="4351"/>
        <w:gridCol w:w="3022"/>
      </w:tblGrid>
      <w:tr>
        <w:trPr>
          <w:cantSplit/>
          <w:tblHeader w:val="true"/>
        </w:trPr>
        <w:tc>
          <w:tcPr>
            <w:tcW w:type="dxa" w:w="226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预算状态</w:t>
            </w:r>
          </w:p>
        </w:tc>
        <w:tc>
          <w:tcPr>
            <w:tcW w:type="dxa" w:w="4351"/>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允许的主要操作</w:t>
            </w:r>
          </w:p>
        </w:tc>
        <w:tc>
          <w:tcPr>
            <w:tcW w:type="dxa" w:w="3022"/>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下一步</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编制中</w:t>
            </w:r>
          </w:p>
        </w:tc>
        <w:tc>
          <w:tcPr>
            <w:tcW w:type="dxa" w:w="4351"/>
            <w:vAlign w:val="top"/>
            <w:tcMar>
              <w:top w:w="65" w:type="dxa"/>
              <w:bottom w:w="65" w:type="dxa"/>
              <w:left w:w="65" w:type="dxa"/>
              <w:right w:w="65" w:type="dxa"/>
            </w:tcMar>
          </w:tcPr>
          <w:p>
            <w:pPr>
              <w:spacing w:before="30" w:after="30" w:line="252" w:lineRule="auto"/>
            </w:pPr>
            <w:r>
              <w:rPr>
                <w:rFonts w:ascii="Arial" w:hAnsi="Arial" w:eastAsia="宋体"/>
                <w:b w:val="0"/>
                <w:i w:val="0"/>
                <w:sz w:val="19"/>
              </w:rPr>
              <w:t>修改目标、分摊、量价和业务明细，提交</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提交本版审批</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审核中</w:t>
            </w:r>
          </w:p>
        </w:tc>
        <w:tc>
          <w:tcPr>
            <w:tcW w:type="dxa" w:w="43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查看、比较、复制新版本；负责人审核</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集团审核通过</w:t>
            </w:r>
          </w:p>
        </w:tc>
      </w:tr>
      <w:tr>
        <w:trPr>
          <w:cantSplit/>
        </w:trPr>
        <w:tc>
          <w:tcPr>
            <w:tcW w:type="dxa" w:w="2265"/>
            <w:vAlign w:val="top"/>
            <w:tcMar>
              <w:top w:w="65" w:type="dxa"/>
              <w:bottom w:w="65" w:type="dxa"/>
              <w:left w:w="65" w:type="dxa"/>
              <w:right w:w="65" w:type="dxa"/>
            </w:tcMar>
          </w:tcPr>
          <w:p>
            <w:pPr>
              <w:spacing w:before="30" w:after="30" w:line="252" w:lineRule="auto"/>
            </w:pPr>
            <w:r>
              <w:rPr>
                <w:rFonts w:ascii="Arial" w:hAnsi="Arial" w:eastAsia="宋体"/>
                <w:b w:val="0"/>
                <w:i w:val="0"/>
                <w:sz w:val="19"/>
              </w:rPr>
              <w:t>已审批</w:t>
            </w:r>
          </w:p>
        </w:tc>
        <w:tc>
          <w:tcPr>
            <w:tcW w:type="dxa" w:w="4351"/>
            <w:vAlign w:val="top"/>
            <w:tcMar>
              <w:top w:w="65" w:type="dxa"/>
              <w:bottom w:w="65" w:type="dxa"/>
              <w:left w:w="65" w:type="dxa"/>
              <w:right w:w="65" w:type="dxa"/>
            </w:tcMar>
          </w:tcPr>
          <w:p>
            <w:pPr>
              <w:spacing w:before="30" w:after="30" w:line="252" w:lineRule="auto"/>
            </w:pPr>
            <w:r>
              <w:rPr>
                <w:rFonts w:ascii="Arial" w:hAnsi="Arial" w:eastAsia="宋体"/>
                <w:b w:val="0"/>
                <w:i w:val="0"/>
                <w:sz w:val="19"/>
              </w:rPr>
              <w:t>查看、复制、发起调整；负责人锁定</w:t>
            </w:r>
          </w:p>
        </w:tc>
        <w:tc>
          <w:tcPr>
            <w:tcW w:type="dxa" w:w="3022"/>
            <w:vAlign w:val="top"/>
            <w:tcMar>
              <w:top w:w="65" w:type="dxa"/>
              <w:bottom w:w="65" w:type="dxa"/>
              <w:left w:w="65" w:type="dxa"/>
              <w:right w:w="65" w:type="dxa"/>
            </w:tcMar>
          </w:tcPr>
          <w:p>
            <w:pPr>
              <w:spacing w:before="30" w:after="30" w:line="252" w:lineRule="auto"/>
            </w:pPr>
            <w:r>
              <w:rPr>
                <w:rFonts w:ascii="Arial" w:hAnsi="Arial" w:eastAsia="宋体"/>
                <w:b w:val="0"/>
                <w:i w:val="0"/>
                <w:sz w:val="19"/>
              </w:rPr>
              <w:t>锁定已审批版本</w:t>
            </w:r>
          </w:p>
        </w:tc>
      </w:tr>
      <w:tr>
        <w:trPr>
          <w:cantSplit/>
        </w:trPr>
        <w:tc>
          <w:tcPr>
            <w:tcW w:type="dxa" w:w="226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已锁定</w:t>
            </w:r>
          </w:p>
        </w:tc>
        <w:tc>
          <w:tcPr>
            <w:tcW w:type="dxa" w:w="4351"/>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查看、复制或发起独立预算调整</w:t>
            </w:r>
          </w:p>
        </w:tc>
        <w:tc>
          <w:tcPr>
            <w:tcW w:type="dxa" w:w="3022"/>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保留原版，另做新版本</w:t>
            </w:r>
          </w:p>
        </w:tc>
      </w:tr>
    </w:tbl>
    <w:p>
      <w:pPr>
        <w:spacing w:after="40"/>
      </w:pPr>
    </w:p>
    <w:p>
      <w:r>
        <w:rPr>
          <w:rFonts w:ascii="Arial" w:hAnsi="Arial" w:eastAsia="宋体"/>
          <w:b w:val="0"/>
          <w:i w:val="0"/>
        </w:rPr>
        <w:t>不要把“退回调整申请”理解为把已经锁定的预算重新变成草稿。调整申请有独立状态。当前演示未提供预算审核中的单独退回按钮；要另做方案，可复制新版本编制。</w:t>
      </w:r>
    </w:p>
    <w:p>
      <w:pPr>
        <w:pStyle w:val="Heading1"/>
      </w:pPr>
      <w:bookmarkStart w:id="39" w:name="epm_39"/>
      <w:r>
        <w:rPr>
          <w:rFonts w:ascii="Arial" w:hAnsi="Arial" w:eastAsia="宋体"/>
          <w:b w:val="0"/>
          <w:i w:val="0"/>
        </w:rPr>
        <w:t>10. 预算编制、量价与分摊</w:t>
      </w:r>
      <w:bookmarkEnd w:id="39"/>
    </w:p>
    <w:p>
      <w:pPr>
        <w:pStyle w:val="Heading2"/>
      </w:pPr>
      <w:bookmarkStart w:id="40" w:name="epm_40"/>
      <w:r>
        <w:rPr>
          <w:rFonts w:ascii="Arial" w:hAnsi="Arial" w:eastAsia="宋体"/>
          <w:b w:val="0"/>
          <w:i w:val="0"/>
        </w:rPr>
        <w:t>10.1 修改四层销售目标</w:t>
      </w:r>
      <w:bookmarkEnd w:id="40"/>
    </w:p>
    <w:p>
      <w:r>
        <w:rPr>
          <w:rFonts w:ascii="Arial" w:hAnsi="Arial" w:eastAsia="宋体"/>
          <w:b w:val="0"/>
          <w:i w:val="0"/>
        </w:rPr>
        <w:t>进入“预算编制与分摊”，预算类型选择“销售预算”，确认版本状态为编制中。在需要修改的层点击“调整本层”，输入“年度金额（人民币万元）”，点击“保存本层”。金额非负、最多两位小数。</w:t>
      </w:r>
    </w:p>
    <w:p>
      <w:r>
        <w:rPr>
          <w:rFonts w:ascii="Arial" w:hAnsi="Arial" w:eastAsia="宋体"/>
          <w:b w:val="0"/>
          <w:i w:val="0"/>
        </w:rPr>
        <w:t>四层是增量相加的年度收入目标：基础层＋挑战层＋管理层＋董事会层。初始四层分别16,000、1,066.67、800、533.33，合计18,400。如果只把基础层改为16,123.45且其余保持初始值，年度收入目标变为18,523.45。</w:t>
      </w:r>
    </w:p>
    <w:p>
      <w:r>
        <w:rPr>
          <w:rFonts w:ascii="Arial" w:hAnsi="Arial" w:eastAsia="宋体"/>
          <w:b w:val="0"/>
          <w:i w:val="0"/>
        </w:rPr>
        <w:t>成功保存后，清单年度及截至本期金额、年度目标汇总、月份分摊和经营分析比较都会更新。浏览器刷新后检查同一版本金额；不要以输入框暂存内容判断是否已经保存。</w:t>
      </w:r>
    </w:p>
    <w:p>
      <w:pPr>
        <w:pStyle w:val="Heading2"/>
      </w:pPr>
      <w:bookmarkStart w:id="41" w:name="epm_41"/>
      <w:r>
        <w:rPr>
          <w:rFonts w:ascii="Arial" w:hAnsi="Arial" w:eastAsia="宋体"/>
          <w:b w:val="0"/>
          <w:i w:val="0"/>
        </w:rPr>
        <w:t>10.2 使用量价驱动</w:t>
      </w:r>
      <w:bookmarkEnd w:id="41"/>
    </w:p>
    <w:p>
      <w:r>
        <w:rPr>
          <w:rFonts w:ascii="Arial" w:hAnsi="Arial" w:eastAsia="宋体"/>
          <w:b w:val="0"/>
          <w:i w:val="0"/>
        </w:rPr>
        <w:t>点击“销售量价驱动”，输入“年度销量（整数）”和“不含税单价（人民币万元）”，点击“应用并保存目标”。销量为非负整数，单价非负且最多两位小数；销量乘单价形成全年收入目标。</w:t>
      </w:r>
    </w:p>
    <w:p>
      <w:r>
        <w:rPr>
          <w:rFonts w:ascii="Arial" w:hAnsi="Arial" w:eastAsia="宋体"/>
          <w:b w:val="0"/>
          <w:i w:val="0"/>
        </w:rPr>
        <w:t>系统保留当前前三层，把新年度目标与前三层合计之间的差额放入董事会层。因此量价总额不能小于当前前三层之和，否则董事会层会变负并被拒绝。初始状态销量2,000、单价9.20对应18,400；操作时应按照自己当前版本的前三层核对，而不是套用其他版本金额。</w:t>
      </w:r>
    </w:p>
    <w:p>
      <w:pPr>
        <w:pStyle w:val="Heading2"/>
      </w:pPr>
      <w:bookmarkStart w:id="42" w:name="epm_42"/>
      <w:r>
        <w:rPr>
          <w:rFonts w:ascii="Arial" w:hAnsi="Arial" w:eastAsia="宋体"/>
          <w:b w:val="0"/>
          <w:i w:val="0"/>
        </w:rPr>
        <w:t>10.3 查看和更改全年分摊</w:t>
      </w:r>
      <w:bookmarkEnd w:id="42"/>
    </w:p>
    <w:p>
      <w:r>
        <w:rPr>
          <w:rFonts w:ascii="Arial" w:hAnsi="Arial" w:eastAsia="宋体"/>
          <w:b w:val="0"/>
          <w:i w:val="0"/>
        </w:rPr>
        <w:t>在“分摊方案”下拉中选择“均匀分摊”或“季节性权重”，选择后即执行保存。再点击“预览月份分摊”核对12个月份、权重及金额。各月保留两位小数，全年合计保持等于年度目标。</w:t>
      </w:r>
    </w:p>
    <w:p>
      <w:r>
        <w:rPr>
          <w:rFonts w:ascii="Arial" w:hAnsi="Arial" w:eastAsia="宋体"/>
          <w:b w:val="0"/>
          <w:i w:val="0"/>
        </w:rPr>
        <w:t>均匀方案按12期分摊；季节性权重为5%、5%、7%、8%、8%、9%、9%、9%、10%、10%、10%、10%。小数尾差按累计分摊处理，因此均匀方案各月可能差0.01，并非保存错误。</w:t>
      </w:r>
    </w:p>
    <w:p>
      <w:pPr>
        <w:keepNext/>
        <w:jc w:val="center"/>
      </w:pPr>
      <w:r>
        <w:drawing>
          <wp:inline xmlns:a="http://schemas.openxmlformats.org/drawingml/2006/main" xmlns:pic="http://schemas.openxmlformats.org/drawingml/2006/picture">
            <wp:extent cx="6048000" cy="3780000"/>
            <wp:docPr id="3" name="Picture 3"/>
            <wp:cNvGraphicFramePr>
              <a:graphicFrameLocks noChangeAspect="1"/>
            </wp:cNvGraphicFramePr>
            <a:graphic>
              <a:graphicData uri="http://schemas.openxmlformats.org/drawingml/2006/picture">
                <pic:pic>
                  <pic:nvPicPr>
                    <pic:cNvPr id="0" name="budget-persisted-after-restart.png"/>
                    <pic:cNvPicPr/>
                  </pic:nvPicPr>
                  <pic:blipFill>
                    <a:blip r:embed="rId13"/>
                    <a:stretch>
                      <a:fillRect/>
                    </a:stretch>
                  </pic:blipFill>
                  <pic:spPr>
                    <a:xfrm>
                      <a:off x="0" y="0"/>
                      <a:ext cx="6048000" cy="3780000"/>
                    </a:xfrm>
                    <a:prstGeom prst="rect"/>
                  </pic:spPr>
                </pic:pic>
              </a:graphicData>
            </a:graphic>
          </wp:inline>
        </w:drawing>
      </w:r>
    </w:p>
    <w:p>
      <w:pPr>
        <w:jc w:val="center"/>
      </w:pPr>
      <w:r>
        <w:rPr>
          <w:rFonts w:ascii="Arial" w:hAnsi="Arial" w:eastAsia="宋体"/>
          <w:color w:val="66758D"/>
          <w:sz w:val="18"/>
        </w:rPr>
        <w:t>图 3  预算保存与重启后的界面</w:t>
      </w:r>
    </w:p>
    <w:p>
      <w:pPr>
        <w:pStyle w:val="Heading2"/>
      </w:pPr>
      <w:bookmarkStart w:id="43" w:name="epm_43"/>
      <w:r>
        <w:rPr>
          <w:rFonts w:ascii="Arial" w:hAnsi="Arial" w:eastAsia="宋体"/>
          <w:b w:val="0"/>
          <w:i w:val="0"/>
        </w:rPr>
        <w:t>10.4 录入其他业务预算明细</w:t>
      </w:r>
      <w:bookmarkEnd w:id="43"/>
    </w:p>
    <w:p>
      <w:r>
        <w:rPr>
          <w:rFonts w:ascii="Arial" w:hAnsi="Arial" w:eastAsia="宋体"/>
          <w:b w:val="0"/>
          <w:i w:val="0"/>
        </w:rPr>
        <w:t>在预算类型中选择生产预算、采购预算、库存预算、人工预算、费用预算、资本预算或资金预算，点击“新增预算明细”。已有明细行可点击“编辑”。填写后点“保存预算明细”，成功后核对清单及当前版本。</w:t>
      </w:r>
    </w:p>
    <w:tbl>
      <w:tblPr>
        <w:tblStyle w:val="TableGrid"/>
        <w:tblW w:type="auto" w:w="0"/>
        <w:jc w:val="center"/>
        <w:tblLayout w:type="fixed"/>
        <w:tblLook w:firstColumn="1" w:firstRow="1" w:lastColumn="0" w:lastRow="0" w:noHBand="0" w:noVBand="1" w:val="04A0"/>
      </w:tblPr>
      <w:tblGrid>
        <w:gridCol w:w="2857"/>
        <w:gridCol w:w="3463"/>
        <w:gridCol w:w="3318"/>
      </w:tblGrid>
      <w:tr>
        <w:trPr>
          <w:cantSplit/>
          <w:tblHeader w:val="true"/>
        </w:trPr>
        <w:tc>
          <w:tcPr>
            <w:tcW w:type="dxa" w:w="285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346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要求</w:t>
            </w:r>
          </w:p>
        </w:tc>
        <w:tc>
          <w:tcPr>
            <w:tcW w:type="dxa" w:w="331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填写建议</w:t>
            </w:r>
          </w:p>
        </w:tc>
      </w:tr>
      <w:tr>
        <w:trPr>
          <w:cantSplit/>
        </w:trPr>
        <w:tc>
          <w:tcPr>
            <w:tcW w:type="dxa" w:w="2857"/>
            <w:vAlign w:val="top"/>
            <w:tcMar>
              <w:top w:w="65" w:type="dxa"/>
              <w:bottom w:w="65" w:type="dxa"/>
              <w:left w:w="65" w:type="dxa"/>
              <w:right w:w="65" w:type="dxa"/>
            </w:tcMar>
          </w:tcPr>
          <w:p>
            <w:pPr>
              <w:spacing w:before="30" w:after="30" w:line="252" w:lineRule="auto"/>
            </w:pPr>
            <w:r>
              <w:rPr>
                <w:rFonts w:ascii="Arial" w:hAnsi="Arial" w:eastAsia="宋体"/>
                <w:b w:val="0"/>
                <w:i w:val="0"/>
                <w:sz w:val="19"/>
              </w:rPr>
              <w:t>预算项目名称（必填）</w:t>
            </w:r>
          </w:p>
        </w:tc>
        <w:tc>
          <w:tcPr>
            <w:tcW w:type="dxa" w:w="3463"/>
            <w:vAlign w:val="top"/>
            <w:tcMar>
              <w:top w:w="65" w:type="dxa"/>
              <w:bottom w:w="65" w:type="dxa"/>
              <w:left w:w="65" w:type="dxa"/>
              <w:right w:w="65" w:type="dxa"/>
            </w:tcMar>
          </w:tcPr>
          <w:p>
            <w:pPr>
              <w:spacing w:before="30" w:after="30" w:line="252" w:lineRule="auto"/>
            </w:pPr>
            <w:r>
              <w:rPr>
                <w:rFonts w:ascii="Arial" w:hAnsi="Arial" w:eastAsia="宋体"/>
                <w:b w:val="0"/>
                <w:i w:val="0"/>
                <w:sz w:val="19"/>
              </w:rPr>
              <w:t>非空、最多100字</w:t>
            </w:r>
          </w:p>
        </w:tc>
        <w:tc>
          <w:tcPr>
            <w:tcW w:type="dxa" w:w="3318"/>
            <w:vAlign w:val="top"/>
            <w:tcMar>
              <w:top w:w="65" w:type="dxa"/>
              <w:bottom w:w="65" w:type="dxa"/>
              <w:left w:w="65" w:type="dxa"/>
              <w:right w:w="65" w:type="dxa"/>
            </w:tcMar>
          </w:tcPr>
          <w:p>
            <w:pPr>
              <w:spacing w:before="30" w:after="30" w:line="252" w:lineRule="auto"/>
            </w:pPr>
            <w:r>
              <w:rPr>
                <w:rFonts w:ascii="Arial" w:hAnsi="Arial" w:eastAsia="宋体"/>
                <w:b w:val="0"/>
                <w:i w:val="0"/>
                <w:sz w:val="19"/>
              </w:rPr>
              <w:t>写清项目或业务类别</w:t>
            </w:r>
          </w:p>
        </w:tc>
      </w:tr>
      <w:tr>
        <w:trPr>
          <w:cantSplit/>
        </w:trPr>
        <w:tc>
          <w:tcPr>
            <w:tcW w:type="dxa" w:w="2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数量</w:t>
            </w:r>
          </w:p>
        </w:tc>
        <w:tc>
          <w:tcPr>
            <w:tcW w:type="dxa" w:w="34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非负、最多两位小数</w:t>
            </w:r>
          </w:p>
        </w:tc>
        <w:tc>
          <w:tcPr>
            <w:tcW w:type="dxa" w:w="33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纯金额预算可填1</w:t>
            </w:r>
          </w:p>
        </w:tc>
      </w:tr>
      <w:tr>
        <w:trPr>
          <w:cantSplit/>
        </w:trPr>
        <w:tc>
          <w:tcPr>
            <w:tcW w:type="dxa" w:w="2857"/>
            <w:vAlign w:val="top"/>
            <w:tcMar>
              <w:top w:w="65" w:type="dxa"/>
              <w:bottom w:w="65" w:type="dxa"/>
              <w:left w:w="65" w:type="dxa"/>
              <w:right w:w="65" w:type="dxa"/>
            </w:tcMar>
          </w:tcPr>
          <w:p>
            <w:pPr>
              <w:spacing w:before="30" w:after="30" w:line="252" w:lineRule="auto"/>
            </w:pPr>
            <w:r>
              <w:rPr>
                <w:rFonts w:ascii="Arial" w:hAnsi="Arial" w:eastAsia="宋体"/>
                <w:b w:val="0"/>
                <w:i w:val="0"/>
                <w:sz w:val="19"/>
              </w:rPr>
              <w:t>单价（人民币万元）</w:t>
            </w:r>
          </w:p>
        </w:tc>
        <w:tc>
          <w:tcPr>
            <w:tcW w:type="dxa" w:w="3463"/>
            <w:vAlign w:val="top"/>
            <w:tcMar>
              <w:top w:w="65" w:type="dxa"/>
              <w:bottom w:w="65" w:type="dxa"/>
              <w:left w:w="65" w:type="dxa"/>
              <w:right w:w="65" w:type="dxa"/>
            </w:tcMar>
          </w:tcPr>
          <w:p>
            <w:pPr>
              <w:spacing w:before="30" w:after="30" w:line="252" w:lineRule="auto"/>
            </w:pPr>
            <w:r>
              <w:rPr>
                <w:rFonts w:ascii="Arial" w:hAnsi="Arial" w:eastAsia="宋体"/>
                <w:b w:val="0"/>
                <w:i w:val="0"/>
                <w:sz w:val="19"/>
              </w:rPr>
              <w:t>非负、最多两位小数</w:t>
            </w:r>
          </w:p>
        </w:tc>
        <w:tc>
          <w:tcPr>
            <w:tcW w:type="dxa" w:w="3318"/>
            <w:vAlign w:val="top"/>
            <w:tcMar>
              <w:top w:w="65" w:type="dxa"/>
              <w:bottom w:w="65" w:type="dxa"/>
              <w:left w:w="65" w:type="dxa"/>
              <w:right w:w="65" w:type="dxa"/>
            </w:tcMar>
          </w:tcPr>
          <w:p>
            <w:pPr>
              <w:spacing w:before="30" w:after="30" w:line="252" w:lineRule="auto"/>
            </w:pPr>
            <w:r>
              <w:rPr>
                <w:rFonts w:ascii="Arial" w:hAnsi="Arial" w:eastAsia="宋体"/>
                <w:b w:val="0"/>
                <w:i w:val="0"/>
                <w:sz w:val="19"/>
              </w:rPr>
              <w:t>纯金额预算填该笔金额</w:t>
            </w:r>
          </w:p>
        </w:tc>
      </w:tr>
      <w:tr>
        <w:trPr>
          <w:cantSplit/>
        </w:trPr>
        <w:tc>
          <w:tcPr>
            <w:tcW w:type="dxa" w:w="285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预算金额（数量×单价）</w:t>
            </w:r>
          </w:p>
        </w:tc>
        <w:tc>
          <w:tcPr>
            <w:tcW w:type="dxa" w:w="346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必须等于数量乘单价保留两位小数</w:t>
            </w:r>
          </w:p>
        </w:tc>
        <w:tc>
          <w:tcPr>
            <w:tcW w:type="dxa" w:w="331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修改数量或单价后系统自动带算</w:t>
            </w:r>
          </w:p>
        </w:tc>
      </w:tr>
      <w:tr>
        <w:trPr>
          <w:cantSplit/>
        </w:trPr>
        <w:tc>
          <w:tcPr>
            <w:tcW w:type="dxa" w:w="2857"/>
            <w:vAlign w:val="top"/>
            <w:tcMar>
              <w:top w:w="65" w:type="dxa"/>
              <w:bottom w:w="65" w:type="dxa"/>
              <w:left w:w="65" w:type="dxa"/>
              <w:right w:w="65" w:type="dxa"/>
            </w:tcMar>
          </w:tcPr>
          <w:p>
            <w:pPr>
              <w:spacing w:before="30" w:after="30" w:line="252" w:lineRule="auto"/>
            </w:pPr>
            <w:r>
              <w:rPr>
                <w:rFonts w:ascii="Arial" w:hAnsi="Arial" w:eastAsia="宋体"/>
                <w:b w:val="0"/>
                <w:i w:val="0"/>
                <w:sz w:val="19"/>
              </w:rPr>
              <w:t>业务说明</w:t>
            </w:r>
          </w:p>
        </w:tc>
        <w:tc>
          <w:tcPr>
            <w:tcW w:type="dxa" w:w="3463"/>
            <w:vAlign w:val="top"/>
            <w:tcMar>
              <w:top w:w="65" w:type="dxa"/>
              <w:bottom w:w="65" w:type="dxa"/>
              <w:left w:w="65" w:type="dxa"/>
              <w:right w:w="65" w:type="dxa"/>
            </w:tcMar>
          </w:tcPr>
          <w:p>
            <w:pPr>
              <w:spacing w:before="30" w:after="30" w:line="252" w:lineRule="auto"/>
            </w:pPr>
            <w:r>
              <w:rPr>
                <w:rFonts w:ascii="Arial" w:hAnsi="Arial" w:eastAsia="宋体"/>
                <w:b w:val="0"/>
                <w:i w:val="0"/>
                <w:sz w:val="19"/>
              </w:rPr>
              <w:t>可空、最多300字</w:t>
            </w:r>
          </w:p>
        </w:tc>
        <w:tc>
          <w:tcPr>
            <w:tcW w:type="dxa" w:w="3318"/>
            <w:vAlign w:val="top"/>
            <w:tcMar>
              <w:top w:w="65" w:type="dxa"/>
              <w:bottom w:w="65" w:type="dxa"/>
              <w:left w:w="65" w:type="dxa"/>
              <w:right w:w="65" w:type="dxa"/>
            </w:tcMar>
          </w:tcPr>
          <w:p>
            <w:pPr>
              <w:spacing w:before="30" w:after="30" w:line="252" w:lineRule="auto"/>
            </w:pPr>
            <w:r>
              <w:rPr>
                <w:rFonts w:ascii="Arial" w:hAnsi="Arial" w:eastAsia="宋体"/>
                <w:b w:val="0"/>
                <w:i w:val="0"/>
                <w:sz w:val="19"/>
              </w:rPr>
              <w:t>说明测算依据及演示用途</w:t>
            </w:r>
          </w:p>
        </w:tc>
      </w:tr>
    </w:tbl>
    <w:p>
      <w:pPr>
        <w:spacing w:after="40"/>
      </w:pPr>
    </w:p>
    <w:p>
      <w:r>
        <w:rPr>
          <w:rFonts w:ascii="Arial" w:hAnsi="Arial" w:eastAsia="宋体"/>
          <w:b w:val="0"/>
          <w:i w:val="0"/>
        </w:rPr>
        <w:t>例如录入费用预算“年度展会费用”，数量1、单价120，金额为120万元。若人为把金额改为999，服务端会拒绝不一致的保存。各业务预算明细按版本独立保存，复制版本时会带入。</w:t>
      </w:r>
    </w:p>
    <w:p>
      <w:r>
        <w:rPr>
          <w:rFonts w:ascii="Arial" w:hAnsi="Arial" w:eastAsia="宋体"/>
          <w:b w:val="0"/>
          <w:i w:val="0"/>
        </w:rPr>
        <w:t>“三表预算口径”用于查看年度收入和演示成本费用比较基准，未提供完整预算资产负债表、现金流自动编制模型。其他业务明细不会自动产生生产排程、采购订单、工资或真实付款，也不会自动汇入完整三表预算。</w:t>
      </w:r>
    </w:p>
    <w:p>
      <w:pPr>
        <w:pStyle w:val="Heading1"/>
      </w:pPr>
      <w:bookmarkStart w:id="44" w:name="epm_44"/>
      <w:r>
        <w:rPr>
          <w:rFonts w:ascii="Arial" w:hAnsi="Arial" w:eastAsia="宋体"/>
          <w:b w:val="0"/>
          <w:i w:val="0"/>
        </w:rPr>
        <w:t>11. 预算提交、审核、锁定与调整</w:t>
      </w:r>
      <w:bookmarkEnd w:id="44"/>
    </w:p>
    <w:p>
      <w:pPr>
        <w:pStyle w:val="Heading2"/>
      </w:pPr>
      <w:bookmarkStart w:id="45" w:name="epm_45"/>
      <w:r>
        <w:rPr>
          <w:rFonts w:ascii="Arial" w:hAnsi="Arial" w:eastAsia="宋体"/>
          <w:b w:val="0"/>
          <w:i w:val="0"/>
        </w:rPr>
        <w:t>11.1 提交、审核和锁定</w:t>
      </w:r>
      <w:bookmarkEnd w:id="45"/>
    </w:p>
    <w:p>
      <w:pPr>
        <w:ind w:left="283" w:hanging="198"/>
      </w:pPr>
      <w:r>
        <w:rPr>
          <w:rFonts w:ascii="Arial" w:hAnsi="Arial" w:eastAsia="宋体"/>
        </w:rPr>
        <w:t xml:space="preserve">1. </w:t>
      </w:r>
      <w:r>
        <w:rPr>
          <w:rFonts w:ascii="Arial" w:hAnsi="Arial" w:eastAsia="宋体"/>
          <w:b w:val="0"/>
          <w:i w:val="0"/>
        </w:rPr>
        <w:t>在编制中版本检查四层、分摊及业务明细，进入“预算周期与审批”。</w:t>
      </w:r>
    </w:p>
    <w:p>
      <w:pPr>
        <w:ind w:left="283" w:hanging="198"/>
      </w:pPr>
      <w:r>
        <w:rPr>
          <w:rFonts w:ascii="Arial" w:hAnsi="Arial" w:eastAsia="宋体"/>
        </w:rPr>
        <w:t xml:space="preserve">2. </w:t>
      </w:r>
      <w:r>
        <w:rPr>
          <w:rFonts w:ascii="Arial" w:hAnsi="Arial" w:eastAsia="宋体"/>
          <w:b w:val="0"/>
          <w:i w:val="0"/>
        </w:rPr>
        <w:t>点击“提交本版审批”，状态变为“审核中”。此后不能直接改原版本编制数据。</w:t>
      </w:r>
    </w:p>
    <w:p>
      <w:pPr>
        <w:ind w:left="283" w:hanging="198"/>
      </w:pPr>
      <w:r>
        <w:rPr>
          <w:rFonts w:ascii="Arial" w:hAnsi="Arial" w:eastAsia="宋体"/>
        </w:rPr>
        <w:t xml:space="preserve">3. </w:t>
      </w:r>
      <w:r>
        <w:rPr>
          <w:rFonts w:ascii="Arial" w:hAnsi="Arial" w:eastAsia="宋体"/>
          <w:b w:val="0"/>
          <w:i w:val="0"/>
        </w:rPr>
        <w:t>切换集团财务负责人，点击“集团审核通过”，状态变为“已审批”。</w:t>
      </w:r>
    </w:p>
    <w:p>
      <w:pPr>
        <w:ind w:left="283" w:hanging="198"/>
      </w:pPr>
      <w:r>
        <w:rPr>
          <w:rFonts w:ascii="Arial" w:hAnsi="Arial" w:eastAsia="宋体"/>
        </w:rPr>
        <w:t xml:space="preserve">4. </w:t>
      </w:r>
      <w:r>
        <w:rPr>
          <w:rFonts w:ascii="Arial" w:hAnsi="Arial" w:eastAsia="宋体"/>
          <w:b w:val="0"/>
          <w:i w:val="0"/>
        </w:rPr>
        <w:t>点击“锁定已审批版本”，状态变为“已锁定”。</w:t>
      </w:r>
    </w:p>
    <w:p>
      <w:pPr>
        <w:ind w:left="283" w:hanging="198"/>
      </w:pPr>
      <w:r>
        <w:rPr>
          <w:rFonts w:ascii="Arial" w:hAnsi="Arial" w:eastAsia="宋体"/>
        </w:rPr>
        <w:t xml:space="preserve">5. </w:t>
      </w:r>
      <w:r>
        <w:rPr>
          <w:rFonts w:ascii="Arial" w:hAnsi="Arial" w:eastAsia="宋体"/>
          <w:b w:val="0"/>
          <w:i w:val="0"/>
        </w:rPr>
        <w:t>点击“查看审批记录”，确认实际时间、角色和预算动作；也可到审计轨迹查看。</w:t>
      </w:r>
    </w:p>
    <w:p>
      <w:r>
        <w:rPr>
          <w:rFonts w:ascii="Arial" w:hAnsi="Arial" w:eastAsia="宋体"/>
          <w:b w:val="0"/>
          <w:i w:val="0"/>
        </w:rPr>
        <w:t>审核、锁定是依次执行的动作，不支持从编制中直接锁定。角色不满足或状态不正确时，系统会提示原因。不要把按钮未灰或弹窗打开理解成已经获准审批。</w:t>
      </w:r>
    </w:p>
    <w:p>
      <w:pPr>
        <w:pStyle w:val="Heading2"/>
      </w:pPr>
      <w:bookmarkStart w:id="46" w:name="epm_46"/>
      <w:r>
        <w:rPr>
          <w:rFonts w:ascii="Arial" w:hAnsi="Arial" w:eastAsia="宋体"/>
          <w:b w:val="0"/>
          <w:i w:val="0"/>
        </w:rPr>
        <w:t>11.2 发起并批准独立预算调整</w:t>
      </w:r>
      <w:bookmarkEnd w:id="46"/>
    </w:p>
    <w:p>
      <w:r>
        <w:rPr>
          <w:rFonts w:ascii="Arial" w:hAnsi="Arial" w:eastAsia="宋体"/>
          <w:b w:val="0"/>
          <w:i w:val="0"/>
        </w:rPr>
        <w:t>进入“预算调整与滚动预测”，点击“发起预算调整”。来源版本为当前活跃版本，不能在此随意改成另一个版本；要调整其他版本，先到版本清单切换。</w:t>
      </w:r>
    </w:p>
    <w:tbl>
      <w:tblPr>
        <w:tblStyle w:val="TableGrid"/>
        <w:tblW w:type="auto" w:w="0"/>
        <w:jc w:val="center"/>
        <w:tblLayout w:type="fixed"/>
        <w:tblLook w:firstColumn="1" w:firstRow="1" w:lastColumn="0" w:lastRow="0" w:noHBand="0" w:noVBand="1" w:val="04A0"/>
      </w:tblPr>
      <w:tblGrid>
        <w:gridCol w:w="4509"/>
        <w:gridCol w:w="5129"/>
      </w:tblGrid>
      <w:tr>
        <w:trPr>
          <w:cantSplit/>
          <w:tblHeader w:val="true"/>
        </w:trPr>
        <w:tc>
          <w:tcPr>
            <w:tcW w:type="dxa" w:w="450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字段</w:t>
            </w:r>
          </w:p>
        </w:tc>
        <w:tc>
          <w:tcPr>
            <w:tcW w:type="dxa" w:w="5129"/>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填写要求</w:t>
            </w:r>
          </w:p>
        </w:tc>
      </w:tr>
      <w:tr>
        <w:trPr>
          <w:cantSplit/>
        </w:trPr>
        <w:tc>
          <w:tcPr>
            <w:tcW w:type="dxa" w:w="4509"/>
            <w:vAlign w:val="top"/>
            <w:tcMar>
              <w:top w:w="65" w:type="dxa"/>
              <w:bottom w:w="65" w:type="dxa"/>
              <w:left w:w="65" w:type="dxa"/>
              <w:right w:w="65" w:type="dxa"/>
            </w:tcMar>
          </w:tcPr>
          <w:p>
            <w:pPr>
              <w:spacing w:before="30" w:after="30" w:line="252" w:lineRule="auto"/>
            </w:pPr>
            <w:r>
              <w:rPr>
                <w:rFonts w:ascii="Arial" w:hAnsi="Arial" w:eastAsia="宋体"/>
                <w:b w:val="0"/>
                <w:i w:val="0"/>
                <w:sz w:val="19"/>
              </w:rPr>
              <w:t>来源版本</w:t>
            </w:r>
          </w:p>
        </w:tc>
        <w:tc>
          <w:tcPr>
            <w:tcW w:type="dxa" w:w="5129"/>
            <w:vAlign w:val="top"/>
            <w:tcMar>
              <w:top w:w="65" w:type="dxa"/>
              <w:bottom w:w="65" w:type="dxa"/>
              <w:left w:w="65" w:type="dxa"/>
              <w:right w:w="65" w:type="dxa"/>
            </w:tcMar>
          </w:tcPr>
          <w:p>
            <w:pPr>
              <w:spacing w:before="30" w:after="30" w:line="252" w:lineRule="auto"/>
            </w:pPr>
            <w:r>
              <w:rPr>
                <w:rFonts w:ascii="Arial" w:hAnsi="Arial" w:eastAsia="宋体"/>
                <w:b w:val="0"/>
                <w:i w:val="0"/>
                <w:sz w:val="19"/>
              </w:rPr>
              <w:t>只读，核对要调整的基准版</w:t>
            </w:r>
          </w:p>
        </w:tc>
      </w:tr>
      <w:tr>
        <w:trPr>
          <w:cantSplit/>
        </w:trPr>
        <w:tc>
          <w:tcPr>
            <w:tcW w:type="dxa" w:w="45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年度收入增量（人民币万元）</w:t>
            </w:r>
          </w:p>
        </w:tc>
        <w:tc>
          <w:tcPr>
            <w:tcW w:type="dxa" w:w="51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可正可负、最多两位小数、不能为零</w:t>
            </w:r>
          </w:p>
        </w:tc>
      </w:tr>
      <w:tr>
        <w:trPr>
          <w:cantSplit/>
        </w:trPr>
        <w:tc>
          <w:tcPr>
            <w:tcW w:type="dxa" w:w="4509"/>
            <w:vAlign w:val="top"/>
            <w:tcMar>
              <w:top w:w="65" w:type="dxa"/>
              <w:bottom w:w="65" w:type="dxa"/>
              <w:left w:w="65" w:type="dxa"/>
              <w:right w:w="65" w:type="dxa"/>
            </w:tcMar>
          </w:tcPr>
          <w:p>
            <w:pPr>
              <w:spacing w:before="30" w:after="30" w:line="252" w:lineRule="auto"/>
            </w:pPr>
            <w:r>
              <w:rPr>
                <w:rFonts w:ascii="Arial" w:hAnsi="Arial" w:eastAsia="宋体"/>
                <w:b w:val="0"/>
                <w:i w:val="0"/>
                <w:sz w:val="19"/>
              </w:rPr>
              <w:t>调整预算层</w:t>
            </w:r>
          </w:p>
        </w:tc>
        <w:tc>
          <w:tcPr>
            <w:tcW w:type="dxa" w:w="5129"/>
            <w:vAlign w:val="top"/>
            <w:tcMar>
              <w:top w:w="65" w:type="dxa"/>
              <w:bottom w:w="65" w:type="dxa"/>
              <w:left w:w="65" w:type="dxa"/>
              <w:right w:w="65" w:type="dxa"/>
            </w:tcMar>
          </w:tcPr>
          <w:p>
            <w:pPr>
              <w:spacing w:before="30" w:after="30" w:line="252" w:lineRule="auto"/>
            </w:pPr>
            <w:r>
              <w:rPr>
                <w:rFonts w:ascii="Arial" w:hAnsi="Arial" w:eastAsia="宋体"/>
                <w:b w:val="0"/>
                <w:i w:val="0"/>
                <w:sz w:val="19"/>
              </w:rPr>
              <w:t>从四层中选择</w:t>
            </w:r>
          </w:p>
        </w:tc>
      </w:tr>
      <w:tr>
        <w:trPr>
          <w:cantSplit/>
        </w:trPr>
        <w:tc>
          <w:tcPr>
            <w:tcW w:type="dxa" w:w="450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调整原因（必填）</w:t>
            </w:r>
          </w:p>
        </w:tc>
        <w:tc>
          <w:tcPr>
            <w:tcW w:type="dxa" w:w="5129"/>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非空、最多500字，说明业务理由</w:t>
            </w:r>
          </w:p>
        </w:tc>
      </w:tr>
    </w:tbl>
    <w:p>
      <w:pPr>
        <w:spacing w:after="40"/>
      </w:pPr>
    </w:p>
    <w:p>
      <w:r>
        <w:rPr>
          <w:rFonts w:ascii="Arial" w:hAnsi="Arial" w:eastAsia="宋体"/>
          <w:b w:val="0"/>
          <w:i w:val="0"/>
        </w:rPr>
        <w:t>点击“保存调整申请”，系统记录来源快照，原版金额保持不变。负责人点击该申请“查看与审批”，确认层级、增量和原因后，“批准并生成新版本”。系统生成已审批的独立调整版本并切换到它；源版本仍可在清单中查看。</w:t>
      </w:r>
    </w:p>
    <w:p>
      <w:r>
        <w:rPr>
          <w:rFonts w:ascii="Arial" w:hAnsi="Arial" w:eastAsia="宋体"/>
          <w:b w:val="0"/>
          <w:i w:val="0"/>
        </w:rPr>
        <w:t>负向调整不能使所选层金额小于零。调整不是在审批时直接覆盖当时活跃的其他版本，而是基于申请时保存的来源快照。批准前若已切换版本，仍应在申请详情中认真确认原版本。</w:t>
      </w:r>
    </w:p>
    <w:p>
      <w:r>
        <w:rPr>
          <w:rFonts w:ascii="Arial" w:hAnsi="Arial" w:eastAsia="宋体"/>
          <w:b w:val="0"/>
          <w:i w:val="0"/>
        </w:rPr>
        <w:t>点击“退回申请”会将申请改为已退回，并记录本轮固定退回说明。已处理申请不能反复批准。需要重新发起时，确认版本后另建申请，不要认为退回自动恢复原版可编辑。</w:t>
      </w:r>
    </w:p>
    <w:p>
      <w:pPr>
        <w:pStyle w:val="Heading2"/>
      </w:pPr>
      <w:bookmarkStart w:id="47" w:name="epm_47"/>
      <w:r>
        <w:rPr>
          <w:rFonts w:ascii="Arial" w:hAnsi="Arial" w:eastAsia="宋体"/>
          <w:b w:val="0"/>
          <w:i w:val="0"/>
        </w:rPr>
        <w:t>11.3 滚动预测和版本比较</w:t>
      </w:r>
      <w:bookmarkEnd w:id="47"/>
    </w:p>
    <w:p>
      <w:r>
        <w:rPr>
          <w:rFonts w:ascii="Arial" w:hAnsi="Arial" w:eastAsia="宋体"/>
          <w:b w:val="0"/>
          <w:i w:val="0"/>
        </w:rPr>
        <w:t>“创建滚动预测版本”或“创建预测版本”会复制当前快照为独立编制草稿，情景为滚动预测。它不是自动读取未来订单的预测引擎，未来业务假设仍需人工录入。</w:t>
      </w:r>
    </w:p>
    <w:p>
      <w:r>
        <w:rPr>
          <w:rFonts w:ascii="Arial" w:hAnsi="Arial" w:eastAsia="宋体"/>
          <w:b w:val="0"/>
          <w:i w:val="0"/>
        </w:rPr>
        <w:t>在“版本与多情景”点击“比较版本”查看各版年度目标和状态；点击“切换本版”载入完整快照。切换后预算编制、审批、经营分析比较都使用新活跃版本。保存后重启也保留这个选择，演示时应向其他同机操作者说明当前比较基准。</w:t>
      </w:r>
    </w:p>
    <w:p>
      <w:pPr>
        <w:pStyle w:val="Heading1"/>
      </w:pPr>
      <w:bookmarkStart w:id="48" w:name="epm_48"/>
      <w:r>
        <w:rPr>
          <w:rFonts w:ascii="Arial" w:hAnsi="Arial" w:eastAsia="宋体"/>
          <w:b w:val="0"/>
          <w:i w:val="0"/>
        </w:rPr>
        <w:t>12. 经营分析、驾驶舱与管理报表</w:t>
      </w:r>
      <w:bookmarkEnd w:id="48"/>
    </w:p>
    <w:p>
      <w:pPr>
        <w:pStyle w:val="Heading2"/>
      </w:pPr>
      <w:bookmarkStart w:id="49" w:name="epm_49"/>
      <w:r>
        <w:rPr>
          <w:rFonts w:ascii="Arial" w:hAnsi="Arial" w:eastAsia="宋体"/>
          <w:b w:val="0"/>
          <w:i w:val="0"/>
        </w:rPr>
        <w:t>12.1 查看经营驾驶舱</w:t>
      </w:r>
      <w:bookmarkEnd w:id="49"/>
    </w:p>
    <w:p>
      <w:r>
        <w:rPr>
          <w:rFonts w:ascii="Arial" w:hAnsi="Arial" w:eastAsia="宋体"/>
          <w:b w:val="0"/>
          <w:i w:val="0"/>
        </w:rPr>
        <w:t>“集团经营总览”汇集累计营业收入、累计净利润、经营现金净额和资产负债率。收入趋势折线显示各月发生额，而卡片和财务报表显示截至当前期间累计数。点击趋势节点可查看该月金额，不应将一个月节点与累计卡片直接比较。</w:t>
      </w:r>
    </w:p>
    <w:p>
      <w:r>
        <w:rPr>
          <w:rFonts w:ascii="Arial" w:hAnsi="Arial" w:eastAsia="宋体"/>
          <w:b w:val="0"/>
          <w:i w:val="0"/>
        </w:rPr>
        <w:t>法人经营贡献图为抵销前口径，集团合并结果另加适用抵销和调整。工作台中的处理入口可进入内部核对、凭证和预算审批；关账进度由本期任务状态决定，不表示所有生产功能已完成建设。</w:t>
      </w:r>
    </w:p>
    <w:p>
      <w:pPr>
        <w:pStyle w:val="Heading2"/>
      </w:pPr>
      <w:bookmarkStart w:id="50" w:name="epm_50"/>
      <w:r>
        <w:rPr>
          <w:rFonts w:ascii="Arial" w:hAnsi="Arial" w:eastAsia="宋体"/>
          <w:b w:val="0"/>
          <w:i w:val="0"/>
        </w:rPr>
        <w:t>12.2 预实差异与钻取</w:t>
      </w:r>
      <w:bookmarkEnd w:id="50"/>
    </w:p>
    <w:p>
      <w:r>
        <w:rPr>
          <w:rFonts w:ascii="Arial" w:hAnsi="Arial" w:eastAsia="宋体"/>
          <w:b w:val="0"/>
          <w:i w:val="0"/>
        </w:rPr>
        <w:t>进入“经营差异与钻取”，先核对期间、法人范围、币种及“比较基准”版本。点击收入、净利润、毛利额、期间费用卡片中的“钻取”，查看法人来源与调整；法人明细“查看经营构成”可打开该法人报送指标。</w:t>
      </w:r>
    </w:p>
    <w:p>
      <w:r>
        <w:rPr>
          <w:rFonts w:ascii="Arial" w:hAnsi="Arial" w:eastAsia="宋体"/>
          <w:b w:val="0"/>
          <w:i w:val="0"/>
        </w:rPr>
        <w:t>利润差异桥由预算利润出发，叠加收入、成本、费用、财税影响到实际利润。点击图形可查看口径说明。当前销售预算使用保存的目标版本；成本费用等比较使用固定演示基准，不能把一条业务费用预算明细当作已自动改变整个利润预算。</w:t>
      </w:r>
    </w:p>
    <w:p>
      <w:pPr>
        <w:keepNext/>
        <w:jc w:val="center"/>
      </w:pPr>
      <w:r>
        <w:drawing>
          <wp:inline xmlns:a="http://schemas.openxmlformats.org/drawingml/2006/main" xmlns:pic="http://schemas.openxmlformats.org/drawingml/2006/picture">
            <wp:extent cx="6048000" cy="4622940"/>
            <wp:docPr id="4" name="Picture 4"/>
            <wp:cNvGraphicFramePr>
              <a:graphicFrameLocks noChangeAspect="1"/>
            </wp:cNvGraphicFramePr>
            <a:graphic>
              <a:graphicData uri="http://schemas.openxmlformats.org/drawingml/2006/picture">
                <pic:pic>
                  <pic:nvPicPr>
                    <pic:cNvPr id="0" name="analysis.png"/>
                    <pic:cNvPicPr/>
                  </pic:nvPicPr>
                  <pic:blipFill>
                    <a:blip r:embed="rId14"/>
                    <a:stretch>
                      <a:fillRect/>
                    </a:stretch>
                  </pic:blipFill>
                  <pic:spPr>
                    <a:xfrm>
                      <a:off x="0" y="0"/>
                      <a:ext cx="6048000" cy="4622940"/>
                    </a:xfrm>
                    <a:prstGeom prst="rect"/>
                  </pic:spPr>
                </pic:pic>
              </a:graphicData>
            </a:graphic>
          </wp:inline>
        </w:drawing>
      </w:r>
    </w:p>
    <w:p>
      <w:pPr>
        <w:jc w:val="center"/>
      </w:pPr>
      <w:r>
        <w:rPr>
          <w:rFonts w:ascii="Arial" w:hAnsi="Arial" w:eastAsia="宋体"/>
          <w:color w:val="66758D"/>
          <w:sz w:val="18"/>
        </w:rPr>
        <w:t>图 4  经营分析与钻取</w:t>
      </w:r>
    </w:p>
    <w:p>
      <w:pPr>
        <w:pStyle w:val="Heading2"/>
      </w:pPr>
      <w:bookmarkStart w:id="51" w:name="epm_51"/>
      <w:r>
        <w:rPr>
          <w:rFonts w:ascii="Arial" w:hAnsi="Arial" w:eastAsia="宋体"/>
          <w:b w:val="0"/>
          <w:i w:val="0"/>
        </w:rPr>
        <w:t>12.3 导出与管理报表入口</w:t>
      </w:r>
      <w:bookmarkEnd w:id="51"/>
    </w:p>
    <w:p>
      <w:r>
        <w:rPr>
          <w:rFonts w:ascii="Arial" w:hAnsi="Arial" w:eastAsia="宋体"/>
          <w:b w:val="0"/>
          <w:i w:val="0"/>
        </w:rPr>
        <w:t>点击“导出经营分析”导出当前口径已保存的经营摘要。“管理报表中心”提供集团合并报表、经营分析、关账签核、内部往来说明、法人报送追踪和预算执行报告的入口，点击“打开报表”跳转到相应实际页面。</w:t>
      </w:r>
    </w:p>
    <w:p>
      <w:r>
        <w:rPr>
          <w:rFonts w:ascii="Arial" w:hAnsi="Arial" w:eastAsia="宋体"/>
          <w:b w:val="0"/>
          <w:i w:val="0"/>
        </w:rPr>
        <w:t>“打印当前视图”调用浏览器打印，可由浏览器选择打印机或另存为PDF。它不会自动生成所有模块合并成册的管理报告。对外转发前应保留演示标识、期间、范围和单位，防止把虚构数字误作正式经营报告。</w:t>
      </w:r>
    </w:p>
    <w:p>
      <w:pPr>
        <w:pStyle w:val="Heading1"/>
      </w:pPr>
      <w:bookmarkStart w:id="52" w:name="epm_52"/>
      <w:r>
        <w:rPr>
          <w:rFonts w:ascii="Arial" w:hAnsi="Arial" w:eastAsia="宋体"/>
          <w:b w:val="0"/>
          <w:i w:val="0"/>
        </w:rPr>
        <w:t>13. 关账校验、签核与重新打开期间</w:t>
      </w:r>
      <w:bookmarkEnd w:id="52"/>
    </w:p>
    <w:p>
      <w:pPr>
        <w:pStyle w:val="Heading2"/>
      </w:pPr>
      <w:bookmarkStart w:id="53" w:name="epm_53"/>
      <w:r>
        <w:rPr>
          <w:rFonts w:ascii="Arial" w:hAnsi="Arial" w:eastAsia="宋体"/>
          <w:b w:val="0"/>
          <w:i w:val="0"/>
        </w:rPr>
        <w:t>13.1 签核前必须完成的事项</w:t>
      </w:r>
      <w:bookmarkEnd w:id="53"/>
    </w:p>
    <w:tbl>
      <w:tblPr>
        <w:tblStyle w:val="TableGrid"/>
        <w:tblW w:type="auto" w:w="0"/>
        <w:jc w:val="center"/>
        <w:tblLayout w:type="fixed"/>
        <w:tblLook w:firstColumn="1" w:firstRow="1" w:lastColumn="0" w:lastRow="0" w:noHBand="0" w:noVBand="1" w:val="04A0"/>
      </w:tblPr>
      <w:tblGrid>
        <w:gridCol w:w="2337"/>
        <w:gridCol w:w="3995"/>
        <w:gridCol w:w="3306"/>
      </w:tblGrid>
      <w:tr>
        <w:trPr>
          <w:cantSplit/>
          <w:tblHeader w:val="true"/>
        </w:trPr>
        <w:tc>
          <w:tcPr>
            <w:tcW w:type="dxa" w:w="2337"/>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前置条件</w:t>
            </w:r>
          </w:p>
        </w:tc>
        <w:tc>
          <w:tcPr>
            <w:tcW w:type="dxa" w:w="3995"/>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可操作位置</w:t>
            </w:r>
          </w:p>
        </w:tc>
        <w:tc>
          <w:tcPr>
            <w:tcW w:type="dxa" w:w="3306"/>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完成标志</w:t>
            </w:r>
          </w:p>
        </w:tc>
      </w:tr>
      <w:tr>
        <w:trPr>
          <w:cantSplit/>
        </w:trPr>
        <w:tc>
          <w:tcPr>
            <w:tcW w:type="dxa" w:w="2337"/>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法人报送复核接收</w:t>
            </w:r>
          </w:p>
        </w:tc>
        <w:tc>
          <w:tcPr>
            <w:tcW w:type="dxa" w:w="3995"/>
            <w:vAlign w:val="top"/>
            <w:tcMar>
              <w:top w:w="65" w:type="dxa"/>
              <w:bottom w:w="65" w:type="dxa"/>
              <w:left w:w="65" w:type="dxa"/>
              <w:right w:w="65" w:type="dxa"/>
            </w:tcMar>
          </w:tcPr>
          <w:p>
            <w:pPr>
              <w:spacing w:before="30" w:after="30" w:line="252" w:lineRule="auto"/>
            </w:pPr>
            <w:r>
              <w:rPr>
                <w:rFonts w:ascii="Arial" w:hAnsi="Arial" w:eastAsia="宋体"/>
                <w:b w:val="0"/>
                <w:i w:val="0"/>
                <w:sz w:val="19"/>
              </w:rPr>
              <w:t>试算平衡报送，或关账页“复核报送”</w:t>
            </w:r>
          </w:p>
        </w:tc>
        <w:tc>
          <w:tcPr>
            <w:tcW w:type="dxa" w:w="3306"/>
            <w:vAlign w:val="top"/>
            <w:tcMar>
              <w:top w:w="65" w:type="dxa"/>
              <w:bottom w:w="65" w:type="dxa"/>
              <w:left w:w="65" w:type="dxa"/>
              <w:right w:w="65" w:type="dxa"/>
            </w:tcMar>
          </w:tcPr>
          <w:p>
            <w:pPr>
              <w:spacing w:before="30" w:after="30" w:line="252" w:lineRule="auto"/>
            </w:pPr>
            <w:r>
              <w:rPr>
                <w:rFonts w:ascii="Arial" w:hAnsi="Arial" w:eastAsia="宋体"/>
                <w:b w:val="0"/>
                <w:i w:val="0"/>
                <w:sz w:val="19"/>
              </w:rPr>
              <w:t>本期报送已接收</w:t>
            </w:r>
          </w:p>
        </w:tc>
      </w:tr>
      <w:tr>
        <w:trPr>
          <w:cantSplit/>
        </w:trPr>
        <w:tc>
          <w:tcPr>
            <w:tcW w:type="dxa" w:w="2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内部交易说明</w:t>
            </w:r>
          </w:p>
        </w:tc>
        <w:tc>
          <w:tcPr>
            <w:tcW w:type="dxa" w:w="39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内部往来核对，或关账页“内部差异说明”</w:t>
            </w:r>
          </w:p>
        </w:tc>
        <w:tc>
          <w:tcPr>
            <w:tcW w:type="dxa" w:w="33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说明已确认</w:t>
            </w:r>
          </w:p>
        </w:tc>
      </w:tr>
      <w:tr>
        <w:trPr>
          <w:cantSplit/>
        </w:trPr>
        <w:tc>
          <w:tcPr>
            <w:tcW w:type="dxa" w:w="2337"/>
            <w:vAlign w:val="top"/>
            <w:tcMar>
              <w:top w:w="65" w:type="dxa"/>
              <w:bottom w:w="65" w:type="dxa"/>
              <w:left w:w="65" w:type="dxa"/>
              <w:right w:w="65" w:type="dxa"/>
            </w:tcMar>
          </w:tcPr>
          <w:p>
            <w:pPr>
              <w:spacing w:before="30" w:after="30" w:line="252" w:lineRule="auto"/>
            </w:pPr>
            <w:r>
              <w:rPr>
                <w:rFonts w:ascii="Arial" w:hAnsi="Arial" w:eastAsia="宋体"/>
                <w:b w:val="0"/>
                <w:i w:val="0"/>
                <w:sz w:val="19"/>
              </w:rPr>
              <w:t>经营差异说明</w:t>
            </w:r>
          </w:p>
        </w:tc>
        <w:tc>
          <w:tcPr>
            <w:tcW w:type="dxa" w:w="3995"/>
            <w:vAlign w:val="top"/>
            <w:tcMar>
              <w:top w:w="65" w:type="dxa"/>
              <w:bottom w:w="65" w:type="dxa"/>
              <w:left w:w="65" w:type="dxa"/>
              <w:right w:w="65" w:type="dxa"/>
            </w:tcMar>
          </w:tcPr>
          <w:p>
            <w:pPr>
              <w:spacing w:before="30" w:after="30" w:line="252" w:lineRule="auto"/>
            </w:pPr>
            <w:r>
              <w:rPr>
                <w:rFonts w:ascii="Arial" w:hAnsi="Arial" w:eastAsia="宋体"/>
                <w:b w:val="0"/>
                <w:i w:val="0"/>
                <w:sz w:val="19"/>
              </w:rPr>
              <w:t>关账页“填写经营说明”</w:t>
            </w:r>
          </w:p>
        </w:tc>
        <w:tc>
          <w:tcPr>
            <w:tcW w:type="dxa" w:w="3306"/>
            <w:vAlign w:val="top"/>
            <w:tcMar>
              <w:top w:w="65" w:type="dxa"/>
              <w:bottom w:w="65" w:type="dxa"/>
              <w:left w:w="65" w:type="dxa"/>
              <w:right w:w="65" w:type="dxa"/>
            </w:tcMar>
          </w:tcPr>
          <w:p>
            <w:pPr>
              <w:spacing w:before="30" w:after="30" w:line="252" w:lineRule="auto"/>
            </w:pPr>
            <w:r>
              <w:rPr>
                <w:rFonts w:ascii="Arial" w:hAnsi="Arial" w:eastAsia="宋体"/>
                <w:b w:val="0"/>
                <w:i w:val="0"/>
                <w:sz w:val="19"/>
              </w:rPr>
              <w:t>说明非空并已保存</w:t>
            </w:r>
          </w:p>
        </w:tc>
      </w:tr>
      <w:tr>
        <w:trPr>
          <w:cantSplit/>
        </w:trPr>
        <w:tc>
          <w:tcPr>
            <w:tcW w:type="dxa" w:w="2337"/>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本期有效财务校验</w:t>
            </w:r>
          </w:p>
        </w:tc>
        <w:tc>
          <w:tcPr>
            <w:tcW w:type="dxa" w:w="3995"/>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关账页“运行关账校验”</w:t>
            </w:r>
          </w:p>
        </w:tc>
        <w:tc>
          <w:tcPr>
            <w:tcW w:type="dxa" w:w="3306"/>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规则通过且校验仍对应当前数据</w:t>
            </w:r>
          </w:p>
        </w:tc>
      </w:tr>
      <w:tr>
        <w:trPr>
          <w:cantSplit/>
        </w:trPr>
        <w:tc>
          <w:tcPr>
            <w:tcW w:type="dxa" w:w="2337"/>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负责人身份</w:t>
            </w:r>
          </w:p>
        </w:tc>
        <w:tc>
          <w:tcPr>
            <w:tcW w:type="dxa" w:w="3995"/>
            <w:vAlign w:val="top"/>
            <w:tcMar>
              <w:top w:w="65" w:type="dxa"/>
              <w:bottom w:w="65" w:type="dxa"/>
              <w:left w:w="65" w:type="dxa"/>
              <w:right w:w="65" w:type="dxa"/>
            </w:tcMar>
          </w:tcPr>
          <w:p>
            <w:pPr>
              <w:spacing w:before="30" w:after="30" w:line="252" w:lineRule="auto"/>
            </w:pPr>
            <w:r>
              <w:rPr>
                <w:rFonts w:ascii="Arial" w:hAnsi="Arial" w:eastAsia="宋体"/>
                <w:b w:val="0"/>
                <w:i w:val="0"/>
                <w:sz w:val="19"/>
              </w:rPr>
              <w:t>组织权限切换演示角色</w:t>
            </w:r>
          </w:p>
        </w:tc>
        <w:tc>
          <w:tcPr>
            <w:tcW w:type="dxa" w:w="3306"/>
            <w:vAlign w:val="top"/>
            <w:tcMar>
              <w:top w:w="65" w:type="dxa"/>
              <w:bottom w:w="65" w:type="dxa"/>
              <w:left w:w="65" w:type="dxa"/>
              <w:right w:w="65" w:type="dxa"/>
            </w:tcMar>
          </w:tcPr>
          <w:p>
            <w:pPr>
              <w:spacing w:before="30" w:after="30" w:line="252" w:lineRule="auto"/>
            </w:pPr>
            <w:r>
              <w:rPr>
                <w:rFonts w:ascii="Arial" w:hAnsi="Arial" w:eastAsia="宋体"/>
                <w:b w:val="0"/>
                <w:i w:val="0"/>
                <w:sz w:val="19"/>
              </w:rPr>
              <w:t>集团财务负责人</w:t>
            </w:r>
          </w:p>
        </w:tc>
      </w:tr>
    </w:tbl>
    <w:p>
      <w:pPr>
        <w:spacing w:after="40"/>
      </w:pPr>
    </w:p>
    <w:p>
      <w:r>
        <w:rPr>
          <w:rFonts w:ascii="Arial" w:hAnsi="Arial" w:eastAsia="宋体"/>
          <w:b w:val="0"/>
          <w:i w:val="0"/>
        </w:rPr>
        <w:t>经营差异说明最多3,000字，应说明本期收入、利润、预算偏差和需跟踪事项。它保存到当前集团和期间，不会自动复制成下一月说明。默认内部说明可按实际演示情况改写，不应直接保留不符合案例的文字。</w:t>
      </w:r>
    </w:p>
    <w:p>
      <w:pPr>
        <w:pStyle w:val="Heading2"/>
      </w:pPr>
      <w:bookmarkStart w:id="54" w:name="epm_54"/>
      <w:r>
        <w:rPr>
          <w:rFonts w:ascii="Arial" w:hAnsi="Arial" w:eastAsia="宋体"/>
          <w:b w:val="0"/>
          <w:i w:val="0"/>
        </w:rPr>
        <w:t>13.2 完成签核</w:t>
      </w:r>
      <w:bookmarkEnd w:id="54"/>
    </w:p>
    <w:p>
      <w:pPr>
        <w:ind w:left="283" w:hanging="198"/>
      </w:pPr>
      <w:r>
        <w:rPr>
          <w:rFonts w:ascii="Arial" w:hAnsi="Arial" w:eastAsia="宋体"/>
        </w:rPr>
        <w:t xml:space="preserve">1. </w:t>
      </w:r>
      <w:r>
        <w:rPr>
          <w:rFonts w:ascii="Arial" w:hAnsi="Arial" w:eastAsia="宋体"/>
          <w:b w:val="0"/>
          <w:i w:val="0"/>
        </w:rPr>
        <w:t>确认目标集团及月份，例如主集团2026年09期。</w:t>
      </w:r>
    </w:p>
    <w:p>
      <w:pPr>
        <w:ind w:left="283" w:hanging="198"/>
      </w:pPr>
      <w:r>
        <w:rPr>
          <w:rFonts w:ascii="Arial" w:hAnsi="Arial" w:eastAsia="宋体"/>
        </w:rPr>
        <w:t xml:space="preserve">2. </w:t>
      </w:r>
      <w:r>
        <w:rPr>
          <w:rFonts w:ascii="Arial" w:hAnsi="Arial" w:eastAsia="宋体"/>
          <w:b w:val="0"/>
          <w:i w:val="0"/>
        </w:rPr>
        <w:t>完成上表报送、内部说明和经营说明。</w:t>
      </w:r>
    </w:p>
    <w:p>
      <w:pPr>
        <w:ind w:left="283" w:hanging="198"/>
      </w:pPr>
      <w:r>
        <w:rPr>
          <w:rFonts w:ascii="Arial" w:hAnsi="Arial" w:eastAsia="宋体"/>
        </w:rPr>
        <w:t xml:space="preserve">3. </w:t>
      </w:r>
      <w:r>
        <w:rPr>
          <w:rFonts w:ascii="Arial" w:hAnsi="Arial" w:eastAsia="宋体"/>
          <w:b w:val="0"/>
          <w:i w:val="0"/>
        </w:rPr>
        <w:t>点击“运行关账校验”，查看实际规则及差额；有未通过项先查报送和凭证。</w:t>
      </w:r>
    </w:p>
    <w:p>
      <w:pPr>
        <w:ind w:left="283" w:hanging="198"/>
      </w:pPr>
      <w:r>
        <w:rPr>
          <w:rFonts w:ascii="Arial" w:hAnsi="Arial" w:eastAsia="宋体"/>
        </w:rPr>
        <w:t xml:space="preserve">4. </w:t>
      </w:r>
      <w:r>
        <w:rPr>
          <w:rFonts w:ascii="Arial" w:hAnsi="Arial" w:eastAsia="宋体"/>
          <w:b w:val="0"/>
          <w:i w:val="0"/>
        </w:rPr>
        <w:t>确认校验后未再修改财务数据，以集团财务负责人点击“确认并签核”。</w:t>
      </w:r>
    </w:p>
    <w:p>
      <w:pPr>
        <w:ind w:left="283" w:hanging="198"/>
      </w:pPr>
      <w:r>
        <w:rPr>
          <w:rFonts w:ascii="Arial" w:hAnsi="Arial" w:eastAsia="宋体"/>
        </w:rPr>
        <w:t xml:space="preserve">5. </w:t>
      </w:r>
      <w:r>
        <w:rPr>
          <w:rFonts w:ascii="Arial" w:hAnsi="Arial" w:eastAsia="宋体"/>
          <w:b w:val="0"/>
          <w:i w:val="0"/>
        </w:rPr>
        <w:t>成功后显示本期已签核和签核时间，相关财务修改受保护。</w:t>
      </w:r>
    </w:p>
    <w:p>
      <w:r>
        <w:rPr>
          <w:rFonts w:ascii="Arial" w:hAnsi="Arial" w:eastAsia="宋体"/>
          <w:b w:val="0"/>
          <w:i w:val="0"/>
        </w:rPr>
        <w:t>“查看关账日历”展示本期任务、责任角色和当前完成状态，不是可任意拖动的生产排程日历。未满足前置条件时，系统会拒绝签核并给出中文原因；不要通过重复点击绕过。</w:t>
      </w:r>
    </w:p>
    <w:p>
      <w:pPr>
        <w:keepNext/>
        <w:jc w:val="center"/>
      </w:pPr>
      <w:r>
        <w:drawing>
          <wp:inline xmlns:a="http://schemas.openxmlformats.org/drawingml/2006/main" xmlns:pic="http://schemas.openxmlformats.org/drawingml/2006/picture">
            <wp:extent cx="6048000" cy="5530140"/>
            <wp:docPr id="5" name="Picture 5"/>
            <wp:cNvGraphicFramePr>
              <a:graphicFrameLocks noChangeAspect="1"/>
            </wp:cNvGraphicFramePr>
            <a:graphic>
              <a:graphicData uri="http://schemas.openxmlformats.org/drawingml/2006/picture">
                <pic:pic>
                  <pic:nvPicPr>
                    <pic:cNvPr id="0" name="closing-signed.png"/>
                    <pic:cNvPicPr/>
                  </pic:nvPicPr>
                  <pic:blipFill>
                    <a:blip r:embed="rId15"/>
                    <a:stretch>
                      <a:fillRect/>
                    </a:stretch>
                  </pic:blipFill>
                  <pic:spPr>
                    <a:xfrm>
                      <a:off x="0" y="0"/>
                      <a:ext cx="6048000" cy="5530140"/>
                    </a:xfrm>
                    <a:prstGeom prst="rect"/>
                  </pic:spPr>
                </pic:pic>
              </a:graphicData>
            </a:graphic>
          </wp:inline>
        </w:drawing>
      </w:r>
    </w:p>
    <w:p>
      <w:pPr>
        <w:jc w:val="center"/>
      </w:pPr>
      <w:r>
        <w:rPr>
          <w:rFonts w:ascii="Arial" w:hAnsi="Arial" w:eastAsia="宋体"/>
          <w:color w:val="66758D"/>
          <w:sz w:val="18"/>
        </w:rPr>
        <w:t>图 5  关账签核界面</w:t>
      </w:r>
    </w:p>
    <w:p>
      <w:pPr>
        <w:pStyle w:val="Heading2"/>
      </w:pPr>
      <w:bookmarkStart w:id="55" w:name="epm_55"/>
      <w:r>
        <w:rPr>
          <w:rFonts w:ascii="Arial" w:hAnsi="Arial" w:eastAsia="宋体"/>
          <w:b w:val="0"/>
          <w:i w:val="0"/>
        </w:rPr>
        <w:t>13.3 为什么刚通过的校验会失效</w:t>
      </w:r>
      <w:bookmarkEnd w:id="55"/>
    </w:p>
    <w:p>
      <w:r>
        <w:rPr>
          <w:rFonts w:ascii="Arial" w:hAnsi="Arial" w:eastAsia="宋体"/>
          <w:b w:val="0"/>
          <w:i w:val="0"/>
        </w:rPr>
        <w:t>CSV导入、凭证审批及相关主数据变更会改变财务来源。系统会使旧校验、报送确认和内部核对状态失效，要求重新确认。预算金额变化与实际财务源不同，不应把预算审批当作财务关账的替代步骤。</w:t>
      </w:r>
    </w:p>
    <w:p>
      <w:r>
        <w:rPr>
          <w:rFonts w:ascii="Arial" w:hAnsi="Arial" w:eastAsia="宋体"/>
          <w:b w:val="0"/>
          <w:i w:val="0"/>
        </w:rPr>
        <w:t>各月份状态独立保存。9期已签核不代表8期已签核；切换集团或月份后，必须查看对应流程。涉及共享同月财务源时，另一关联集团已经签核也可能阻止当月修改；按提示先由负责人重新打开关联范围。</w:t>
      </w:r>
    </w:p>
    <w:p>
      <w:pPr>
        <w:pStyle w:val="Heading2"/>
      </w:pPr>
      <w:bookmarkStart w:id="56" w:name="epm_56"/>
      <w:r>
        <w:rPr>
          <w:rFonts w:ascii="Arial" w:hAnsi="Arial" w:eastAsia="宋体"/>
          <w:b w:val="0"/>
          <w:i w:val="0"/>
        </w:rPr>
        <w:t>13.4 重新打开期间</w:t>
      </w:r>
      <w:bookmarkEnd w:id="56"/>
    </w:p>
    <w:p>
      <w:r>
        <w:rPr>
          <w:rFonts w:ascii="Arial" w:hAnsi="Arial" w:eastAsia="宋体"/>
          <w:b w:val="0"/>
          <w:i w:val="0"/>
        </w:rPr>
        <w:t>在已签核期间点击“重新打开期间”，填写“重新打开原因（必填）”，点击“确认重新打开”。原因非空、最多500字。成功后可以按角色修改允许的数据，原校验与确认需要重新执行。</w:t>
      </w:r>
    </w:p>
    <w:p>
      <w:r>
        <w:rPr>
          <w:rFonts w:ascii="Arial" w:hAnsi="Arial" w:eastAsia="宋体"/>
          <w:b w:val="0"/>
          <w:i w:val="0"/>
        </w:rPr>
        <w:t>重新打开不会删除历史凭证或还原财务金额，也不会撤销预算锁定。完成修改后，重新复核报送、确认内部说明、核对经营说明、运行校验并再次签核。重新打开和后续动作会留在审计轨迹中。</w:t>
      </w:r>
    </w:p>
    <w:p>
      <w:pPr>
        <w:pStyle w:val="Heading1"/>
      </w:pPr>
      <w:bookmarkStart w:id="57" w:name="epm_57"/>
      <w:r>
        <w:rPr>
          <w:rFonts w:ascii="Arial" w:hAnsi="Arial" w:eastAsia="宋体"/>
          <w:b w:val="0"/>
          <w:i w:val="0"/>
        </w:rPr>
        <w:t>14. 审计轨迹与集团配置</w:t>
      </w:r>
      <w:bookmarkEnd w:id="57"/>
    </w:p>
    <w:p>
      <w:pPr>
        <w:pStyle w:val="Heading2"/>
      </w:pPr>
      <w:bookmarkStart w:id="58" w:name="epm_58"/>
      <w:r>
        <w:rPr>
          <w:rFonts w:ascii="Arial" w:hAnsi="Arial" w:eastAsia="宋体"/>
          <w:b w:val="0"/>
          <w:i w:val="0"/>
        </w:rPr>
        <w:t>14.1 查看和导出实际操作记录</w:t>
      </w:r>
      <w:bookmarkEnd w:id="58"/>
    </w:p>
    <w:p>
      <w:r>
        <w:rPr>
          <w:rFonts w:ascii="Arial" w:hAnsi="Arial" w:eastAsia="宋体"/>
          <w:b w:val="0"/>
          <w:i w:val="0"/>
        </w:rPr>
        <w:t>进入“审计轨迹”，查看时间、角色、中文动作及业务对象。记录由保存和审批事务生成，例如修改预算、导入批次、审批凭证、签核和重新开启。它不是页面浏览次数统计；单纯打开报表不会自动形成业务保存记录。</w:t>
      </w:r>
    </w:p>
    <w:p>
      <w:r>
        <w:rPr>
          <w:rFonts w:ascii="Arial" w:hAnsi="Arial" w:eastAsia="宋体"/>
          <w:b w:val="0"/>
          <w:i w:val="0"/>
        </w:rPr>
        <w:t>点击“导出审计记录”可下载当前载入的操作记录。页面展示最近200条记录；更早数据保存在数据库中，若需要全量查询或合规审计导出，应由研发另行提供受控查询。导出的角色是演示会话角色，不能当作已验证的真实员工身份。</w:t>
      </w:r>
    </w:p>
    <w:p>
      <w:pPr>
        <w:pStyle w:val="Heading2"/>
      </w:pPr>
      <w:bookmarkStart w:id="59" w:name="epm_59"/>
      <w:r>
        <w:rPr>
          <w:rFonts w:ascii="Arial" w:hAnsi="Arial" w:eastAsia="宋体"/>
          <w:b w:val="0"/>
          <w:i w:val="0"/>
        </w:rPr>
        <w:t>14.2 保存集团名称</w:t>
      </w:r>
      <w:bookmarkEnd w:id="59"/>
    </w:p>
    <w:p>
      <w:r>
        <w:rPr>
          <w:rFonts w:ascii="Arial" w:hAnsi="Arial" w:eastAsia="宋体"/>
          <w:b w:val="0"/>
          <w:i w:val="0"/>
        </w:rPr>
        <w:t>由集团财务负责人进入“系统配置”，在“集团名称（必填）”维护名称，点击“保存配置”。名称非空、最多100字，保存后系统范围显示和导出抬头随之更新。当前需求名称为“杭州天元宠物用品有限公司”，不需要为体验流程随意改名。</w:t>
      </w:r>
    </w:p>
    <w:p>
      <w:r>
        <w:rPr>
          <w:rFonts w:ascii="Arial" w:hAnsi="Arial" w:eastAsia="宋体"/>
          <w:b w:val="0"/>
          <w:i w:val="0"/>
        </w:rPr>
        <w:t>财政年度、报表基础币种、会计日历、界面语言及基础金额单位均按当前演示口径只读。年度固定2026，不支持通过把2026改为2027来建立新账套；新年度建账属于后续正式研发。</w:t>
      </w:r>
    </w:p>
    <w:p>
      <w:pPr>
        <w:pStyle w:val="Heading1"/>
      </w:pPr>
      <w:bookmarkStart w:id="60" w:name="epm_60"/>
      <w:r>
        <w:rPr>
          <w:rFonts w:ascii="Arial" w:hAnsi="Arial" w:eastAsia="宋体"/>
          <w:b w:val="0"/>
          <w:i w:val="0"/>
        </w:rPr>
        <w:t>15. 本机保存、安全退出与备份</w:t>
      </w:r>
      <w:bookmarkEnd w:id="60"/>
    </w:p>
    <w:p>
      <w:pPr>
        <w:pStyle w:val="Heading2"/>
      </w:pPr>
      <w:bookmarkStart w:id="61" w:name="epm_61"/>
      <w:r>
        <w:rPr>
          <w:rFonts w:ascii="Arial" w:hAnsi="Arial" w:eastAsia="宋体"/>
          <w:b w:val="0"/>
          <w:i w:val="0"/>
        </w:rPr>
        <w:t>15.1 找到当前实际数据位置</w:t>
      </w:r>
      <w:bookmarkEnd w:id="61"/>
    </w:p>
    <w:p>
      <w:r>
        <w:rPr>
          <w:rFonts w:ascii="Arial" w:hAnsi="Arial" w:eastAsia="宋体"/>
          <w:b w:val="0"/>
          <w:i w:val="0"/>
        </w:rPr>
        <w:t>点击顶部“本机环境”，或进入“系统配置”点击“本机环境工具”。弹窗列出当前角色、保存状态、界面语言、本机数据目录和运行日志目录。路径字段可选中复制，使用“打开数据目录”可在Windows打开资源管理器。</w:t>
      </w:r>
    </w:p>
    <w:p>
      <w:r>
        <w:rPr>
          <w:rFonts w:ascii="Arial" w:hAnsi="Arial" w:eastAsia="宋体"/>
          <w:b w:val="0"/>
          <w:i w:val="0"/>
        </w:rPr>
        <w:t>默认数据目录是“%LOCALAPPDATA%\TianyuanEPMDemo”，主数据库名称为“epm-demo.sqlite3”，日志位于其中“logs”文件夹。实际目录以弹窗为准，因为研发人员可以指定独立数据目录。程序解压目录和业务数据目录是两个不同位置。</w:t>
      </w:r>
    </w:p>
    <w:p>
      <w:r>
        <w:rPr>
          <w:rFonts w:ascii="Arial" w:hAnsi="Arial" w:eastAsia="宋体"/>
          <w:b w:val="0"/>
          <w:i w:val="0"/>
        </w:rPr>
        <w:t>默认数据目录中“instance.json”包含当前本机临时登录凭据，不要公开发送或放到公共仓库。提供故障信息时发送错误文字即可，不要整个压缩运行中的数据目录发给无关人员。</w:t>
      </w:r>
    </w:p>
    <w:p>
      <w:pPr>
        <w:pStyle w:val="Heading2"/>
      </w:pPr>
      <w:bookmarkStart w:id="62" w:name="epm_62"/>
      <w:r>
        <w:rPr>
          <w:rFonts w:ascii="Arial" w:hAnsi="Arial" w:eastAsia="宋体"/>
          <w:b w:val="0"/>
          <w:i w:val="0"/>
        </w:rPr>
        <w:t>15.2 正确安全退出</w:t>
      </w:r>
      <w:bookmarkEnd w:id="62"/>
    </w:p>
    <w:p>
      <w:r>
        <w:rPr>
          <w:rFonts w:ascii="Arial" w:hAnsi="Arial" w:eastAsia="宋体"/>
          <w:b w:val="0"/>
          <w:i w:val="0"/>
        </w:rPr>
        <w:t>先完成表单保存，确认提示成功，再在本机环境弹窗点击“安全退出”。确认弹窗中点击“确认安全退出”。页面显示“已安全退出”，说明服务停止并保留已保存的数据。再次双击EXE将读取同一数据目录。</w:t>
      </w:r>
    </w:p>
    <w:p>
      <w:r>
        <w:rPr>
          <w:rFonts w:ascii="Arial" w:hAnsi="Arial" w:eastAsia="宋体"/>
          <w:b w:val="0"/>
          <w:i w:val="0"/>
        </w:rPr>
        <w:t>关闭浏览器、关闭标签页或关闭下载窗口不会停止后台服务；再次双击EXE通常复用已验证的本机实例。电脑重启会停止进程，但之前成功提交的数据应保留。仍未点保存的表单内容不在保留范围内。</w:t>
      </w:r>
    </w:p>
    <w:p>
      <w:r>
        <w:rPr>
          <w:rFonts w:ascii="Arial" w:hAnsi="Arial" w:eastAsia="宋体"/>
          <w:b w:val="0"/>
          <w:i w:val="0"/>
        </w:rPr>
        <w:t>不要仅为了退出而在任务管理器强制结束进程。普通用户优先使用页面安全退出；页面无法访问时，可将情况交给研发，运行包也提供受控的命令行状态和停止参数。</w:t>
      </w:r>
    </w:p>
    <w:p>
      <w:pPr>
        <w:pStyle w:val="Heading2"/>
      </w:pPr>
      <w:bookmarkStart w:id="63" w:name="epm_63"/>
      <w:r>
        <w:rPr>
          <w:rFonts w:ascii="Arial" w:hAnsi="Arial" w:eastAsia="宋体"/>
          <w:b w:val="0"/>
          <w:i w:val="0"/>
        </w:rPr>
        <w:t>15.3 备份的正确范围</w:t>
      </w:r>
      <w:bookmarkEnd w:id="63"/>
    </w:p>
    <w:p>
      <w:pPr>
        <w:ind w:left="283" w:hanging="198"/>
      </w:pPr>
      <w:r>
        <w:rPr>
          <w:rFonts w:ascii="Arial" w:hAnsi="Arial" w:eastAsia="宋体"/>
        </w:rPr>
        <w:t xml:space="preserve">1. </w:t>
      </w:r>
      <w:r>
        <w:rPr>
          <w:rFonts w:ascii="Arial" w:hAnsi="Arial" w:eastAsia="宋体"/>
          <w:b w:val="0"/>
          <w:i w:val="0"/>
        </w:rPr>
        <w:t>完成待保存表单，记录当前版本、期间及关键金额。</w:t>
      </w:r>
    </w:p>
    <w:p>
      <w:pPr>
        <w:ind w:left="283" w:hanging="198"/>
      </w:pPr>
      <w:r>
        <w:rPr>
          <w:rFonts w:ascii="Arial" w:hAnsi="Arial" w:eastAsia="宋体"/>
        </w:rPr>
        <w:t xml:space="preserve">2. </w:t>
      </w:r>
      <w:r>
        <w:rPr>
          <w:rFonts w:ascii="Arial" w:hAnsi="Arial" w:eastAsia="宋体"/>
          <w:b w:val="0"/>
          <w:i w:val="0"/>
        </w:rPr>
        <w:t>使用页面安全退出，确认服务已停止。</w:t>
      </w:r>
    </w:p>
    <w:p>
      <w:pPr>
        <w:ind w:left="283" w:hanging="198"/>
      </w:pPr>
      <w:r>
        <w:rPr>
          <w:rFonts w:ascii="Arial" w:hAnsi="Arial" w:eastAsia="宋体"/>
        </w:rPr>
        <w:t xml:space="preserve">3. </w:t>
      </w:r>
      <w:r>
        <w:rPr>
          <w:rFonts w:ascii="Arial" w:hAnsi="Arial" w:eastAsia="宋体"/>
          <w:b w:val="0"/>
          <w:i w:val="0"/>
        </w:rPr>
        <w:t>复制整个实际数据目录到受控备份位置，并按日期命名。</w:t>
      </w:r>
    </w:p>
    <w:p>
      <w:pPr>
        <w:ind w:left="283" w:hanging="198"/>
      </w:pPr>
      <w:r>
        <w:rPr>
          <w:rFonts w:ascii="Arial" w:hAnsi="Arial" w:eastAsia="宋体"/>
        </w:rPr>
        <w:t xml:space="preserve">4. </w:t>
      </w:r>
      <w:r>
        <w:rPr>
          <w:rFonts w:ascii="Arial" w:hAnsi="Arial" w:eastAsia="宋体"/>
          <w:b w:val="0"/>
          <w:i w:val="0"/>
        </w:rPr>
        <w:t>保留原目录，记录软件版本和备份日期；不要把它上传公开GitHub。</w:t>
      </w:r>
    </w:p>
    <w:p>
      <w:r>
        <w:rPr>
          <w:rFonts w:ascii="Arial" w:hAnsi="Arial" w:eastAsia="宋体"/>
          <w:b w:val="0"/>
          <w:i w:val="0"/>
        </w:rPr>
        <w:t>不能在运行中只复制单个“epm-demo.sqlite3”文件，因为SQLite可能还有已提交内容处于WAL关联文件中。仅复制EXE及程序文件夹，也不是备份业务数据。重新解压程序不会自动清空独立数据目录。</w:t>
      </w:r>
    </w:p>
    <w:p>
      <w:r>
        <w:rPr>
          <w:rFonts w:ascii="Arial" w:hAnsi="Arial" w:eastAsia="宋体"/>
          <w:b w:val="0"/>
          <w:i w:val="0"/>
        </w:rPr>
        <w:t>本轮已验证保存、完整退出与同目录重新启动后数据保留；独立备份还原未完成专门验收。软件未提供用户可点击的恢复向导。需要还原时应由研发协助，先保留当前数据，再在隔离目录核对备份完整性和版本兼容，不能直接覆盖正在运行的账套。</w:t>
      </w:r>
    </w:p>
    <w:p>
      <w:pPr>
        <w:pStyle w:val="Heading1"/>
      </w:pPr>
      <w:bookmarkStart w:id="64" w:name="epm_64"/>
      <w:r>
        <w:rPr>
          <w:rFonts w:ascii="Arial" w:hAnsi="Arial" w:eastAsia="宋体"/>
          <w:b w:val="0"/>
          <w:i w:val="0"/>
        </w:rPr>
        <w:t>16. 常见问题与中文排错</w:t>
      </w:r>
      <w:bookmarkEnd w:id="64"/>
    </w:p>
    <w:tbl>
      <w:tblPr>
        <w:tblStyle w:val="TableGrid"/>
        <w:tblW w:type="auto" w:w="0"/>
        <w:jc w:val="center"/>
        <w:tblLayout w:type="fixed"/>
        <w:tblLook w:firstColumn="1" w:firstRow="1" w:lastColumn="0" w:lastRow="0" w:noHBand="0" w:noVBand="1" w:val="04A0"/>
      </w:tblPr>
      <w:tblGrid>
        <w:gridCol w:w="3008"/>
        <w:gridCol w:w="3008"/>
        <w:gridCol w:w="3623"/>
      </w:tblGrid>
      <w:tr>
        <w:trPr>
          <w:cantSplit/>
          <w:tblHeader w:val="true"/>
        </w:trPr>
        <w:tc>
          <w:tcPr>
            <w:tcW w:type="dxa" w:w="30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现象</w:t>
            </w:r>
          </w:p>
        </w:tc>
        <w:tc>
          <w:tcPr>
            <w:tcW w:type="dxa" w:w="300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先检查什么</w:t>
            </w:r>
          </w:p>
        </w:tc>
        <w:tc>
          <w:tcPr>
            <w:tcW w:type="dxa" w:w="3623"/>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建议处理</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仍是英文Frappe或Session页面</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是否打开旧平台网址</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关闭旧地址，从新包“天元EPM Demo.exe”启动</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要求Google邮箱、密码或选择英语</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是否进入旧登录向导</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本Demo无此步骤，重新从新EXE打开</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双击提示缺少文件</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是否在ZIP预览内运行、是否只复制EXE</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完整解压并保留全部目录</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浏览器没有自动打开</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后台是否仍在启动、是否完整解压</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稍后再次双击；持续失败查看日志，不另装Python</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提示本机会话失效</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是否使用旧端口或旧启动链接</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重新双击EXE获取当前本机会话</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保存后仍是旧金额</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是否只输入未保存、是否查看其他版本/期间</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确认保存成功，核对版本和筛选后重开</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提示数据版本已更新</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其他标签页是否先修改</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载入最新内容后核对再保存</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按钮禁用或不能修改预算</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预算是否已提交、审批或锁定</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复制新版本，或发起独立调整</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法人会计不能审批或改汇率</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是否符合角色权限</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交由集团财务负责人操作</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审计只读不能切换预算版本</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版本切换是否属于保存动作</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只读查看清单；需要切换时使用可写角色</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提示金额精度错误</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是否超过两位小数、含单位或千分位</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用纯数字按规定单位填写</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业务预算金额被拒绝</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金额是否等于数量乘单价</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让系统重算；纯金额用数量1、单价为金额</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量价目标不能保存</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目标是否低于前三层合计</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核对当前分层与销量单价，不能出现负董事会层</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现金凭证不能保存</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现金流类别是否仍为空</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选择经营、投资或筹资活动</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凭证草稿保存后报表没变</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状态是否为草稿</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负责人审批后才纳入报表</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已审批凭证没有直接修改按钮</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是否试图覆盖已发生会计动作</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确认会计依据后用新平衡凭证更正留痕</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无法导入CSV</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表头、编码、期间、借贷及重复项</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按第6章逐法人整理完整套，再整批提交</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导入后某些科目变零</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是否漏掉整套中的科目</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当期整套替换，不是差额追加；整理完整后重导</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不能签核</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报送、核对、经营说明、有效校验是否齐全</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补齐并在最后一次数据修改后重新校验</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当月不能修改财务数据</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当前或关联集团是否签核</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负责人填写原因重新打开后再修改</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10至12期实际数没有增加</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是否尚未独立报送后续月份</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这是沿用9期累计的演示边界，不是自动预测</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美元金额与人民币不同</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是否除以保存的汇率、单位是否为万美元</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先核对币种和单位，基础录入仍人民币万元</w:t>
            </w:r>
          </w:p>
        </w:tc>
      </w:tr>
      <w:tr>
        <w:trPr>
          <w:cantSplit/>
        </w:trPr>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关闭浏览器后仍有后台进程</w:t>
            </w:r>
          </w:p>
        </w:tc>
        <w:tc>
          <w:tcPr>
            <w:tcW w:type="dxa" w:w="3008"/>
            <w:vAlign w:val="top"/>
            <w:tcMar>
              <w:top w:w="65" w:type="dxa"/>
              <w:bottom w:w="65" w:type="dxa"/>
              <w:left w:w="65" w:type="dxa"/>
              <w:right w:w="65" w:type="dxa"/>
            </w:tcMar>
          </w:tcPr>
          <w:p>
            <w:pPr>
              <w:spacing w:before="30" w:after="30" w:line="252" w:lineRule="auto"/>
            </w:pPr>
            <w:r>
              <w:rPr>
                <w:rFonts w:ascii="Arial" w:hAnsi="Arial" w:eastAsia="宋体"/>
                <w:b w:val="0"/>
                <w:i w:val="0"/>
                <w:sz w:val="19"/>
              </w:rPr>
              <w:t>是否执行安全退出</w:t>
            </w:r>
          </w:p>
        </w:tc>
        <w:tc>
          <w:tcPr>
            <w:tcW w:type="dxa" w:w="3623"/>
            <w:vAlign w:val="top"/>
            <w:tcMar>
              <w:top w:w="65" w:type="dxa"/>
              <w:bottom w:w="65" w:type="dxa"/>
              <w:left w:w="65" w:type="dxa"/>
              <w:right w:w="65" w:type="dxa"/>
            </w:tcMar>
          </w:tcPr>
          <w:p>
            <w:pPr>
              <w:spacing w:before="30" w:after="30" w:line="252" w:lineRule="auto"/>
            </w:pPr>
            <w:r>
              <w:rPr>
                <w:rFonts w:ascii="Arial" w:hAnsi="Arial" w:eastAsia="宋体"/>
                <w:b w:val="0"/>
                <w:i w:val="0"/>
                <w:sz w:val="19"/>
              </w:rPr>
              <w:t>再次双击进入，用本机环境安全退出</w:t>
            </w:r>
          </w:p>
        </w:tc>
      </w:tr>
      <w:tr>
        <w:trPr>
          <w:cantSplit/>
        </w:trPr>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复制程序后找不到之前数据</w:t>
            </w:r>
          </w:p>
        </w:tc>
        <w:tc>
          <w:tcPr>
            <w:tcW w:type="dxa" w:w="300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是否更换电脑或指定了其他数据目录</w:t>
            </w:r>
          </w:p>
        </w:tc>
        <w:tc>
          <w:tcPr>
            <w:tcW w:type="dxa" w:w="3623"/>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以实际数据路径定位；还原请研发协助</w:t>
            </w:r>
          </w:p>
        </w:tc>
      </w:tr>
    </w:tbl>
    <w:p>
      <w:pPr>
        <w:spacing w:after="40"/>
      </w:pPr>
    </w:p>
    <w:p>
      <w:r>
        <w:rPr>
          <w:rFonts w:ascii="Arial" w:hAnsi="Arial" w:eastAsia="宋体"/>
          <w:b w:val="0"/>
          <w:i w:val="0"/>
        </w:rPr>
        <w:t>如果Windows系统策略阻止未签名EXE，应交由单位管理员按软件运行规则处理，不要关闭安全软件或修改企业策略来绕过。若仍无法定位问题，请提供软件名称、操作页面、集团及期间、具体点击步骤、错误文字和日志最后相关行；不要提供“instance.json”或带登录凭据的启动链接。</w:t>
      </w:r>
    </w:p>
    <w:p>
      <w:pPr>
        <w:pStyle w:val="Heading1"/>
      </w:pPr>
      <w:bookmarkStart w:id="65" w:name="epm_65"/>
      <w:r>
        <w:rPr>
          <w:rFonts w:ascii="Arial" w:hAnsi="Arial" w:eastAsia="宋体"/>
          <w:b w:val="0"/>
          <w:i w:val="0"/>
        </w:rPr>
        <w:t>17. 使用中必须保留的边界认识</w:t>
      </w:r>
      <w:bookmarkEnd w:id="65"/>
    </w:p>
    <w:p>
      <w:r>
        <w:rPr>
          <w:rFonts w:ascii="Arial" w:hAnsi="Arial" w:eastAsia="宋体"/>
          <w:b w:val="0"/>
          <w:i w:val="0"/>
        </w:rPr>
        <w:t>当前Demo可用于评审界面、验证业务流转、体验真实本机保存和启动自有研发。它不自动连接ERP、ODBC、真实Excel加载项、银行、邮件或生产采购系统，不会执行实际付款。</w:t>
      </w:r>
    </w:p>
    <w:p>
      <w:r>
        <w:rPr>
          <w:rFonts w:ascii="Arial" w:hAnsi="Arial" w:eastAsia="宋体"/>
          <w:b w:val="0"/>
          <w:i w:val="0"/>
        </w:rPr>
        <w:t>财务样例采用同本位币累计数；美元只是展示换算。CSV导入后的经营现金流包含演示估算，持股链、复杂企业合并、完整会计准则及正式现金流辅助核算仍需专项研发和财务验收。勾稽通过说明特定数学关系成立，不等于真实业务、准则或披露已经完整合规。</w:t>
      </w:r>
    </w:p>
    <w:p>
      <w:r>
        <w:rPr>
          <w:rFonts w:ascii="Arial" w:hAnsi="Arial" w:eastAsia="宋体"/>
          <w:b w:val="0"/>
          <w:i w:val="0"/>
        </w:rPr>
        <w:t>收入预算支持目标分层、量价、分摊、审批、锁定和独立调整版本。其他业务明细可以保存及复制，但不会自动生成全套三表预算。经营分析成本、费用、财税比较采用演示基准，评审时应把这部分标为待进一步建模。</w:t>
      </w:r>
    </w:p>
    <w:p>
      <w:r>
        <w:rPr>
          <w:rFonts w:ascii="Arial" w:hAnsi="Arial" w:eastAsia="宋体"/>
          <w:b w:val="0"/>
          <w:i w:val="0"/>
        </w:rPr>
        <w:t>演示角色提供服务端写入和审批约束，但当前使用者可切换角色，并未形成真实员工登录、职责分离和法人读隔离。正式多用户、网络部署、并发容量、备份恢复、安全与合规要另行验收。Windows启动链路已在Wine兼容环境验证，不能视为所有真实Windows硬件与单位策略均已通过。</w:t>
      </w:r>
    </w:p>
    <w:p>
      <w:pPr>
        <w:pStyle w:val="Heading1"/>
      </w:pPr>
      <w:bookmarkStart w:id="66" w:name="epm_66"/>
      <w:r>
        <w:rPr>
          <w:rFonts w:ascii="Arial" w:hAnsi="Arial" w:eastAsia="宋体"/>
          <w:b w:val="0"/>
          <w:i w:val="0"/>
        </w:rPr>
        <w:t>18. 操作前后检查清单</w:t>
      </w:r>
      <w:bookmarkEnd w:id="66"/>
    </w:p>
    <w:p>
      <w:pPr>
        <w:pStyle w:val="Heading2"/>
      </w:pPr>
      <w:bookmarkStart w:id="67" w:name="epm_67"/>
      <w:r>
        <w:rPr>
          <w:rFonts w:ascii="Arial" w:hAnsi="Arial" w:eastAsia="宋体"/>
          <w:b w:val="0"/>
          <w:i w:val="0"/>
        </w:rPr>
        <w:t>18.1 保存前</w:t>
      </w:r>
      <w:bookmarkEnd w:id="67"/>
    </w:p>
    <w:p>
      <w:pPr>
        <w:ind w:left="283" w:hanging="198"/>
      </w:pPr>
      <w:r>
        <w:rPr>
          <w:rFonts w:ascii="Arial" w:hAnsi="Arial" w:eastAsia="宋体"/>
        </w:rPr>
        <w:t xml:space="preserve">• </w:t>
      </w:r>
      <w:r>
        <w:rPr>
          <w:rFonts w:ascii="Arial" w:hAnsi="Arial" w:eastAsia="宋体"/>
          <w:b w:val="0"/>
          <w:i w:val="0"/>
        </w:rPr>
        <w:t>已确认是在新Demo，主公司、期间、集团范围和币种正确。</w:t>
      </w:r>
    </w:p>
    <w:p>
      <w:pPr>
        <w:ind w:left="283" w:hanging="198"/>
      </w:pPr>
      <w:r>
        <w:rPr>
          <w:rFonts w:ascii="Arial" w:hAnsi="Arial" w:eastAsia="宋体"/>
        </w:rPr>
        <w:t xml:space="preserve">• </w:t>
      </w:r>
      <w:r>
        <w:rPr>
          <w:rFonts w:ascii="Arial" w:hAnsi="Arial" w:eastAsia="宋体"/>
          <w:b w:val="0"/>
          <w:i w:val="0"/>
        </w:rPr>
        <w:t>已确认当前角色具备这项操作权限。</w:t>
      </w:r>
    </w:p>
    <w:p>
      <w:pPr>
        <w:ind w:left="283" w:hanging="198"/>
      </w:pPr>
      <w:r>
        <w:rPr>
          <w:rFonts w:ascii="Arial" w:hAnsi="Arial" w:eastAsia="宋体"/>
        </w:rPr>
        <w:t xml:space="preserve">• </w:t>
      </w:r>
      <w:r>
        <w:rPr>
          <w:rFonts w:ascii="Arial" w:hAnsi="Arial" w:eastAsia="宋体"/>
          <w:b w:val="0"/>
          <w:i w:val="0"/>
        </w:rPr>
        <w:t>已确认预算活跃版本或财务目标月份，了解是否会覆盖整套余额。</w:t>
      </w:r>
    </w:p>
    <w:p>
      <w:pPr>
        <w:ind w:left="283" w:hanging="198"/>
      </w:pPr>
      <w:r>
        <w:rPr>
          <w:rFonts w:ascii="Arial" w:hAnsi="Arial" w:eastAsia="宋体"/>
        </w:rPr>
        <w:t xml:space="preserve">• </w:t>
      </w:r>
      <w:r>
        <w:rPr>
          <w:rFonts w:ascii="Arial" w:hAnsi="Arial" w:eastAsia="宋体"/>
          <w:b w:val="0"/>
          <w:i w:val="0"/>
        </w:rPr>
        <w:t>金额按人民币万元输入，两位小数，汇率不超过六位小数。</w:t>
      </w:r>
    </w:p>
    <w:p>
      <w:pPr>
        <w:ind w:left="283" w:hanging="198"/>
      </w:pPr>
      <w:r>
        <w:rPr>
          <w:rFonts w:ascii="Arial" w:hAnsi="Arial" w:eastAsia="宋体"/>
        </w:rPr>
        <w:t xml:space="preserve">• </w:t>
      </w:r>
      <w:r>
        <w:rPr>
          <w:rFonts w:ascii="Arial" w:hAnsi="Arial" w:eastAsia="宋体"/>
          <w:b w:val="0"/>
          <w:i w:val="0"/>
        </w:rPr>
        <w:t>已审批、锁定或签核数据按对应流程处理，没有直接覆盖既有结果。</w:t>
      </w:r>
    </w:p>
    <w:p>
      <w:pPr>
        <w:pStyle w:val="Heading2"/>
      </w:pPr>
      <w:bookmarkStart w:id="68" w:name="epm_68"/>
      <w:r>
        <w:rPr>
          <w:rFonts w:ascii="Arial" w:hAnsi="Arial" w:eastAsia="宋体"/>
          <w:b w:val="0"/>
          <w:i w:val="0"/>
        </w:rPr>
        <w:t>18.2 保存后</w:t>
      </w:r>
      <w:bookmarkEnd w:id="68"/>
    </w:p>
    <w:p>
      <w:pPr>
        <w:ind w:left="283" w:hanging="198"/>
      </w:pPr>
      <w:r>
        <w:rPr>
          <w:rFonts w:ascii="Arial" w:hAnsi="Arial" w:eastAsia="宋体"/>
        </w:rPr>
        <w:t xml:space="preserve">• </w:t>
      </w:r>
      <w:r>
        <w:rPr>
          <w:rFonts w:ascii="Arial" w:hAnsi="Arial" w:eastAsia="宋体"/>
          <w:b w:val="0"/>
          <w:i w:val="0"/>
        </w:rPr>
        <w:t>已看到明确成功提示；失败时没有把输入内容当成已保存值。</w:t>
      </w:r>
    </w:p>
    <w:p>
      <w:pPr>
        <w:ind w:left="283" w:hanging="198"/>
      </w:pPr>
      <w:r>
        <w:rPr>
          <w:rFonts w:ascii="Arial" w:hAnsi="Arial" w:eastAsia="宋体"/>
        </w:rPr>
        <w:t xml:space="preserve">• </w:t>
      </w:r>
      <w:r>
        <w:rPr>
          <w:rFonts w:ascii="Arial" w:hAnsi="Arial" w:eastAsia="宋体"/>
          <w:b w:val="0"/>
          <w:i w:val="0"/>
        </w:rPr>
        <w:t>已重新打开记录、刷新或查看版本号，确认数据来自已保存状态。</w:t>
      </w:r>
    </w:p>
    <w:p>
      <w:pPr>
        <w:ind w:left="283" w:hanging="198"/>
      </w:pPr>
      <w:r>
        <w:rPr>
          <w:rFonts w:ascii="Arial" w:hAnsi="Arial" w:eastAsia="宋体"/>
        </w:rPr>
        <w:t xml:space="preserve">• </w:t>
      </w:r>
      <w:r>
        <w:rPr>
          <w:rFonts w:ascii="Arial" w:hAnsi="Arial" w:eastAsia="宋体"/>
          <w:b w:val="0"/>
          <w:i w:val="0"/>
        </w:rPr>
        <w:t>财务变更后已查看当前期报表、重新完成必要复核和校验。</w:t>
      </w:r>
    </w:p>
    <w:p>
      <w:pPr>
        <w:ind w:left="283" w:hanging="198"/>
      </w:pPr>
      <w:r>
        <w:rPr>
          <w:rFonts w:ascii="Arial" w:hAnsi="Arial" w:eastAsia="宋体"/>
        </w:rPr>
        <w:t xml:space="preserve">• </w:t>
      </w:r>
      <w:r>
        <w:rPr>
          <w:rFonts w:ascii="Arial" w:hAnsi="Arial" w:eastAsia="宋体"/>
          <w:b w:val="0"/>
          <w:i w:val="0"/>
        </w:rPr>
        <w:t>预算调整后已核对源版本不变、新版本名称与金额正确。</w:t>
      </w:r>
    </w:p>
    <w:p>
      <w:pPr>
        <w:ind w:left="283" w:hanging="198"/>
      </w:pPr>
      <w:r>
        <w:rPr>
          <w:rFonts w:ascii="Arial" w:hAnsi="Arial" w:eastAsia="宋体"/>
        </w:rPr>
        <w:t xml:space="preserve">• </w:t>
      </w:r>
      <w:r>
        <w:rPr>
          <w:rFonts w:ascii="Arial" w:hAnsi="Arial" w:eastAsia="宋体"/>
          <w:b w:val="0"/>
          <w:i w:val="0"/>
        </w:rPr>
        <w:t>导出时保留期间、单位、范围、演示标识和当前版本说明。</w:t>
      </w:r>
    </w:p>
    <w:p>
      <w:pPr>
        <w:pStyle w:val="Heading2"/>
      </w:pPr>
      <w:bookmarkStart w:id="69" w:name="epm_69"/>
      <w:r>
        <w:rPr>
          <w:rFonts w:ascii="Arial" w:hAnsi="Arial" w:eastAsia="宋体"/>
          <w:b w:val="0"/>
          <w:i w:val="0"/>
        </w:rPr>
        <w:t>18.3 结束演示前</w:t>
      </w:r>
      <w:bookmarkEnd w:id="69"/>
    </w:p>
    <w:p>
      <w:pPr>
        <w:ind w:left="283" w:hanging="198"/>
      </w:pPr>
      <w:r>
        <w:rPr>
          <w:rFonts w:ascii="Arial" w:hAnsi="Arial" w:eastAsia="宋体"/>
        </w:rPr>
        <w:t xml:space="preserve">• </w:t>
      </w:r>
      <w:r>
        <w:rPr>
          <w:rFonts w:ascii="Arial" w:hAnsi="Arial" w:eastAsia="宋体"/>
          <w:b w:val="0"/>
          <w:i w:val="0"/>
        </w:rPr>
        <w:t>所有需要保留的表单已经保存，关键案例结果已记录。</w:t>
      </w:r>
    </w:p>
    <w:p>
      <w:pPr>
        <w:ind w:left="283" w:hanging="198"/>
      </w:pPr>
      <w:r>
        <w:rPr>
          <w:rFonts w:ascii="Arial" w:hAnsi="Arial" w:eastAsia="宋体"/>
        </w:rPr>
        <w:t xml:space="preserve">• </w:t>
      </w:r>
      <w:r>
        <w:rPr>
          <w:rFonts w:ascii="Arial" w:hAnsi="Arial" w:eastAsia="宋体"/>
          <w:b w:val="0"/>
          <w:i w:val="0"/>
        </w:rPr>
        <w:t>需要备份时，已先安全退出，再复制整个实际数据目录。</w:t>
      </w:r>
    </w:p>
    <w:p>
      <w:pPr>
        <w:ind w:left="283" w:hanging="198"/>
      </w:pPr>
      <w:r>
        <w:rPr>
          <w:rFonts w:ascii="Arial" w:hAnsi="Arial" w:eastAsia="宋体"/>
        </w:rPr>
        <w:t xml:space="preserve">• </w:t>
      </w:r>
      <w:r>
        <w:rPr>
          <w:rFonts w:ascii="Arial" w:hAnsi="Arial" w:eastAsia="宋体"/>
          <w:b w:val="0"/>
          <w:i w:val="0"/>
        </w:rPr>
        <w:t>未公开数据库、临时启动凭据或私人运行日志。</w:t>
      </w:r>
    </w:p>
    <w:p>
      <w:pPr>
        <w:ind w:left="283" w:hanging="198"/>
      </w:pPr>
      <w:r>
        <w:rPr>
          <w:rFonts w:ascii="Arial" w:hAnsi="Arial" w:eastAsia="宋体"/>
        </w:rPr>
        <w:t xml:space="preserve">• </w:t>
      </w:r>
      <w:r>
        <w:rPr>
          <w:rFonts w:ascii="Arial" w:hAnsi="Arial" w:eastAsia="宋体"/>
          <w:b w:val="0"/>
          <w:i w:val="0"/>
        </w:rPr>
        <w:t>再次启动后能找到本次版本、凭证、报送批次和审计记录。</w:t>
      </w:r>
    </w:p>
    <w:p>
      <w:pPr>
        <w:pStyle w:val="Heading1"/>
      </w:pPr>
      <w:bookmarkStart w:id="70" w:name="epm_70"/>
      <w:r>
        <w:rPr>
          <w:rFonts w:ascii="Arial" w:hAnsi="Arial" w:eastAsia="宋体"/>
          <w:b w:val="0"/>
          <w:i w:val="0"/>
        </w:rPr>
        <w:t>附录：常用术语</w:t>
      </w:r>
      <w:bookmarkEnd w:id="70"/>
    </w:p>
    <w:tbl>
      <w:tblPr>
        <w:tblStyle w:val="TableGrid"/>
        <w:tblW w:type="auto" w:w="0"/>
        <w:jc w:val="center"/>
        <w:tblLayout w:type="fixed"/>
        <w:tblLook w:firstColumn="1" w:firstRow="1" w:lastColumn="0" w:lastRow="0" w:noHBand="0" w:noVBand="1" w:val="04A0"/>
      </w:tblPr>
      <w:tblGrid>
        <w:gridCol w:w="2778"/>
        <w:gridCol w:w="6860"/>
      </w:tblGrid>
      <w:tr>
        <w:trPr>
          <w:cantSplit/>
          <w:tblHeader w:val="true"/>
        </w:trPr>
        <w:tc>
          <w:tcPr>
            <w:tcW w:type="dxa" w:w="2778"/>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术语</w:t>
            </w:r>
          </w:p>
        </w:tc>
        <w:tc>
          <w:tcPr>
            <w:tcW w:type="dxa" w:w="6860"/>
            <w:vAlign w:val="top"/>
            <w:tcMar>
              <w:top w:w="65" w:type="dxa"/>
              <w:bottom w:w="65" w:type="dxa"/>
              <w:left w:w="65" w:type="dxa"/>
              <w:right w:w="65" w:type="dxa"/>
            </w:tcMar>
            <w:shd w:fill="E7EFFA"/>
          </w:tcPr>
          <w:p>
            <w:pPr>
              <w:keepNext/>
              <w:spacing w:before="30" w:after="30" w:line="252" w:lineRule="auto"/>
            </w:pPr>
            <w:r>
              <w:rPr>
                <w:rFonts w:ascii="Arial" w:hAnsi="Arial" w:eastAsia="宋体"/>
                <w:b/>
                <w:i w:val="0"/>
                <w:color w:val="173F6E"/>
                <w:sz w:val="19"/>
              </w:rPr>
              <w:t>本手册中的含义</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当前期累计</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从年初累计到顶部所选月份，不是仅当月发生额</w:t>
            </w:r>
          </w:p>
        </w:tc>
      </w:tr>
      <w:tr>
        <w:trPr>
          <w:cantSplit/>
        </w:trPr>
        <w:tc>
          <w:tcPr>
            <w:tcW w:type="dxa" w:w="27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当月发生额</w:t>
            </w:r>
          </w:p>
        </w:tc>
        <w:tc>
          <w:tcPr>
            <w:tcW w:type="dxa" w:w="68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趋势节点显示的本月变化数，与累计卡片口径不同</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抵销前法人</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单个法人报送口径，未再叠加集团抵销调整</w:t>
            </w:r>
          </w:p>
        </w:tc>
      </w:tr>
      <w:tr>
        <w:trPr>
          <w:cantSplit/>
        </w:trPr>
        <w:tc>
          <w:tcPr>
            <w:tcW w:type="dxa" w:w="27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已审批调整</w:t>
            </w:r>
          </w:p>
        </w:tc>
        <w:tc>
          <w:tcPr>
            <w:tcW w:type="dxa" w:w="68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经负责人审批后参与当前期报表的平衡凭证</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活跃预算版本</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当前编制、审批与预实比较使用的完整预算快照</w:t>
            </w:r>
          </w:p>
        </w:tc>
      </w:tr>
      <w:tr>
        <w:trPr>
          <w:cantSplit/>
        </w:trPr>
        <w:tc>
          <w:tcPr>
            <w:tcW w:type="dxa" w:w="27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版本锁定</w:t>
            </w:r>
          </w:p>
        </w:tc>
        <w:tc>
          <w:tcPr>
            <w:tcW w:type="dxa" w:w="68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预算版本不能直接编制修改，不等同于财务期间关账</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期间签核</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财务当前集团及月份完成前置条件后的保护状态</w:t>
            </w:r>
          </w:p>
        </w:tc>
      </w:tr>
      <w:tr>
        <w:trPr>
          <w:cantSplit/>
        </w:trPr>
        <w:tc>
          <w:tcPr>
            <w:tcW w:type="dxa" w:w="27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独立调整版本</w:t>
            </w:r>
          </w:p>
        </w:tc>
        <w:tc>
          <w:tcPr>
            <w:tcW w:type="dxa" w:w="68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基于申请来源快照批准生成的新预算版本</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数据版本</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服务端每次保存递增的状态编号，用于避免旧页面覆盖新数据</w:t>
            </w:r>
          </w:p>
        </w:tc>
      </w:tr>
      <w:tr>
        <w:trPr>
          <w:cantSplit/>
        </w:trPr>
        <w:tc>
          <w:tcPr>
            <w:tcW w:type="dxa" w:w="2778"/>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本机持久化</w:t>
            </w:r>
          </w:p>
        </w:tc>
        <w:tc>
          <w:tcPr>
            <w:tcW w:type="dxa" w:w="6860"/>
            <w:vAlign w:val="top"/>
            <w:tcMar>
              <w:top w:w="65" w:type="dxa"/>
              <w:bottom w:w="65" w:type="dxa"/>
              <w:left w:w="65" w:type="dxa"/>
              <w:right w:w="65" w:type="dxa"/>
            </w:tcMar>
            <w:shd w:fill="F8FAFD"/>
          </w:tcPr>
          <w:p>
            <w:pPr>
              <w:spacing w:before="30" w:after="30" w:line="252" w:lineRule="auto"/>
            </w:pPr>
            <w:r>
              <w:rPr>
                <w:rFonts w:ascii="Arial" w:hAnsi="Arial" w:eastAsia="宋体"/>
                <w:b w:val="0"/>
                <w:i w:val="0"/>
                <w:sz w:val="19"/>
              </w:rPr>
              <w:t>成功保存后写入当前电脑数据目录，刷新和正常重启不重置</w:t>
            </w:r>
          </w:p>
        </w:tc>
      </w:tr>
      <w:tr>
        <w:trPr>
          <w:cantSplit/>
        </w:trPr>
        <w:tc>
          <w:tcPr>
            <w:tcW w:type="dxa" w:w="2778"/>
            <w:vAlign w:val="top"/>
            <w:tcMar>
              <w:top w:w="65" w:type="dxa"/>
              <w:bottom w:w="65" w:type="dxa"/>
              <w:left w:w="65" w:type="dxa"/>
              <w:right w:w="65" w:type="dxa"/>
            </w:tcMar>
          </w:tcPr>
          <w:p>
            <w:pPr>
              <w:spacing w:before="30" w:after="30" w:line="252" w:lineRule="auto"/>
            </w:pPr>
            <w:r>
              <w:rPr>
                <w:rFonts w:ascii="Arial" w:hAnsi="Arial" w:eastAsia="宋体"/>
                <w:b w:val="0"/>
                <w:i w:val="0"/>
                <w:sz w:val="19"/>
              </w:rPr>
              <w:t>演示估算</w:t>
            </w:r>
          </w:p>
        </w:tc>
        <w:tc>
          <w:tcPr>
            <w:tcW w:type="dxa" w:w="6860"/>
            <w:vAlign w:val="top"/>
            <w:tcMar>
              <w:top w:w="65" w:type="dxa"/>
              <w:bottom w:w="65" w:type="dxa"/>
              <w:left w:w="65" w:type="dxa"/>
              <w:right w:w="65" w:type="dxa"/>
            </w:tcMar>
          </w:tcPr>
          <w:p>
            <w:pPr>
              <w:spacing w:before="30" w:after="30" w:line="252" w:lineRule="auto"/>
            </w:pPr>
            <w:r>
              <w:rPr>
                <w:rFonts w:ascii="Arial" w:hAnsi="Arial" w:eastAsia="宋体"/>
                <w:b w:val="0"/>
                <w:i w:val="0"/>
                <w:sz w:val="19"/>
              </w:rPr>
              <w:t>用于说明交互和勾稽的模拟计算，不能替代正式财务口径</w:t>
            </w:r>
          </w:p>
        </w:tc>
      </w:tr>
    </w:tbl>
    <w:p>
      <w:pPr>
        <w:spacing w:after="40"/>
      </w:pPr>
    </w:p>
    <w:sectPr w:rsidR="00FC693F" w:rsidRPr="0006063C" w:rsidSect="00034616">
      <w:headerReference w:type="default" r:id="rId9"/>
      <w:footerReference w:type="default" r:id="rId10"/>
      <w:pgSz w:w="11906" w:h="16838"/>
      <w:pgMar w:top="1106" w:right="1134" w:bottom="1049"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宋体"/>
        <w:sz w:val="16"/>
      </w:rPr>
      <w:t xml:space="preserve">TY-EPM-USER-001  ·  V1.0  ·  第 </w:t>
    </w:r>
    <w:fldSimple w:instr="PAGE"/>
    <w:r>
      <w:rPr>
        <w:rFonts w:ascii="Arial" w:hAnsi="Arial" w:eastAsia="宋体"/>
        <w:sz w:val="16"/>
      </w:rPr>
      <w:t xml:space="preserve"> 页 / 共 </w:t>
    </w:r>
    <w:fldSimple w:instr="NUMPAGES"/>
    <w:r>
      <w:rPr>
        <w:rFonts w:ascii="Arial" w:hAnsi="Arial" w:eastAsia="宋体"/>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color w:val="66758D"/>
        <w:sz w:val="16"/>
      </w:rPr>
      <w:t>杭州天元宠物用品有限公司  |  用户操作手册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8" w:lineRule="auto"/>
    </w:pPr>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宋体"/>
      <w:b/>
      <w:bCs/>
      <w:color w:val="173F6E"/>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宋体"/>
      <w:b/>
      <w:bCs/>
      <w:color w:val="173F6E"/>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宋体"/>
      <w:b/>
      <w:bCs/>
      <w:color w:val="173F6E"/>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eastAsia="宋体"/>
      <w:b/>
      <w:bCs/>
      <w:i/>
      <w:iCs/>
      <w:color w:val="173F6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天元EPM · 用户操作手册</dc:title>
  <dc:subject>杭州天元宠物用品有限公司：中文本机EPM Demo文档</dc:subject>
  <dc:creator>自研EPM项目文档</dc:creator>
  <cp:keywords>集团财务合并,全面预算,经营分析,中文Demo,研发交互,用户手册</cp:keywords>
  <dc:description>generated by python-docx</dc:description>
  <cp:lastModifiedBy/>
  <cp:revision>1</cp:revision>
  <dcterms:created xsi:type="dcterms:W3CDTF">2013-12-23T23:15:00Z</dcterms:created>
  <dcterms:modified xsi:type="dcterms:W3CDTF">2013-12-23T23:15:00Z</dcterms:modified>
  <cp:category/>
</cp:coreProperties>
</file>