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20"/>
      </w:pPr>
      <w:r>
        <w:rPr>
          <w:rFonts w:ascii="Arial" w:hAnsi="Arial" w:eastAsia="宋体"/>
          <w:color w:val="4B6995"/>
          <w:sz w:val="24"/>
        </w:rPr>
        <w:t>天元 EPM  /  凭证与分级合并中文演示版</w:t>
      </w:r>
    </w:p>
    <w:p>
      <w:pPr>
        <w:spacing w:before="240" w:after="280"/>
      </w:pPr>
      <w:r>
        <w:rPr>
          <w:rFonts w:ascii="Arial" w:hAnsi="Arial" w:eastAsia="宋体"/>
          <w:b/>
          <w:color w:val="173F6E"/>
          <w:sz w:val="50"/>
        </w:rPr>
        <w:t>Excel模板填写与导入操作说明</w:t>
      </w:r>
    </w:p>
    <w:p>
      <w:r>
        <w:rPr>
          <w:rFonts w:ascii="Arial" w:hAnsi="Arial" w:eastAsia="宋体"/>
          <w:sz w:val="30"/>
        </w:rPr>
        <w:t>杭州天元宠物用品有限公司</w:t>
      </w:r>
    </w:p>
    <w:p>
      <w:r>
        <w:rPr>
          <w:rFonts w:ascii="Arial" w:hAnsi="Arial" w:eastAsia="宋体"/>
          <w:color w:val="66758D"/>
          <w:sz w:val="22"/>
        </w:rPr>
        <w:t>资料准备 · 模板粘贴 · 实机入口截图 · 合并验证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2"/>
        <w:gridCol w:w="6764"/>
      </w:tblGrid>
      <w:tr>
        <w:trPr>
          <w:cantSplit/>
          <w:tblHeader w:val="true"/>
        </w:trPr>
        <w:tc>
          <w:tcPr>
            <w:tcW w:type="dxa" w:w="264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文档控制项</w:t>
            </w:r>
          </w:p>
        </w:tc>
        <w:tc>
          <w:tcPr>
            <w:tcW w:type="dxa" w:w="676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64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文档编号</w:t>
            </w:r>
          </w:p>
        </w:tc>
        <w:tc>
          <w:tcPr>
            <w:tcW w:type="dxa" w:w="676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TY-EPM-IMPORT-ERP-001</w:t>
            </w:r>
          </w:p>
        </w:tc>
      </w:tr>
      <w:tr>
        <w:trPr>
          <w:cantSplit/>
        </w:trPr>
        <w:tc>
          <w:tcPr>
            <w:tcW w:type="dxa" w:w="264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文档版本 / 日期</w:t>
            </w:r>
          </w:p>
        </w:tc>
        <w:tc>
          <w:tcPr>
            <w:tcW w:type="dxa" w:w="676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导入模板D1.0 / 2026-10-21</w:t>
            </w:r>
          </w:p>
        </w:tc>
      </w:tr>
      <w:tr>
        <w:trPr>
          <w:cantSplit/>
        </w:trPr>
        <w:tc>
          <w:tcPr>
            <w:tcW w:type="dxa" w:w="264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适配软件基线</w:t>
            </w:r>
          </w:p>
        </w:tc>
        <w:tc>
          <w:tcPr>
            <w:tcW w:type="dxa" w:w="676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ERP-20261021 · NC6.5凭证、单体报表及分级合并Demo</w:t>
            </w:r>
          </w:p>
        </w:tc>
      </w:tr>
      <w:tr>
        <w:trPr>
          <w:cantSplit/>
        </w:trPr>
        <w:tc>
          <w:tcPr>
            <w:tcW w:type="dxa" w:w="264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适用读者</w:t>
            </w:r>
          </w:p>
        </w:tc>
        <w:tc>
          <w:tcPr>
            <w:tcW w:type="dxa" w:w="676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法人会计、集团财务及实施人员</w:t>
            </w:r>
          </w:p>
        </w:tc>
      </w:tr>
      <w:tr>
        <w:trPr>
          <w:cantSplit/>
        </w:trPr>
        <w:tc>
          <w:tcPr>
            <w:tcW w:type="dxa" w:w="264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数据说明</w:t>
            </w:r>
          </w:p>
        </w:tc>
        <w:tc>
          <w:tcPr>
            <w:tcW w:type="dxa" w:w="676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主公司及鸿旺相关主体名称由用户提供；其他演示主体、人员、交易和财务金额为虚构样例。</w:t>
            </w:r>
          </w:p>
        </w:tc>
      </w:tr>
    </w:tbl>
    <w:p>
      <w:pPr>
        <w:spacing w:after="40"/>
      </w:pPr>
    </w:p>
    <w:p>
      <w:pPr>
        <w:spacing w:before="200"/>
        <w:shd w:fill="F0F5FC"/>
      </w:pPr>
      <w:r>
        <w:t>本套说明依据实际交付源码、接口与验收结果整理，明确区分可操作功能、演示计算口径及后续研发建议。</w:t>
      </w:r>
    </w:p>
    <w:p>
      <w:r>
        <w:br w:type="page"/>
      </w:r>
    </w:p>
    <w:p>
      <w:pPr>
        <w:pStyle w:val="Heading1"/>
      </w:pPr>
      <w:r>
        <w:t>阅读导航</w:t>
      </w:r>
    </w:p>
    <w:p>
      <w:r>
        <w:t>点击下列章节可跳转。Word/WPS 的标题样式也可用于导航及生成自动目录。</w:t>
      </w:r>
    </w:p>
    <w:p>
      <w:pPr>
        <w:spacing w:after="80"/>
      </w:pPr>
      <w:hyperlink w:anchor="epm_1">
        <w:r>
          <w:rPr>
            <w:color w:val="245CA8"/>
            <w:rFonts w:ascii="Arial" w:eastAsia="宋体"/>
            <w:sz w:val="21"/>
          </w:rPr>
          <w:t xml:space="preserve">版本、使用范围与读法</w:t>
        </w:r>
      </w:hyperlink>
    </w:p>
    <w:p>
      <w:pPr>
        <w:spacing w:after="80"/>
      </w:pPr>
      <w:hyperlink w:anchor="epm_2">
        <w:r>
          <w:rPr>
            <w:color w:val="245CA8"/>
            <w:rFonts w:ascii="Arial" w:eastAsia="宋体"/>
            <w:sz w:val="21"/>
          </w:rPr>
          <w:t xml:space="preserve">一、先看清：每份表填什么、在哪里使用、会发生什么</w:t>
        </w:r>
      </w:hyperlink>
    </w:p>
    <w:p>
      <w:pPr>
        <w:spacing w:after="80"/>
      </w:pPr>
      <w:hyperlink w:anchor="epm_3">
        <w:r>
          <w:rPr>
            <w:color w:val="245CA8"/>
            <w:rFonts w:ascii="Arial" w:eastAsia="宋体"/>
            <w:sz w:val="21"/>
          </w:rPr>
          <w:t xml:space="preserve">二、粘贴Excel前，先做好这六件事</w:t>
        </w:r>
      </w:hyperlink>
    </w:p>
    <w:p>
      <w:pPr>
        <w:spacing w:after="80"/>
      </w:pPr>
      <w:hyperlink w:anchor="epm_10">
        <w:r>
          <w:rPr>
            <w:color w:val="245CA8"/>
            <w:rFonts w:ascii="Arial" w:eastAsia="宋体"/>
            <w:sz w:val="21"/>
          </w:rPr>
          <w:t xml:space="preserve">三、先照04准备表维护NC6.5适配</w:t>
        </w:r>
      </w:hyperlink>
    </w:p>
    <w:p>
      <w:pPr>
        <w:spacing w:after="80"/>
      </w:pPr>
      <w:hyperlink w:anchor="epm_11">
        <w:r>
          <w:rPr>
            <w:color w:val="245CA8"/>
            <w:rFonts w:ascii="Arial" w:eastAsia="宋体"/>
            <w:sz w:val="21"/>
          </w:rPr>
          <w:t xml:space="preserve">四、导入01：科目映射</w:t>
        </w:r>
      </w:hyperlink>
    </w:p>
    <w:p>
      <w:pPr>
        <w:spacing w:after="80"/>
      </w:pPr>
      <w:hyperlink w:anchor="epm_14">
        <w:r>
          <w:rPr>
            <w:color w:val="245CA8"/>
            <w:rFonts w:ascii="Arial" w:eastAsia="宋体"/>
            <w:sz w:val="21"/>
          </w:rPr>
          <w:t xml:space="preserve">五、导入02：年初余额</w:t>
        </w:r>
      </w:hyperlink>
    </w:p>
    <w:p>
      <w:pPr>
        <w:spacing w:after="80"/>
      </w:pPr>
      <w:hyperlink w:anchor="epm_17">
        <w:r>
          <w:rPr>
            <w:color w:val="245CA8"/>
            <w:rFonts w:ascii="Arial" w:eastAsia="宋体"/>
            <w:sz w:val="21"/>
          </w:rPr>
          <w:t xml:space="preserve">六、导入03：用友NC6.5原48列凭证</w:t>
        </w:r>
      </w:hyperlink>
    </w:p>
    <w:p>
      <w:pPr>
        <w:spacing w:after="80"/>
      </w:pPr>
      <w:hyperlink w:anchor="epm_20">
        <w:r>
          <w:rPr>
            <w:color w:val="245CA8"/>
            <w:rFonts w:ascii="Arial" w:eastAsia="宋体"/>
            <w:sz w:val="21"/>
          </w:rPr>
          <w:t xml:space="preserve">七、05现金分类准备表与06通用替代模板</w:t>
        </w:r>
      </w:hyperlink>
    </w:p>
    <w:p>
      <w:pPr>
        <w:spacing w:after="80"/>
      </w:pPr>
      <w:hyperlink w:anchor="epm_23">
        <w:r>
          <w:rPr>
            <w:color w:val="245CA8"/>
            <w:rFonts w:ascii="Arial" w:eastAsia="宋体"/>
            <w:sz w:val="21"/>
          </w:rPr>
          <w:t xml:space="preserve">八、从导入资料生成单独法人财务报表</w:t>
        </w:r>
      </w:hyperlink>
    </w:p>
    <w:p>
      <w:pPr>
        <w:spacing w:after="80"/>
      </w:pPr>
      <w:hyperlink w:anchor="epm_24">
        <w:r>
          <w:rPr>
            <w:color w:val="245CA8"/>
            <w:rFonts w:ascii="Arial" w:eastAsia="宋体"/>
            <w:sz w:val="21"/>
          </w:rPr>
          <w:t xml:space="preserve">九、自动抵销：先核对，再生成草稿和审批</w:t>
        </w:r>
      </w:hyperlink>
    </w:p>
    <w:p>
      <w:pPr>
        <w:spacing w:after="80"/>
      </w:pPr>
      <w:hyperlink w:anchor="epm_25">
        <w:r>
          <w:rPr>
            <w:color w:val="245CA8"/>
            <w:rFonts w:ascii="Arial" w:eastAsia="宋体"/>
            <w:sz w:val="21"/>
          </w:rPr>
          <w:t xml:space="preserve">十、生成鸿旺小合并，再生成集团大合并</w:t>
        </w:r>
      </w:hyperlink>
    </w:p>
    <w:p>
      <w:pPr>
        <w:spacing w:after="80"/>
      </w:pPr>
      <w:hyperlink w:anchor="epm_28">
        <w:r>
          <w:rPr>
            <w:color w:val="245CA8"/>
            <w:rFonts w:ascii="Arial" w:eastAsia="宋体"/>
            <w:sz w:val="21"/>
          </w:rPr>
          <w:t xml:space="preserve">十一、检查成功与排错</w:t>
        </w:r>
      </w:hyperlink>
    </w:p>
    <w:p>
      <w:pPr>
        <w:spacing w:after="80"/>
      </w:pPr>
      <w:hyperlink w:anchor="epm_29">
        <w:r>
          <w:rPr>
            <w:color w:val="245CA8"/>
            <w:rFonts w:ascii="Arial" w:eastAsia="宋体"/>
            <w:sz w:val="21"/>
          </w:rPr>
          <w:t xml:space="preserve">十二、交给同事的最小资料清单与验收卡</w:t>
        </w:r>
      </w:hyperlink>
    </w:p>
    <w:p>
      <w:r>
        <w:br w:type="page"/>
      </w:r>
    </w:p>
    <w:p>
      <w:pPr>
        <w:pStyle w:val="Heading1"/>
      </w:pPr>
      <w:bookmarkStart w:id="1" w:name="epm_1"/>
      <w:r>
        <w:rPr>
          <w:rFonts w:ascii="Arial" w:hAnsi="Arial" w:eastAsia="宋体"/>
          <w:b w:val="0"/>
          <w:i w:val="0"/>
        </w:rPr>
        <w:t>版本、使用范围与读法</w:t>
      </w:r>
      <w:bookmarkEnd w:id="1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9"/>
        <w:gridCol w:w="7307"/>
      </w:tblGrid>
      <w:tr>
        <w:trPr>
          <w:cantSplit/>
          <w:tblHeader w:val="true"/>
        </w:trPr>
        <w:tc>
          <w:tcPr>
            <w:tcW w:type="dxa" w:w="209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项目</w:t>
            </w:r>
          </w:p>
        </w:tc>
        <w:tc>
          <w:tcPr>
            <w:tcW w:type="dxa" w:w="730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09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适用系统</w:t>
            </w:r>
          </w:p>
        </w:tc>
        <w:tc>
          <w:tcPr>
            <w:tcW w:type="dxa" w:w="730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天元EPM凭证合并Demo，软件基线ERP-20261021，简体中文本机界面</w:t>
            </w:r>
          </w:p>
        </w:tc>
      </w:tr>
      <w:tr>
        <w:trPr>
          <w:cantSplit/>
        </w:trPr>
        <w:tc>
          <w:tcPr>
            <w:tcW w:type="dxa" w:w="209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公司</w:t>
            </w:r>
          </w:p>
        </w:tc>
        <w:tc>
          <w:tcPr>
            <w:tcW w:type="dxa" w:w="730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杭州天元宠物用品有限公司</w:t>
            </w:r>
          </w:p>
        </w:tc>
      </w:tr>
      <w:tr>
        <w:trPr>
          <w:cantSplit/>
        </w:trPr>
        <w:tc>
          <w:tcPr>
            <w:tcW w:type="dxa" w:w="209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本说明版本</w:t>
            </w:r>
          </w:p>
        </w:tc>
        <w:tc>
          <w:tcPr>
            <w:tcW w:type="dxa" w:w="730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导入模板D1.0 / 2026年10月21日</w:t>
            </w:r>
          </w:p>
        </w:tc>
      </w:tr>
      <w:tr>
        <w:trPr>
          <w:cantSplit/>
        </w:trPr>
        <w:tc>
          <w:tcPr>
            <w:tcW w:type="dxa" w:w="209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本次交付</w:t>
            </w:r>
          </w:p>
        </w:tc>
        <w:tc>
          <w:tcPr>
            <w:tcW w:type="dxa" w:w="730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6份Excel准备模板、独立已填演示Excel、实际入口截图、本Word及同源PDF</w:t>
            </w:r>
          </w:p>
        </w:tc>
      </w:tr>
      <w:tr>
        <w:trPr>
          <w:cantSplit/>
        </w:trPr>
        <w:tc>
          <w:tcPr>
            <w:tcW w:type="dxa" w:w="209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软件变化</w:t>
            </w:r>
          </w:p>
        </w:tc>
        <w:tc>
          <w:tcPr>
            <w:tcW w:type="dxa" w:w="730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本次是同一软件的模板和导入指南补充交付；不更新EXE、不改写原有账套，原全模块四册仍适用</w:t>
            </w:r>
          </w:p>
        </w:tc>
      </w:tr>
      <w:tr>
        <w:trPr>
          <w:cantSplit/>
        </w:trPr>
        <w:tc>
          <w:tcPr>
            <w:tcW w:type="dxa" w:w="209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金额与期间</w:t>
            </w:r>
          </w:p>
        </w:tc>
        <w:tc>
          <w:tcPr>
            <w:tcW w:type="dxa" w:w="730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输入金额默认法人本位币“元”，两位小数；财务报表“万元”，六位小数；本Demo会计年度2026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本说明对应你截图中的“ERP凭证与期初”。本机地址的端口由EXE自动分配，你电脑上的53172等端口与本文截图端口不同属于正常情况。以左侧菜单名称、卡片名称和按钮为准，不要照抄截图地址。</w:t>
      </w:r>
    </w:p>
    <w:p>
      <w:r>
        <w:rPr>
          <w:rFonts w:ascii="Arial" w:hAnsi="Arial" w:eastAsia="宋体"/>
          <w:b w:val="0"/>
          <w:i w:val="0"/>
        </w:rPr>
        <w:t>第一次建议先使用“已填示例”文件夹，跑通后，再把真实资料粘到“Excel模板”中的空表。已填示例为虚构业务，不能与真实账套混导，也不要在已经载入内置396行样例的账套上再叠加导入同一业务。</w:t>
      </w:r>
    </w:p>
    <w:p>
      <w:pPr>
        <w:pStyle w:val="Heading1"/>
      </w:pPr>
      <w:bookmarkStart w:id="2" w:name="epm_2"/>
      <w:r>
        <w:rPr>
          <w:rFonts w:ascii="Arial" w:hAnsi="Arial" w:eastAsia="宋体"/>
          <w:b w:val="0"/>
          <w:i w:val="0"/>
        </w:rPr>
        <w:t>一、先看清：每份表填什么、在哪里使用、会发生什么</w:t>
      </w:r>
      <w:bookmarkEnd w:id="2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1982"/>
        <w:gridCol w:w="1909"/>
        <w:gridCol w:w="1872"/>
        <w:gridCol w:w="2089"/>
      </w:tblGrid>
      <w:tr>
        <w:trPr>
          <w:cantSplit/>
          <w:tblHeader w:val="true"/>
        </w:trPr>
        <w:tc>
          <w:tcPr>
            <w:tcW w:type="dxa" w:w="155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8"/>
              </w:rPr>
              <w:t>文件</w:t>
            </w:r>
          </w:p>
        </w:tc>
        <w:tc>
          <w:tcPr>
            <w:tcW w:type="dxa" w:w="198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8"/>
              </w:rPr>
              <w:t>填写资料</w:t>
            </w:r>
          </w:p>
        </w:tc>
        <w:tc>
          <w:tcPr>
            <w:tcW w:type="dxa" w:w="190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8"/>
              </w:rPr>
              <w:t>系统功能点与按钮</w:t>
            </w:r>
          </w:p>
        </w:tc>
        <w:tc>
          <w:tcPr>
            <w:tcW w:type="dxa" w:w="187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8"/>
              </w:rPr>
              <w:t>使用方式</w:t>
            </w:r>
          </w:p>
        </w:tc>
        <w:tc>
          <w:tcPr>
            <w:tcW w:type="dxa" w:w="208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8"/>
              </w:rPr>
              <w:t>成功后的实际效果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01_科目映射_空白模板.xlsx</w:t>
            </w:r>
          </w:p>
        </w:tc>
        <w:tc>
          <w:tcPr>
            <w:tcW w:type="dxa" w:w="198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法人、NC科目编码和名称、对应报表字段、正常余额方向</w:t>
            </w:r>
          </w:p>
        </w:tc>
        <w:tc>
          <w:tcPr>
            <w:tcW w:type="dxa" w:w="190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ERP凭证与期初 → ①科目字段映射 → 选择文件并导入</w:t>
            </w:r>
          </w:p>
        </w:tc>
        <w:tc>
          <w:tcPr>
            <w:tcW w:type="dxa" w:w="187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直接导入XLSX首表“导入数据”</w:t>
            </w:r>
          </w:p>
        </w:tc>
        <w:tc>
          <w:tcPr>
            <w:tcW w:type="dxa" w:w="208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保存法人级科目映射，显示在“当前科目映射”；此时还没有生成财务报表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02_年初余额_空白模板.xlsx</w:t>
            </w:r>
          </w:p>
        </w:tc>
        <w:tc>
          <w:tcPr>
            <w:tcW w:type="dxa" w:w="198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2026年年初借贷余额，内部往来按对方及共同关联号拆行</w:t>
            </w:r>
          </w:p>
        </w:tc>
        <w:tc>
          <w:tcPr>
            <w:tcW w:type="dxa" w:w="190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ERP凭证与期初 → ②年初科目余额 → 选择文件并导入</w:t>
            </w:r>
          </w:p>
        </w:tc>
        <w:tc>
          <w:tcPr>
            <w:tcW w:type="dxa" w:w="187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直接导入XLSX首表“导入数据”</w:t>
            </w:r>
          </w:p>
        </w:tc>
        <w:tc>
          <w:tcPr>
            <w:tcW w:type="dxa" w:w="208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保存期初批次，供后续试算及资产负债表使用；不会把期初再算成当期收入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03_NC65原48列凭证_空白模板.xlsx</w:t>
            </w:r>
          </w:p>
        </w:tc>
        <w:tc>
          <w:tcPr>
            <w:tcW w:type="dxa" w:w="198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NC6.5导出的完整已记账凭证，保留原48列</w:t>
            </w:r>
          </w:p>
        </w:tc>
        <w:tc>
          <w:tcPr>
            <w:tcW w:type="dxa" w:w="190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ERP凭证与期初 → NC6.5导出适配 → 导入NC6.5凭证</w:t>
            </w:r>
          </w:p>
        </w:tc>
        <w:tc>
          <w:tcPr>
            <w:tcW w:type="dxa" w:w="187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维护NC适配后直接导入XLSX首表“导入数据”</w:t>
            </w:r>
          </w:p>
        </w:tc>
        <w:tc>
          <w:tcPr>
            <w:tcW w:type="dxa" w:w="208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保留原始分录、批次、源文件行和48列，并形成可生成单体三表的标准化凭证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04_NC适配_页面配置准备表.xlsx</w:t>
            </w:r>
          </w:p>
        </w:tc>
        <w:tc>
          <w:tcPr>
            <w:tcW w:type="dxa" w:w="198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NC核算账簿与法人／本位币、客商原值与内部法人、实际辅助列和关联号列</w:t>
            </w:r>
          </w:p>
        </w:tc>
        <w:tc>
          <w:tcPr>
            <w:tcW w:type="dxa" w:w="190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ERP凭证与期初 → 维护NC6.5适配</w:t>
            </w:r>
          </w:p>
        </w:tc>
        <w:tc>
          <w:tcPr>
            <w:tcW w:type="dxa" w:w="187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对照Excel逐项在页面填写，保存；没有独立Excel上传入口</w:t>
            </w:r>
          </w:p>
        </w:tc>
        <w:tc>
          <w:tcPr>
            <w:tcW w:type="dxa" w:w="208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后续NC导入按此规则解释账簿和内部对方；不会自动改写已经导入的旧凭证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05_现金流分类_准备表.xlsx</w:t>
            </w:r>
          </w:p>
        </w:tc>
        <w:tc>
          <w:tcPr>
            <w:tcW w:type="dxa" w:w="198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需人工确认的现金行、分类依据、经营／投资／筹资类别</w:t>
            </w:r>
          </w:p>
        </w:tc>
        <w:tc>
          <w:tcPr>
            <w:tcW w:type="dxa" w:w="190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法人凭证与三表 → 查看该法人原凭证 → 补充核对信息</w:t>
            </w:r>
          </w:p>
        </w:tc>
        <w:tc>
          <w:tcPr>
            <w:tcW w:type="dxa" w:w="187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对照准备表在现金行补注，填写原因；没有独立Excel上传入口</w:t>
            </w:r>
          </w:p>
        </w:tc>
        <w:tc>
          <w:tcPr>
            <w:tcW w:type="dxa" w:w="208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规范化现金类别保存并留痕；重新生成后得到现金流量表，原NC金额不变</w:t>
            </w:r>
          </w:p>
        </w:tc>
      </w:tr>
      <w:tr>
        <w:trPr>
          <w:cantSplit/>
        </w:trPr>
        <w:tc>
          <w:tcPr>
            <w:tcW w:type="dxa" w:w="155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06_通用凭证_替代方案模板.xlsx</w:t>
            </w:r>
          </w:p>
        </w:tc>
        <w:tc>
          <w:tcPr>
            <w:tcW w:type="dxa" w:w="198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已经转换成系统通用结构的完整凭证，可在现金行直接填类别</w:t>
            </w:r>
          </w:p>
        </w:tc>
        <w:tc>
          <w:tcPr>
            <w:tcW w:type="dxa" w:w="190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ERP凭证与期初 → ③完整已记账凭证 → 选择文件并导入</w:t>
            </w:r>
          </w:p>
        </w:tc>
        <w:tc>
          <w:tcPr>
            <w:tcW w:type="dxa" w:w="187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替代03，直接导入XLSX首表“导入数据”</w:t>
            </w:r>
          </w:p>
        </w:tc>
        <w:tc>
          <w:tcPr>
            <w:tcW w:type="dxa" w:w="208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生成通用凭证批次，可继续生成单体三表及匹配；同一笔业务不要再从03重复导入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03是用友NC6.5原格式的主路径；06是替代路径。04、05是准备和核对资料，不能随意上传到“凭证导入”冒充凭证文件。不要把财务三张报表直接填进本套凭证模板；本套流程是从科目、期初和凭证生成报表。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4254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导入入口总览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25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color w:val="66758D"/>
          <w:sz w:val="18"/>
        </w:rPr>
        <w:t>图 1  ERP凭证与期初总览：三类数据卡与NC专用区域</w:t>
      </w:r>
    </w:p>
    <w:p>
      <w:r>
        <w:rPr>
          <w:rFonts w:ascii="Arial" w:hAnsi="Arial" w:eastAsia="宋体"/>
          <w:b w:val="0"/>
          <w:i w:val="0"/>
        </w:rPr>
        <w:t>截图取自本版真实运行环境；表单中已填示例仅用于演示，不代表企业在线账套。下文每张截图均按当时所选法人、范围与期间解释。</w:t>
      </w:r>
    </w:p>
    <w:p>
      <w:pPr>
        <w:pStyle w:val="Heading1"/>
      </w:pPr>
      <w:bookmarkStart w:id="3" w:name="epm_3"/>
      <w:r>
        <w:rPr>
          <w:rFonts w:ascii="Arial" w:hAnsi="Arial" w:eastAsia="宋体"/>
          <w:b w:val="0"/>
          <w:i w:val="0"/>
        </w:rPr>
        <w:t>二、粘贴Excel前，先做好这六件事</w:t>
      </w:r>
      <w:bookmarkEnd w:id="3"/>
    </w:p>
    <w:p>
      <w:pPr>
        <w:pStyle w:val="Heading2"/>
      </w:pPr>
      <w:bookmarkStart w:id="4" w:name="epm_4"/>
      <w:r>
        <w:rPr>
          <w:rFonts w:ascii="Arial" w:hAnsi="Arial" w:eastAsia="宋体"/>
          <w:b w:val="0"/>
          <w:i w:val="0"/>
        </w:rPr>
        <w:t>2.1 采用本版法人ID，不把账簿编码和法人ID混用</w:t>
      </w:r>
      <w:bookmarkEnd w:id="4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01"/>
        <w:gridCol w:w="4001"/>
        <w:gridCol w:w="2604"/>
      </w:tblGrid>
      <w:tr>
        <w:trPr>
          <w:cantSplit/>
          <w:tblHeader w:val="true"/>
        </w:trPr>
        <w:tc>
          <w:tcPr>
            <w:tcW w:type="dxa" w:w="280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本系统法人ID</w:t>
            </w:r>
          </w:p>
        </w:tc>
        <w:tc>
          <w:tcPr>
            <w:tcW w:type="dxa" w:w="400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对应主体</w:t>
            </w:r>
          </w:p>
        </w:tc>
        <w:tc>
          <w:tcPr>
            <w:tcW w:type="dxa" w:w="260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记账本位币</w:t>
            </w:r>
          </w:p>
        </w:tc>
      </w:tr>
      <w:tr>
        <w:trPr>
          <w:cantSplit/>
        </w:trPr>
        <w:tc>
          <w:tcPr>
            <w:tcW w:type="dxa" w:w="280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HW</w:t>
            </w:r>
          </w:p>
        </w:tc>
        <w:tc>
          <w:tcPr>
            <w:tcW w:type="dxa" w:w="400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鸿旺单体</w:t>
            </w:r>
          </w:p>
        </w:tc>
        <w:tc>
          <w:tcPr>
            <w:tcW w:type="dxa" w:w="260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CNY（人民币）</w:t>
            </w:r>
          </w:p>
        </w:tc>
      </w:tr>
      <w:tr>
        <w:trPr>
          <w:cantSplit/>
        </w:trPr>
        <w:tc>
          <w:tcPr>
            <w:tcW w:type="dxa" w:w="280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HW_CAT</w:t>
            </w:r>
          </w:p>
        </w:tc>
        <w:tc>
          <w:tcPr>
            <w:tcW w:type="dxa" w:w="400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鸿旺猫爬架生产事业部</w:t>
            </w:r>
          </w:p>
        </w:tc>
        <w:tc>
          <w:tcPr>
            <w:tcW w:type="dxa" w:w="260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CNY（人民币）</w:t>
            </w:r>
          </w:p>
        </w:tc>
      </w:tr>
      <w:tr>
        <w:trPr>
          <w:cantSplit/>
        </w:trPr>
        <w:tc>
          <w:tcPr>
            <w:tcW w:type="dxa" w:w="280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HW_ELEC</w:t>
            </w:r>
          </w:p>
        </w:tc>
        <w:tc>
          <w:tcPr>
            <w:tcW w:type="dxa" w:w="400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杭州鸿旺宠物用品有限公司电子工厂</w:t>
            </w:r>
          </w:p>
        </w:tc>
        <w:tc>
          <w:tcPr>
            <w:tcW w:type="dxa" w:w="260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CNY（人民币）</w:t>
            </w:r>
          </w:p>
        </w:tc>
      </w:tr>
      <w:tr>
        <w:trPr>
          <w:cantSplit/>
        </w:trPr>
        <w:tc>
          <w:tcPr>
            <w:tcW w:type="dxa" w:w="280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TY</w:t>
            </w:r>
          </w:p>
        </w:tc>
        <w:tc>
          <w:tcPr>
            <w:tcW w:type="dxa" w:w="400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杭州天元宠物用品有限公司</w:t>
            </w:r>
          </w:p>
        </w:tc>
        <w:tc>
          <w:tcPr>
            <w:tcW w:type="dxa" w:w="260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CNY（人民币）</w:t>
            </w:r>
          </w:p>
        </w:tc>
      </w:tr>
      <w:tr>
        <w:trPr>
          <w:cantSplit/>
        </w:trPr>
        <w:tc>
          <w:tcPr>
            <w:tcW w:type="dxa" w:w="280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OTHER</w:t>
            </w:r>
          </w:p>
        </w:tc>
        <w:tc>
          <w:tcPr>
            <w:tcW w:type="dxa" w:w="400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集团其他境内公司（演示）</w:t>
            </w:r>
          </w:p>
        </w:tc>
        <w:tc>
          <w:tcPr>
            <w:tcW w:type="dxa" w:w="260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CNY（人民币）</w:t>
            </w:r>
          </w:p>
        </w:tc>
      </w:tr>
      <w:tr>
        <w:trPr>
          <w:cantSplit/>
        </w:trPr>
        <w:tc>
          <w:tcPr>
            <w:tcW w:type="dxa" w:w="280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OS_A、OS_B</w:t>
            </w:r>
          </w:p>
        </w:tc>
        <w:tc>
          <w:tcPr>
            <w:tcW w:type="dxa" w:w="400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海外公司甲、乙（演示）</w:t>
            </w:r>
          </w:p>
        </w:tc>
        <w:tc>
          <w:tcPr>
            <w:tcW w:type="dxa" w:w="260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USD（美元）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这三家鸿旺相关主体按用户确认的独立法人处理，三份账不重叠。管理合并树中属于鸿旺小合并，并不表示鸿旺持有另两家；真实持股按天元100%单独维护。模板中的“法人编码”填写本表ID，例如HW_CAT；NC原48列表里的“核算账簿”仍填写NC真实账簿编码，通过04页面配置关联到本系统法人。</w:t>
      </w:r>
    </w:p>
    <w:p>
      <w:r>
        <w:rPr>
          <w:rFonts w:ascii="Arial" w:hAnsi="Arial" w:eastAsia="宋体"/>
          <w:b w:val="0"/>
          <w:i w:val="0"/>
        </w:rPr>
        <w:t>仅做鸿旺小合并，准备HW、HW_CAT、HW_ELEC三家即可。要做完整凭证驱动的集团测试，还需要天元、其他直接成员和海外有效源，且须先有下级已签核结果。只导入三家鸿旺凭证，不表示其他法人也已从凭证重建；原手工演示源不可当成真实ERP接入的证据。</w:t>
      </w:r>
    </w:p>
    <w:p>
      <w:pPr>
        <w:pStyle w:val="Heading2"/>
      </w:pPr>
      <w:bookmarkStart w:id="5" w:name="epm_5"/>
      <w:r>
        <w:rPr>
          <w:rFonts w:ascii="Arial" w:hAnsi="Arial" w:eastAsia="宋体"/>
          <w:b w:val="0"/>
          <w:i w:val="0"/>
        </w:rPr>
        <w:t>2.2 数据从第2行开始粘贴</w:t>
      </w:r>
      <w:bookmarkEnd w:id="5"/>
    </w:p>
    <w:p>
      <w:r>
        <w:rPr>
          <w:rFonts w:ascii="Arial" w:hAnsi="Arial" w:eastAsia="宋体"/>
          <w:b w:val="0"/>
          <w:i w:val="0"/>
        </w:rPr>
        <w:t>打开可直接导入的模板，保留第1行表头，从首工作表“导入数据”的第2行开始，按列粘贴“值”。后续“填写说明”“字段字典”“示例”等工作表只供参考；系统默认读取首表，不能把说明页或示例页选作导入数据。</w:t>
      </w:r>
    </w:p>
    <w:p>
      <w:r>
        <w:rPr>
          <w:rFonts w:ascii="Arial" w:hAnsi="Arial" w:eastAsia="宋体"/>
          <w:b w:val="0"/>
          <w:i w:val="0"/>
        </w:rPr>
        <w:t>可直接导入的空表预留1000行格式，业务超过预留行时可先复制空白行格式、延续编码文本格式，再向下粘贴；这不是软件每批1000行的限制。文件超过页面单文件上限时，凭证按“整张凭证”拆分成多个文件分批导入，不把同一张的借贷拆开；期初分批也须每批各法人借贷平衡。</w:t>
      </w:r>
    </w:p>
    <w:p>
      <w:r>
        <w:rPr>
          <w:rFonts w:ascii="Arial" w:hAnsi="Arial" w:eastAsia="宋体"/>
          <w:b w:val="0"/>
          <w:i w:val="0"/>
        </w:rPr>
        <w:t>不要改表头、合并单元格、加标题行、加“小计／合计”行或粘贴公式。若原ERP文件有汇总行，先去掉；系统会自行做借贷平衡和汇总。另存为真正的.xlsx；旧.xls请在Excel／WPS中另存为.xlsx，不要直接改扩展名。</w:t>
      </w:r>
    </w:p>
    <w:p>
      <w:pPr>
        <w:pStyle w:val="Heading2"/>
      </w:pPr>
      <w:bookmarkStart w:id="6" w:name="epm_6"/>
      <w:r>
        <w:rPr>
          <w:rFonts w:ascii="Arial" w:hAnsi="Arial" w:eastAsia="宋体"/>
          <w:b w:val="0"/>
          <w:i w:val="0"/>
        </w:rPr>
        <w:t>2.3 编码按文本，日期统一格式</w:t>
      </w:r>
      <w:bookmarkEnd w:id="6"/>
    </w:p>
    <w:p>
      <w:r>
        <w:rPr>
          <w:rFonts w:ascii="Arial" w:hAnsi="Arial" w:eastAsia="宋体"/>
          <w:b w:val="0"/>
          <w:i w:val="0"/>
        </w:rPr>
        <w:t>凭证号、科目编码、NC账簿编码和客商编码可能有前导0，应按文本保存。若Excel已经把“0001”变成“1”，仅修改显示格式不能恢复原编码，应重新从ERP复制正确原值。建议日期填“2026-09-15”，不要使用含义不明的“9/10”。</w:t>
      </w:r>
    </w:p>
    <w:p>
      <w:r>
        <w:rPr>
          <w:rFonts w:ascii="Arial" w:hAnsi="Arial" w:eastAsia="宋体"/>
          <w:b w:val="0"/>
          <w:i w:val="0"/>
        </w:rPr>
        <w:t>本币借贷等入账金额输入纯数字，默认元、保留到分；不要加“万元”、货币符号或公式。NC的原币及集团／全局币金额仍按对应币种原值保留，不先换成本币；单价、数量、汇率保留ERP原有精度，不统一截为两位。负借／负贷红字按真实账务提供，系统仍校验整张凭证借贷平衡；负内部净额等事项可能进入人工差异处理范围。Excel格式和下拉只是填写辅助，真正能否入账以服务器校验结果为准。</w:t>
      </w:r>
    </w:p>
    <w:p>
      <w:pPr>
        <w:pStyle w:val="Heading2"/>
      </w:pPr>
      <w:bookmarkStart w:id="7" w:name="epm_7"/>
      <w:r>
        <w:rPr>
          <w:rFonts w:ascii="Arial" w:hAnsi="Arial" w:eastAsia="宋体"/>
          <w:b w:val="0"/>
          <w:i w:val="0"/>
        </w:rPr>
        <w:t>2.4 期初与发生额不能重叠</w:t>
      </w:r>
      <w:bookmarkEnd w:id="7"/>
    </w:p>
    <w:p>
      <w:r>
        <w:rPr>
          <w:rFonts w:ascii="Arial" w:hAnsi="Arial" w:eastAsia="宋体"/>
          <w:b w:val="0"/>
          <w:i w:val="0"/>
        </w:rPr>
        <w:t>02填2026年年初余额，03或06填2026年1月1日至测试月末全部相关已记账业务凭证。测9月累计，就准备1—9月，不只给9月，也不只给内部交易。不要把9月底余额当年初余额后又导入1—9月发生额，否则会重复计量。</w:t>
      </w:r>
    </w:p>
    <w:p>
      <w:r>
        <w:rPr>
          <w:rFonts w:ascii="Arial" w:hAnsi="Arial" w:eastAsia="宋体"/>
          <w:b w:val="0"/>
          <w:i w:val="0"/>
        </w:rPr>
        <w:t>本Demo只支持其已实现的受限会计口径；本年资本变动、分红等复杂权益事件不能通过换科目或删凭证来强行通过。损益结转凭证按本版受限识别和整张校验保留证据、避免管理损益重复计入；不确定的结转摘要或复杂凭证先核对，不擅自删除真实业务。</w:t>
      </w:r>
    </w:p>
    <w:p>
      <w:pPr>
        <w:pStyle w:val="Heading2"/>
      </w:pPr>
      <w:bookmarkStart w:id="8" w:name="epm_8"/>
      <w:r>
        <w:rPr>
          <w:rFonts w:ascii="Arial" w:hAnsi="Arial" w:eastAsia="宋体"/>
          <w:b w:val="0"/>
          <w:i w:val="0"/>
        </w:rPr>
        <w:t>2.5 内部交易准备共同号，外部交易明确外部</w:t>
      </w:r>
      <w:bookmarkEnd w:id="8"/>
    </w:p>
    <w:p>
      <w:r>
        <w:rPr>
          <w:rFonts w:ascii="Arial" w:hAnsi="Arial" w:eastAsia="宋体"/>
          <w:b w:val="0"/>
          <w:i w:val="0"/>
        </w:rPr>
        <w:t>内部交易应有双方一致的业务关联号，例如HW-ELEC-001。它不是双方各自可能不同的凭证号，也不能只靠金额相同认定同一交易。NC适配只选择实际承载内部客商的辅助核算列，不要把部门、项目等无关列全部勾选。</w:t>
      </w:r>
    </w:p>
    <w:p>
      <w:r>
        <w:rPr>
          <w:rFonts w:ascii="Arial" w:hAnsi="Arial" w:eastAsia="宋体"/>
          <w:b w:val="0"/>
          <w:i w:val="0"/>
        </w:rPr>
        <w:t>明确外部客商在NC适配中映射为“外部客商（EXTERNAL）”；通用表中相关收入、成本和往来行用EXTERNAL标识。空白或未知客商不能默认当外部。未映射、冲突、单边、缺号、错期、币种或金额不一致均应保留差异，不倒挤。</w:t>
      </w:r>
    </w:p>
    <w:p>
      <w:pPr>
        <w:pStyle w:val="Heading2"/>
      </w:pPr>
      <w:bookmarkStart w:id="9" w:name="epm_9"/>
      <w:r>
        <w:rPr>
          <w:rFonts w:ascii="Arial" w:hAnsi="Arial" w:eastAsia="宋体"/>
          <w:b w:val="0"/>
          <w:i w:val="0"/>
        </w:rPr>
        <w:t>2.6 先备份、重开，再切换凭证合并模式</w:t>
      </w:r>
      <w:bookmarkEnd w:id="9"/>
    </w:p>
    <w:p>
      <w:r>
        <w:rPr>
          <w:rFonts w:ascii="Arial" w:hAnsi="Arial" w:eastAsia="宋体"/>
          <w:b w:val="0"/>
          <w:i w:val="0"/>
        </w:rPr>
        <w:t>已有需要保留的测试数据时，先通过“本机环境”安全退出，再复制整个数据目录备份。默认目录为%LOCALAPPDATA%\TianyuanEPMVoucherDemo；不要在服务运行中只复制SQLite主文件。</w:t>
      </w:r>
    </w:p>
    <w:p>
      <w:r>
        <w:rPr>
          <w:rFonts w:ascii="Arial" w:hAnsi="Arial" w:eastAsia="宋体"/>
          <w:b w:val="0"/>
          <w:i w:val="0"/>
        </w:rPr>
        <w:t>先确认当前演示角色为“集团财务负责人”，以便维护适配、导入科目、停用批次和审批。首次演示环境可能已有“系统初始化演示”的签核结果和预置销售抵销。在改数据前，到“分级合并与结果”选择鸿旺小合并，点“重新开启及祖先”相关操作并填原因；需要修改其他范围时也重开受影响层级。页面如显示已锁定或依赖祖先仍签核，应按提示先重开。</w:t>
      </w:r>
    </w:p>
    <w:p>
      <w:r>
        <w:rPr>
          <w:rFonts w:ascii="Arial" w:hAnsi="Arial" w:eastAsia="宋体"/>
          <w:b w:val="0"/>
          <w:i w:val="0"/>
        </w:rPr>
        <w:t>整套七法人已填示例还涉及海外：须分别重开“鸿旺小合并”与“海外小合并”（并连带祖先），不是只重开集团。之后回到“杭州天元集团合并”范围导入本包整套七法人文件；只准备三家鸿旺资料时，可使用鸿旺范围。</w:t>
      </w:r>
    </w:p>
    <w:p>
      <w:r>
        <w:rPr>
          <w:rFonts w:ascii="Arial" w:hAnsi="Arial" w:eastAsia="宋体"/>
          <w:b w:val="0"/>
          <w:i w:val="0"/>
        </w:rPr>
        <w:t>在“内部交易匹配与差异”中，如出现“先确认本层转入凭证合并模式”，使用“确认停用本层预置交易抵销”，填写原因。此操作仅处理当前层、本期带演示来源的预置交易，不会删除投资权益抵销及用户手工事项。鸿旺与集团分别处理，避免原示例100／50与新自动抵销重复扣减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4254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A_停用本层预置抵销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25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color w:val="66758D"/>
          <w:sz w:val="18"/>
        </w:rPr>
        <w:t>图 2  明确停用本层预置交易抵销，保留其他真实事项</w:t>
      </w:r>
    </w:p>
    <w:p>
      <w:pPr>
        <w:pStyle w:val="Heading1"/>
      </w:pPr>
      <w:bookmarkStart w:id="10" w:name="epm_10"/>
      <w:r>
        <w:rPr>
          <w:rFonts w:ascii="Arial" w:hAnsi="Arial" w:eastAsia="宋体"/>
          <w:b w:val="0"/>
          <w:i w:val="0"/>
        </w:rPr>
        <w:t>三、先照04准备表维护NC6.5适配</w:t>
      </w:r>
      <w:bookmarkEnd w:id="10"/>
    </w:p>
    <w:p>
      <w:r>
        <w:rPr>
          <w:rFonts w:ascii="Arial" w:hAnsi="Arial" w:eastAsia="宋体"/>
          <w:b w:val="0"/>
          <w:i w:val="0"/>
        </w:rPr>
        <w:t>操作入口：左侧“ERP凭证与期初” → 下方“NC6.5导出适配” → “维护NC6.5适配”。这是页面配置，不是文件导入。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4254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A_NC适配_账簿与本位币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25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color w:val="66758D"/>
          <w:sz w:val="18"/>
        </w:rPr>
        <w:t>图 3  NC适配设置：核算账簿、法人和记账本位币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4254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B_NC适配_辅助列关联号客商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25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color w:val="66758D"/>
          <w:sz w:val="18"/>
        </w:rPr>
        <w:t>图 4  NC适配设置：辅助核算列、共同号来源和客商对应关系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0"/>
        <w:gridCol w:w="3437"/>
        <w:gridCol w:w="4639"/>
      </w:tblGrid>
      <w:tr>
        <w:trPr>
          <w:cantSplit/>
          <w:tblHeader w:val="true"/>
        </w:trPr>
        <w:tc>
          <w:tcPr>
            <w:tcW w:type="dxa" w:w="133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准备表内容</w:t>
            </w:r>
          </w:p>
        </w:tc>
        <w:tc>
          <w:tcPr>
            <w:tcW w:type="dxa" w:w="343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页面如何填</w:t>
            </w:r>
          </w:p>
        </w:tc>
        <w:tc>
          <w:tcPr>
            <w:tcW w:type="dxa" w:w="463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核对要点</w:t>
            </w:r>
          </w:p>
        </w:tc>
      </w:tr>
      <w:tr>
        <w:trPr>
          <w:cantSplit/>
        </w:trPr>
        <w:tc>
          <w:tcPr>
            <w:tcW w:type="dxa" w:w="133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核算账簿对应关系</w:t>
            </w:r>
          </w:p>
        </w:tc>
        <w:tc>
          <w:tcPr>
            <w:tcW w:type="dxa" w:w="343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逐行填写NC账簿编码，选择本系统法人及CNY／USD本位币</w:t>
            </w:r>
          </w:p>
        </w:tc>
        <w:tc>
          <w:tcPr>
            <w:tcW w:type="dxa" w:w="463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编码与03“核算账簿”原值一致；三家独立账簿不要映到同一个法人</w:t>
            </w:r>
          </w:p>
        </w:tc>
      </w:tr>
      <w:tr>
        <w:trPr>
          <w:cantSplit/>
        </w:trPr>
        <w:tc>
          <w:tcPr>
            <w:tcW w:type="dxa" w:w="133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辅助核算列</w:t>
            </w:r>
          </w:p>
        </w:tc>
        <w:tc>
          <w:tcPr>
            <w:tcW w:type="dxa" w:w="343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勾选确实存放客商的“辅助核算1—9”适用列</w:t>
            </w:r>
          </w:p>
        </w:tc>
        <w:tc>
          <w:tcPr>
            <w:tcW w:type="dxa" w:w="463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可以多选，但不能把相互冲突的不同法人当作一个对方</w:t>
            </w:r>
          </w:p>
        </w:tc>
      </w:tr>
      <w:tr>
        <w:trPr>
          <w:cantSplit/>
        </w:trPr>
        <w:tc>
          <w:tcPr>
            <w:tcW w:type="dxa" w:w="133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客商对应关系</w:t>
            </w:r>
          </w:p>
        </w:tc>
        <w:tc>
          <w:tcPr>
            <w:tcW w:type="dxa" w:w="343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原编码／原值 → 内部法人，外部则选EXTERNAL；必要时限定所属辅助列</w:t>
            </w:r>
          </w:p>
        </w:tc>
        <w:tc>
          <w:tcPr>
            <w:tcW w:type="dxa" w:w="463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复制NC所选辅助列单元格完整原值，系统精确匹配，不自动从“客户:001”截出001；不要把样例NC-HW等代码当真实编码</w:t>
            </w:r>
          </w:p>
        </w:tc>
      </w:tr>
      <w:tr>
        <w:trPr>
          <w:cantSplit/>
        </w:trPr>
        <w:tc>
          <w:tcPr>
            <w:tcW w:type="dxa" w:w="133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共同关联号来源</w:t>
            </w:r>
          </w:p>
        </w:tc>
        <w:tc>
          <w:tcPr>
            <w:tcW w:type="dxa" w:w="343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在下拉中选择“结算号”或“核销号”</w:t>
            </w:r>
          </w:p>
        </w:tc>
        <w:tc>
          <w:tcPr>
            <w:tcW w:type="dxa" w:w="463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先确认交易双方在该列共用相同业务号；没有可靠共同号时先补资料或后续规范化补注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保存后应看到保存成功提示。然后才导入03。修改配置只解释后续导入，不能对已导入的旧行自动重新解释；旧批解释错误时先重开依赖、填原因停用旧批，再用正确配置重新导入。</w:t>
      </w:r>
    </w:p>
    <w:p>
      <w:r>
        <w:rPr>
          <w:rFonts w:ascii="Arial" w:hAnsi="Arial" w:eastAsia="宋体"/>
          <w:b w:val="0"/>
          <w:i w:val="0"/>
        </w:rPr>
        <w:t>如果两边NC没有统一共同号，不要编造一个号强配；先通过合同、发票或对账资料核实，再在原凭证“补充核对信息”中填写规范化共同号及依据。原NC字段保持不变。</w:t>
      </w:r>
    </w:p>
    <w:p>
      <w:pPr>
        <w:pStyle w:val="Heading1"/>
      </w:pPr>
      <w:bookmarkStart w:id="11" w:name="epm_11"/>
      <w:r>
        <w:rPr>
          <w:rFonts w:ascii="Arial" w:hAnsi="Arial" w:eastAsia="宋体"/>
          <w:b w:val="0"/>
          <w:i w:val="0"/>
        </w:rPr>
        <w:t>四、导入01：科目映射</w:t>
      </w:r>
      <w:bookmarkEnd w:id="11"/>
    </w:p>
    <w:p>
      <w:pPr>
        <w:pStyle w:val="Heading2"/>
      </w:pPr>
      <w:bookmarkStart w:id="12" w:name="epm_12"/>
      <w:r>
        <w:rPr>
          <w:rFonts w:ascii="Arial" w:hAnsi="Arial" w:eastAsia="宋体"/>
          <w:b w:val="0"/>
          <w:i w:val="0"/>
        </w:rPr>
        <w:t>4.1 五列怎么填</w:t>
      </w:r>
      <w:bookmarkEnd w:id="12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9"/>
        <w:gridCol w:w="3759"/>
        <w:gridCol w:w="3869"/>
      </w:tblGrid>
      <w:tr>
        <w:trPr>
          <w:cantSplit/>
          <w:tblHeader w:val="true"/>
        </w:trPr>
        <w:tc>
          <w:tcPr>
            <w:tcW w:type="dxa" w:w="177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列名</w:t>
            </w:r>
          </w:p>
        </w:tc>
        <w:tc>
          <w:tcPr>
            <w:tcW w:type="dxa" w:w="375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填写方式</w:t>
            </w:r>
          </w:p>
        </w:tc>
        <w:tc>
          <w:tcPr>
            <w:tcW w:type="dxa" w:w="386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示例</w:t>
            </w:r>
          </w:p>
        </w:tc>
      </w:tr>
      <w:tr>
        <w:trPr>
          <w:cantSplit/>
        </w:trPr>
        <w:tc>
          <w:tcPr>
            <w:tcW w:type="dxa" w:w="177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法人编码</w:t>
            </w:r>
          </w:p>
        </w:tc>
        <w:tc>
          <w:tcPr>
            <w:tcW w:type="dxa" w:w="375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本系统法人ID</w:t>
            </w:r>
          </w:p>
        </w:tc>
        <w:tc>
          <w:tcPr>
            <w:tcW w:type="dxa" w:w="386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HW</w:t>
            </w:r>
          </w:p>
        </w:tc>
      </w:tr>
      <w:tr>
        <w:trPr>
          <w:cantSplit/>
        </w:trPr>
        <w:tc>
          <w:tcPr>
            <w:tcW w:type="dxa" w:w="177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科目编码</w:t>
            </w:r>
          </w:p>
        </w:tc>
        <w:tc>
          <w:tcPr>
            <w:tcW w:type="dxa" w:w="375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NC真实科目编码，按文本，保留前导0</w:t>
            </w:r>
          </w:p>
        </w:tc>
        <w:tc>
          <w:tcPr>
            <w:tcW w:type="dxa" w:w="386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6001（仅为演示编码）</w:t>
            </w:r>
          </w:p>
        </w:tc>
      </w:tr>
      <w:tr>
        <w:trPr>
          <w:cantSplit/>
        </w:trPr>
        <w:tc>
          <w:tcPr>
            <w:tcW w:type="dxa" w:w="177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科目名称</w:t>
            </w:r>
          </w:p>
        </w:tc>
        <w:tc>
          <w:tcPr>
            <w:tcW w:type="dxa" w:w="375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科目中文名称</w:t>
            </w:r>
          </w:p>
        </w:tc>
        <w:tc>
          <w:tcPr>
            <w:tcW w:type="dxa" w:w="386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主营业务收入</w:t>
            </w:r>
          </w:p>
        </w:tc>
      </w:tr>
      <w:tr>
        <w:trPr>
          <w:cantSplit/>
        </w:trPr>
        <w:tc>
          <w:tcPr>
            <w:tcW w:type="dxa" w:w="177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报表字段</w:t>
            </w:r>
          </w:p>
        </w:tc>
        <w:tc>
          <w:tcPr>
            <w:tcW w:type="dxa" w:w="375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选择对应报表字段编码；模板字典提供中文含义</w:t>
            </w:r>
          </w:p>
        </w:tc>
        <w:tc>
          <w:tcPr>
            <w:tcW w:type="dxa" w:w="386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revenue＝营业收入；cash＝货币资金</w:t>
            </w:r>
          </w:p>
        </w:tc>
      </w:tr>
      <w:tr>
        <w:trPr>
          <w:cantSplit/>
        </w:trPr>
        <w:tc>
          <w:tcPr>
            <w:tcW w:type="dxa" w:w="177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余额方向</w:t>
            </w:r>
          </w:p>
        </w:tc>
        <w:tc>
          <w:tcPr>
            <w:tcW w:type="dxa" w:w="375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正常方向，借／贷</w:t>
            </w:r>
          </w:p>
        </w:tc>
        <w:tc>
          <w:tcPr>
            <w:tcW w:type="dxa" w:w="386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收入通常贷，现金通常借；以实际映射规则为准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同一个法人＋科目编码只保留一行。三个法人即使用同一个科目编码，也各自提供对应法人行；多个实际明细科目可以归到同一报表字段，不要擅自改NC科目编码来凑样例。</w:t>
      </w:r>
    </w:p>
    <w:p>
      <w:pPr>
        <w:pStyle w:val="Heading2"/>
      </w:pPr>
      <w:bookmarkStart w:id="13" w:name="epm_13"/>
      <w:r>
        <w:rPr>
          <w:rFonts w:ascii="Arial" w:hAnsi="Arial" w:eastAsia="宋体"/>
          <w:b w:val="0"/>
          <w:i w:val="0"/>
        </w:rPr>
        <w:t>4.2 从哪个按钮导入</w:t>
      </w:r>
      <w:bookmarkEnd w:id="13"/>
    </w:p>
    <w:p>
      <w:r>
        <w:rPr>
          <w:rFonts w:ascii="Arial" w:hAnsi="Arial" w:eastAsia="宋体"/>
          <w:b w:val="0"/>
          <w:i w:val="0"/>
        </w:rPr>
        <w:t>入口：“ERP凭证与期初” → “①科目字段映射”卡片 → “选择文件并导入”。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4254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科目映射Excel导入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25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color w:val="66758D"/>
          <w:sz w:val="18"/>
        </w:rPr>
        <w:t>图 5  科目映射的XLSX导入弹窗</w:t>
      </w:r>
    </w:p>
    <w:p>
      <w:r>
        <w:rPr>
          <w:rFonts w:ascii="Arial" w:hAnsi="Arial" w:eastAsia="宋体"/>
          <w:b w:val="0"/>
          <w:i w:val="0"/>
        </w:rPr>
        <w:t>选择01文件，XLSX工作表名称留空或填“导入数据”，点击“整批校验并导入”。本表不填金额，不需要把报表金额提前算好。</w:t>
      </w:r>
    </w:p>
    <w:p>
      <w:r>
        <w:rPr>
          <w:rFonts w:ascii="Arial" w:hAnsi="Arial" w:eastAsia="宋体"/>
          <w:b w:val="0"/>
          <w:i w:val="0"/>
        </w:rPr>
        <w:t>成功后看“当前科目映射”中的法人、科目、三表字段和方向；独立已填示例应出现84条。这一步只建立规则，不会自动生成单体或合并报表。未知报表字段、重复法人科目等应先改Excel再重新提交，错误整批不落库。</w:t>
      </w:r>
    </w:p>
    <w:p>
      <w:pPr>
        <w:pStyle w:val="Heading1"/>
      </w:pPr>
      <w:bookmarkStart w:id="14" w:name="epm_14"/>
      <w:r>
        <w:rPr>
          <w:rFonts w:ascii="Arial" w:hAnsi="Arial" w:eastAsia="宋体"/>
          <w:b w:val="0"/>
          <w:i w:val="0"/>
        </w:rPr>
        <w:t>五、导入02：年初余额</w:t>
      </w:r>
      <w:bookmarkEnd w:id="14"/>
    </w:p>
    <w:p>
      <w:pPr>
        <w:pStyle w:val="Heading2"/>
      </w:pPr>
      <w:bookmarkStart w:id="15" w:name="epm_15"/>
      <w:r>
        <w:rPr>
          <w:rFonts w:ascii="Arial" w:hAnsi="Arial" w:eastAsia="宋体"/>
          <w:b w:val="0"/>
          <w:i w:val="0"/>
        </w:rPr>
        <w:t>5.1 九列怎么填</w:t>
      </w:r>
      <w:bookmarkEnd w:id="15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4"/>
        <w:gridCol w:w="6872"/>
      </w:tblGrid>
      <w:tr>
        <w:trPr>
          <w:cantSplit/>
          <w:tblHeader w:val="true"/>
        </w:trPr>
        <w:tc>
          <w:tcPr>
            <w:tcW w:type="dxa" w:w="253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列名</w:t>
            </w:r>
          </w:p>
        </w:tc>
        <w:tc>
          <w:tcPr>
            <w:tcW w:type="dxa" w:w="687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填写规则</w:t>
            </w:r>
          </w:p>
        </w:tc>
      </w:tr>
      <w:tr>
        <w:trPr>
          <w:cantSplit/>
        </w:trPr>
        <w:tc>
          <w:tcPr>
            <w:tcW w:type="dxa" w:w="253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法人编码</w:t>
            </w:r>
          </w:p>
        </w:tc>
        <w:tc>
          <w:tcPr>
            <w:tcW w:type="dxa" w:w="687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本系统法人ID，如HW、HW_CAT、HW_ELEC</w:t>
            </w:r>
          </w:p>
        </w:tc>
      </w:tr>
      <w:tr>
        <w:trPr>
          <w:cantSplit/>
        </w:trPr>
        <w:tc>
          <w:tcPr>
            <w:tcW w:type="dxa" w:w="253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会计年度</w:t>
            </w:r>
          </w:p>
        </w:tc>
        <w:tc>
          <w:tcPr>
            <w:tcW w:type="dxa" w:w="687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2026；本版不接受任意其他年份作为本期年初</w:t>
            </w:r>
          </w:p>
        </w:tc>
      </w:tr>
      <w:tr>
        <w:trPr>
          <w:cantSplit/>
        </w:trPr>
        <w:tc>
          <w:tcPr>
            <w:tcW w:type="dxa" w:w="253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科目编码</w:t>
            </w:r>
          </w:p>
        </w:tc>
        <w:tc>
          <w:tcPr>
            <w:tcW w:type="dxa" w:w="687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已在01为本法人维护的真实科目编码</w:t>
            </w:r>
          </w:p>
        </w:tc>
      </w:tr>
      <w:tr>
        <w:trPr>
          <w:cantSplit/>
        </w:trPr>
        <w:tc>
          <w:tcPr>
            <w:tcW w:type="dxa" w:w="253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币种</w:t>
            </w:r>
          </w:p>
        </w:tc>
        <w:tc>
          <w:tcPr>
            <w:tcW w:type="dxa" w:w="687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法人记账本位币CNY或USD，不是凭证交易原币</w:t>
            </w:r>
          </w:p>
        </w:tc>
      </w:tr>
      <w:tr>
        <w:trPr>
          <w:cantSplit/>
        </w:trPr>
        <w:tc>
          <w:tcPr>
            <w:tcW w:type="dxa" w:w="253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期初借方余额</w:t>
            </w:r>
          </w:p>
        </w:tc>
        <w:tc>
          <w:tcPr>
            <w:tcW w:type="dxa" w:w="687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本位币元，两位小数；同一行不要借贷两边同时填非零</w:t>
            </w:r>
          </w:p>
        </w:tc>
      </w:tr>
      <w:tr>
        <w:trPr>
          <w:cantSplit/>
        </w:trPr>
        <w:tc>
          <w:tcPr>
            <w:tcW w:type="dxa" w:w="253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期初贷方余额</w:t>
            </w:r>
          </w:p>
        </w:tc>
        <w:tc>
          <w:tcPr>
            <w:tcW w:type="dxa" w:w="687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本位币元，两位小数；每法人期初借贷合计必须平衡</w:t>
            </w:r>
          </w:p>
        </w:tc>
      </w:tr>
      <w:tr>
        <w:trPr>
          <w:cantSplit/>
        </w:trPr>
        <w:tc>
          <w:tcPr>
            <w:tcW w:type="dxa" w:w="253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内部往来对方</w:t>
            </w:r>
          </w:p>
        </w:tc>
        <w:tc>
          <w:tcPr>
            <w:tcW w:type="dxa" w:w="687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非零内部应收应付的对方法人ID；明确外部时按模板字典填EXTERNAL</w:t>
            </w:r>
          </w:p>
        </w:tc>
      </w:tr>
      <w:tr>
        <w:trPr>
          <w:cantSplit/>
        </w:trPr>
        <w:tc>
          <w:tcPr>
            <w:tcW w:type="dxa" w:w="253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交易关联号</w:t>
            </w:r>
          </w:p>
        </w:tc>
        <w:tc>
          <w:tcPr>
            <w:tcW w:type="dxa" w:w="687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内部期初往来对应的共同业务号，不能只写“期初汇总”后强配</w:t>
            </w:r>
          </w:p>
        </w:tc>
      </w:tr>
      <w:tr>
        <w:trPr>
          <w:cantSplit/>
        </w:trPr>
        <w:tc>
          <w:tcPr>
            <w:tcW w:type="dxa" w:w="2534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期初人民币留存收益</w:t>
            </w:r>
          </w:p>
        </w:tc>
        <w:tc>
          <w:tcPr>
            <w:tcW w:type="dxa" w:w="687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境外USD期初留存非零时，按历史已确认人民币金额提供；单位人民币元；不确定时先核对历史依据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真实内部往来期初不为零时，应将同一应收／应付科目按“内部对方＋共同关联号”拆成多行，并保证合计等于ERP年初余额。例如HW对HW_ELEC同一业务期初应收20000元，电子法人相同业务期初应付20000元；双方同时提供对应行。不能只有应收总额而没有另一方及共同号。</w:t>
      </w:r>
    </w:p>
    <w:p>
      <w:r>
        <w:rPr>
          <w:rFonts w:ascii="Arial" w:hAnsi="Arial" w:eastAsia="宋体"/>
          <w:b w:val="0"/>
          <w:i w:val="0"/>
        </w:rPr>
        <w:t>演示02文件的内部往来期初为零，仅用于跑通本案例；不表示真实账套可以把非零内部期初删掉。损益科目的年初余额在本受限模型中应为零，不把本年累计收入放到年初余额。</w:t>
      </w:r>
    </w:p>
    <w:p>
      <w:pPr>
        <w:pStyle w:val="Heading2"/>
      </w:pPr>
      <w:bookmarkStart w:id="16" w:name="epm_16"/>
      <w:r>
        <w:rPr>
          <w:rFonts w:ascii="Arial" w:hAnsi="Arial" w:eastAsia="宋体"/>
          <w:b w:val="0"/>
          <w:i w:val="0"/>
        </w:rPr>
        <w:t>5.2 从哪个按钮导入</w:t>
      </w:r>
      <w:bookmarkEnd w:id="16"/>
    </w:p>
    <w:p>
      <w:r>
        <w:rPr>
          <w:rFonts w:ascii="Arial" w:hAnsi="Arial" w:eastAsia="宋体"/>
          <w:b w:val="0"/>
          <w:i w:val="0"/>
        </w:rPr>
        <w:t>入口：“ERP凭证与期初” → “②年初科目余额”卡片 → “选择文件并导入”。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4254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年初余额Excel导入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25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color w:val="66758D"/>
          <w:sz w:val="18"/>
        </w:rPr>
        <w:t>图 6  年初余额的XLSX导入弹窗</w:t>
      </w:r>
    </w:p>
    <w:p>
      <w:r>
        <w:rPr>
          <w:rFonts w:ascii="Arial" w:hAnsi="Arial" w:eastAsia="宋体"/>
          <w:b w:val="0"/>
          <w:i w:val="0"/>
        </w:rPr>
        <w:t>选择02，金额单位选“元”，XLSX工作表留空或“导入数据”，点击“整批校验并导入”。成功后应出现期初批次及有效行；独立已填示例为14行。此时只是期初资料就绪，需要完成凭证导入及生成步骤才有新法人三表。</w:t>
      </w:r>
    </w:p>
    <w:p>
      <w:pPr>
        <w:pStyle w:val="Heading1"/>
      </w:pPr>
      <w:bookmarkStart w:id="17" w:name="epm_17"/>
      <w:r>
        <w:rPr>
          <w:rFonts w:ascii="Arial" w:hAnsi="Arial" w:eastAsia="宋体"/>
          <w:b w:val="0"/>
          <w:i w:val="0"/>
        </w:rPr>
        <w:t>六、导入03：用友NC6.5原48列凭证</w:t>
      </w:r>
      <w:bookmarkEnd w:id="17"/>
    </w:p>
    <w:p>
      <w:pPr>
        <w:pStyle w:val="Heading2"/>
      </w:pPr>
      <w:bookmarkStart w:id="18" w:name="epm_18"/>
      <w:r>
        <w:rPr>
          <w:rFonts w:ascii="Arial" w:hAnsi="Arial" w:eastAsia="宋体"/>
          <w:b w:val="0"/>
          <w:i w:val="0"/>
        </w:rPr>
        <w:t>6.1 原48列怎么粘贴</w:t>
      </w:r>
      <w:bookmarkEnd w:id="18"/>
    </w:p>
    <w:p>
      <w:r>
        <w:rPr>
          <w:rFonts w:ascii="Arial" w:hAnsi="Arial" w:eastAsia="宋体"/>
          <w:b w:val="0"/>
          <w:i w:val="0"/>
        </w:rPr>
        <w:t>模板保留你提供的NC48列表头，星号沿用NC原导出约定；星号不表示本Demo会对每个标星字段分别执行NC原系统的全部校验，实际检查及用途见模板“字段说明”。将NC导出的列按相同列名粘到第2行起，保留原币、本币、集团／全局本币及辅助核算等全部原字段。不要用04准备表覆盖凭证原列，也不要在48列后自行添加“经营／投资／筹资”当成系统可自动读取的NC现金分类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5"/>
        <w:gridCol w:w="6381"/>
      </w:tblGrid>
      <w:tr>
        <w:trPr>
          <w:cantSplit/>
          <w:tblHeader w:val="true"/>
        </w:trPr>
        <w:tc>
          <w:tcPr>
            <w:tcW w:type="dxa" w:w="302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字段组</w:t>
            </w:r>
          </w:p>
        </w:tc>
        <w:tc>
          <w:tcPr>
            <w:tcW w:type="dxa" w:w="638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填写与核对重点</w:t>
            </w:r>
          </w:p>
        </w:tc>
      </w:tr>
      <w:tr>
        <w:trPr>
          <w:cantSplit/>
        </w:trPr>
        <w:tc>
          <w:tcPr>
            <w:tcW w:type="dxa" w:w="302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核算账簿、类别、号、日期</w:t>
            </w:r>
          </w:p>
        </w:tc>
        <w:tc>
          <w:tcPr>
            <w:tcW w:type="dxa" w:w="638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账簿先在04页面映射；同张凭证分录的日期一致；不同账簿、月份、类别同号不混在一起</w:t>
            </w:r>
          </w:p>
        </w:tc>
      </w:tr>
      <w:tr>
        <w:trPr>
          <w:cantSplit/>
        </w:trPr>
        <w:tc>
          <w:tcPr>
            <w:tcW w:type="dxa" w:w="302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科目编码、摘要、制单人</w:t>
            </w:r>
          </w:p>
        </w:tc>
        <w:tc>
          <w:tcPr>
            <w:tcW w:type="dxa" w:w="638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科目先在01映射；保留原摘要和制单信息，不用演示值替换真实内容</w:t>
            </w:r>
          </w:p>
        </w:tc>
      </w:tr>
      <w:tr>
        <w:trPr>
          <w:cantSplit/>
        </w:trPr>
        <w:tc>
          <w:tcPr>
            <w:tcW w:type="dxa" w:w="302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币种、原币借贷</w:t>
            </w:r>
          </w:p>
        </w:tc>
        <w:tc>
          <w:tcPr>
            <w:tcW w:type="dxa" w:w="638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NC“币种”是交易币；保留真实原币借贷供核对，不能据此改法人记账本位币</w:t>
            </w:r>
          </w:p>
        </w:tc>
      </w:tr>
      <w:tr>
        <w:trPr>
          <w:cantSplit/>
        </w:trPr>
        <w:tc>
          <w:tcPr>
            <w:tcW w:type="dxa" w:w="302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本币借贷</w:t>
            </w:r>
          </w:p>
        </w:tc>
        <w:tc>
          <w:tcPr>
            <w:tcW w:type="dxa" w:w="638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这是法人入账唯一金额依据，单位与弹窗选择一致；每张凭证借贷平衡</w:t>
            </w:r>
          </w:p>
        </w:tc>
      </w:tr>
      <w:tr>
        <w:trPr>
          <w:cantSplit/>
        </w:trPr>
        <w:tc>
          <w:tcPr>
            <w:tcW w:type="dxa" w:w="302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集团／全局本币金额及汇率</w:t>
            </w:r>
          </w:p>
        </w:tc>
        <w:tc>
          <w:tcPr>
            <w:tcW w:type="dxa" w:w="638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原样保留，只作核对，不与本币重复计入，也不在此再次折算集团报表</w:t>
            </w:r>
          </w:p>
        </w:tc>
      </w:tr>
      <w:tr>
        <w:trPr>
          <w:cantSplit/>
        </w:trPr>
        <w:tc>
          <w:tcPr>
            <w:tcW w:type="dxa" w:w="302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结算号、核销号</w:t>
            </w:r>
          </w:p>
        </w:tc>
        <w:tc>
          <w:tcPr>
            <w:tcW w:type="dxa" w:w="638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按04选定的来源列提供双方共同关联号，未选列不代替当前配置列</w:t>
            </w:r>
          </w:p>
        </w:tc>
      </w:tr>
      <w:tr>
        <w:trPr>
          <w:cantSplit/>
        </w:trPr>
        <w:tc>
          <w:tcPr>
            <w:tcW w:type="dxa" w:w="302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辅助核算1—9</w:t>
            </w:r>
          </w:p>
        </w:tc>
        <w:tc>
          <w:tcPr>
            <w:tcW w:type="dxa" w:w="638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保留原值；04选择实际客商列并映射内部或明确外部，未知不猜</w:t>
            </w:r>
          </w:p>
        </w:tc>
      </w:tr>
      <w:tr>
        <w:trPr>
          <w:cantSplit/>
        </w:trPr>
        <w:tc>
          <w:tcPr>
            <w:tcW w:type="dxa" w:w="3025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其余原列</w:t>
            </w:r>
          </w:p>
        </w:tc>
        <w:tc>
          <w:tcPr>
            <w:tcW w:type="dxa" w:w="638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如银行账户、结算方式、VAT等按原导出保留；当前不把每个原列都当独立财务计算维度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每一行是一条凭证分录，不是一张凭证的汇总；至少提供整张平衡凭证。同一张凭证不要拆到两个导入批次，重复凭证行会被拒绝。NC导出没有记账状态列，所以导出时先限定已记账范围，并在弹窗勾选确认；这不表示系统已经联网向NC核验记账状态。</w:t>
      </w:r>
    </w:p>
    <w:p>
      <w:r>
        <w:rPr>
          <w:rFonts w:ascii="Arial" w:hAnsi="Arial" w:eastAsia="宋体"/>
          <w:b w:val="0"/>
          <w:i w:val="0"/>
        </w:rPr>
        <w:t>同张凭证中如果只有一个明确已解析的客商和一个共同号，系统可按本版规则向原辅助为空的相关行承接，原字段不改，另有依据记录；多客商、多关联号、未映射冲突不做任意选择。</w:t>
      </w:r>
    </w:p>
    <w:p>
      <w:pPr>
        <w:pStyle w:val="Heading2"/>
      </w:pPr>
      <w:bookmarkStart w:id="19" w:name="epm_19"/>
      <w:r>
        <w:rPr>
          <w:rFonts w:ascii="Arial" w:hAnsi="Arial" w:eastAsia="宋体"/>
          <w:b w:val="0"/>
          <w:i w:val="0"/>
        </w:rPr>
        <w:t>6.2 从哪个按钮导入</w:t>
      </w:r>
      <w:bookmarkEnd w:id="19"/>
    </w:p>
    <w:p>
      <w:r>
        <w:rPr>
          <w:rFonts w:ascii="Arial" w:hAnsi="Arial" w:eastAsia="宋体"/>
          <w:b w:val="0"/>
          <w:i w:val="0"/>
        </w:rPr>
        <w:t>入口：“ERP凭证与期初” → “NC6.5导出适配” → “导入NC6.5凭证”。不要选上方③的通用凭证入口。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4254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NC48凭证Excel导入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25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color w:val="66758D"/>
          <w:sz w:val="18"/>
        </w:rPr>
        <w:t>图 7  NC6.5原48列凭证的专用导入弹窗</w:t>
      </w:r>
    </w:p>
    <w:p>
      <w:pPr>
        <w:ind w:left="283" w:hanging="198"/>
      </w:pPr>
      <w:r>
        <w:rPr>
          <w:rFonts w:ascii="Arial" w:hAnsi="Arial" w:eastAsia="宋体"/>
        </w:rPr>
        <w:t xml:space="preserve">1. </w:t>
      </w:r>
      <w:r>
        <w:rPr>
          <w:rFonts w:ascii="Arial" w:hAnsi="Arial" w:eastAsia="宋体"/>
          <w:b w:val="0"/>
          <w:i w:val="0"/>
        </w:rPr>
        <w:t>选择03文件或对应已填NC示例。</w:t>
      </w:r>
    </w:p>
    <w:p>
      <w:pPr>
        <w:ind w:left="283" w:hanging="198"/>
      </w:pPr>
      <w:r>
        <w:rPr>
          <w:rFonts w:ascii="Arial" w:hAnsi="Arial" w:eastAsia="宋体"/>
        </w:rPr>
        <w:t xml:space="preserve">2. </w:t>
      </w:r>
      <w:r>
        <w:rPr>
          <w:rFonts w:ascii="Arial" w:hAnsi="Arial" w:eastAsia="宋体"/>
          <w:b w:val="0"/>
          <w:i w:val="0"/>
        </w:rPr>
        <w:t>本币金额单位选“元”。如果你的原始文件实际为万元，须先统一数据与选择，不可猜测单位。</w:t>
      </w:r>
    </w:p>
    <w:p>
      <w:pPr>
        <w:ind w:left="283" w:hanging="198"/>
      </w:pPr>
      <w:r>
        <w:rPr>
          <w:rFonts w:ascii="Arial" w:hAnsi="Arial" w:eastAsia="宋体"/>
        </w:rPr>
        <w:t xml:space="preserve">3. </w:t>
      </w:r>
      <w:r>
        <w:rPr>
          <w:rFonts w:ascii="Arial" w:hAnsi="Arial" w:eastAsia="宋体"/>
          <w:b w:val="0"/>
          <w:i w:val="0"/>
        </w:rPr>
        <w:t>XLSX工作表名留空或填“导入数据”；本模板首表已按此设置。CSV编码选项对XLSX无须改动。</w:t>
      </w:r>
    </w:p>
    <w:p>
      <w:pPr>
        <w:ind w:left="283" w:hanging="198"/>
      </w:pPr>
      <w:r>
        <w:rPr>
          <w:rFonts w:ascii="Arial" w:hAnsi="Arial" w:eastAsia="宋体"/>
        </w:rPr>
        <w:t xml:space="preserve">4. </w:t>
      </w:r>
      <w:r>
        <w:rPr>
          <w:rFonts w:ascii="Arial" w:hAnsi="Arial" w:eastAsia="宋体"/>
          <w:b w:val="0"/>
          <w:i w:val="0"/>
        </w:rPr>
        <w:t>核实并勾选“仅包含已记账业务数据”的确认。</w:t>
      </w:r>
    </w:p>
    <w:p>
      <w:pPr>
        <w:ind w:left="283" w:hanging="198"/>
      </w:pPr>
      <w:r>
        <w:rPr>
          <w:rFonts w:ascii="Arial" w:hAnsi="Arial" w:eastAsia="宋体"/>
        </w:rPr>
        <w:t xml:space="preserve">5. </w:t>
      </w:r>
      <w:r>
        <w:rPr>
          <w:rFonts w:ascii="Arial" w:hAnsi="Arial" w:eastAsia="宋体"/>
          <w:b w:val="0"/>
          <w:i w:val="0"/>
        </w:rPr>
        <w:t>点击“整批校验并导入”，等待成功提示，再查看批次原始行。</w:t>
      </w:r>
    </w:p>
    <w:p>
      <w:r>
        <w:rPr>
          <w:rFonts w:ascii="Arial" w:hAnsi="Arial" w:eastAsia="宋体"/>
          <w:b w:val="0"/>
          <w:i w:val="0"/>
        </w:rPr>
        <w:t>成功后独立已填示例为48行分录，NC原48列能在“查看NC原字段／来源”中核对。文件导入后不会自动生成单体三表、抵销或小合并，继续第八至十节。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4254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导入成功批次与映射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25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color w:val="66758D"/>
          <w:sz w:val="18"/>
        </w:rPr>
        <w:t>图 8  导入成功后的批次记录和科目映射</w:t>
      </w:r>
    </w:p>
    <w:p>
      <w:pPr>
        <w:pStyle w:val="Heading1"/>
      </w:pPr>
      <w:bookmarkStart w:id="20" w:name="epm_20"/>
      <w:r>
        <w:rPr>
          <w:rFonts w:ascii="Arial" w:hAnsi="Arial" w:eastAsia="宋体"/>
          <w:b w:val="0"/>
          <w:i w:val="0"/>
        </w:rPr>
        <w:t>七、05现金分类准备表与06通用替代模板</w:t>
      </w:r>
      <w:bookmarkEnd w:id="20"/>
    </w:p>
    <w:p>
      <w:pPr>
        <w:pStyle w:val="Heading2"/>
      </w:pPr>
      <w:bookmarkStart w:id="21" w:name="epm_21"/>
      <w:r>
        <w:rPr>
          <w:rFonts w:ascii="Arial" w:hAnsi="Arial" w:eastAsia="宋体"/>
          <w:b w:val="0"/>
          <w:i w:val="0"/>
        </w:rPr>
        <w:t>7.1 何时需要填05</w:t>
      </w:r>
      <w:bookmarkEnd w:id="21"/>
    </w:p>
    <w:p>
      <w:r>
        <w:rPr>
          <w:rFonts w:ascii="Arial" w:hAnsi="Arial" w:eastAsia="宋体"/>
          <w:b w:val="0"/>
          <w:i w:val="0"/>
        </w:rPr>
        <w:t>单体生成时如提示现金流待分类，到“法人凭证与三表”查看相关法人原凭证，定位映射为cash的现金／银行科目行，记录批次、源行、凭证号、科目、借贷及分类依据到05。仅对需人工核实的行补类别，不对收入、费用、应收等非现金行填现金类别。</w:t>
      </w:r>
    </w:p>
    <w:p>
      <w:r>
        <w:rPr>
          <w:rFonts w:ascii="Arial" w:hAnsi="Arial" w:eastAsia="宋体"/>
          <w:b w:val="0"/>
          <w:i w:val="0"/>
        </w:rPr>
        <w:t>在该现金行点击“补充核对信息”，勾选更新现金流分类，选“经营／投资／筹资”，填核实原因后保存，再重新生成法人三表。补注改的是规范化分类，原NC金额、日期、科目和raw字段不改。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4254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现金流分类页面维护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25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color w:val="66758D"/>
          <w:sz w:val="18"/>
        </w:rPr>
        <w:t>图 9  现金原行的分类补注：勾选类别并填写依据</w:t>
      </w:r>
    </w:p>
    <w:p>
      <w:r>
        <w:rPr>
          <w:rFonts w:ascii="Arial" w:hAnsi="Arial" w:eastAsia="宋体"/>
          <w:b w:val="0"/>
          <w:i w:val="0"/>
        </w:rPr>
        <w:t>一个现金分录行只支持一个类别。若同一现金行实际混合经营与筹资等多类金额，应先按业务依据取得拆分明细或回ERP拆分分录后重导；05准备表不是金额分摊引擎，也不能随便选一类消除报错。</w:t>
      </w:r>
    </w:p>
    <w:p>
      <w:pPr>
        <w:pStyle w:val="Heading2"/>
      </w:pPr>
      <w:bookmarkStart w:id="22" w:name="epm_22"/>
      <w:r>
        <w:rPr>
          <w:rFonts w:ascii="Arial" w:hAnsi="Arial" w:eastAsia="宋体"/>
          <w:b w:val="0"/>
          <w:i w:val="0"/>
        </w:rPr>
        <w:t>7.2 何时使用06替代03</w:t>
      </w:r>
      <w:bookmarkEnd w:id="22"/>
    </w:p>
    <w:p>
      <w:r>
        <w:rPr>
          <w:rFonts w:ascii="Arial" w:hAnsi="Arial" w:eastAsia="宋体"/>
          <w:b w:val="0"/>
          <w:i w:val="0"/>
        </w:rPr>
        <w:t>若已经有可靠的转换过程，可将完整凭证整理成06的15列，用上方“③完整已记账凭证 → 选择文件并导入”。03与06对同一业务二选一，不能叠加。</w:t>
      </w:r>
    </w:p>
    <w:p>
      <w:r>
        <w:rPr>
          <w:rFonts w:ascii="Arial" w:hAnsi="Arial" w:eastAsia="宋体"/>
          <w:b w:val="0"/>
          <w:i w:val="0"/>
        </w:rPr>
        <w:t>06包含法人编码、凭证日期／类别／号／分录序号、科目编码、借贷金额、本位币、摘要、内部往来对方、共同关联号、内部交易类型、现金流类别及凭证类型。字段字典和下拉给出允许值；现金流类别仅cash行填，内部收入、成本、应收、应付须按实际类别与双方关系维护。通用表不保留整套NC48列原样结构，需要NC原字段审计时优先使用03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42543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通用凭证替代入口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25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color w:val="66758D"/>
          <w:sz w:val="18"/>
        </w:rPr>
        <w:t>图 10  通用凭证的替代导入弹窗，与NC专用入口二选一</w:t>
      </w:r>
    </w:p>
    <w:p>
      <w:pPr>
        <w:pStyle w:val="Heading1"/>
      </w:pPr>
      <w:bookmarkStart w:id="23" w:name="epm_23"/>
      <w:r>
        <w:rPr>
          <w:rFonts w:ascii="Arial" w:hAnsi="Arial" w:eastAsia="宋体"/>
          <w:b w:val="0"/>
          <w:i w:val="0"/>
        </w:rPr>
        <w:t>八、从导入资料生成单独法人财务报表</w:t>
      </w:r>
      <w:bookmarkEnd w:id="23"/>
    </w:p>
    <w:p>
      <w:r>
        <w:rPr>
          <w:rFonts w:ascii="Arial" w:hAnsi="Arial" w:eastAsia="宋体"/>
          <w:b w:val="0"/>
          <w:i w:val="0"/>
        </w:rPr>
        <w:t>入口：“法人凭证与三表”。导入整套七法人示例时，先将顶部范围切到“杭州天元集团合并”，再生成全部；当前范围只选鸿旺时不能要求生成范围外的其他法人。首次可点“生成全部已导入法人”；也可选择一家，点“生成当前法人三表源”。只做鸿旺测试，应至少确保三家源已由本期有效凭证生成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42543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生成法人三表效果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25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color w:val="66758D"/>
          <w:sz w:val="18"/>
        </w:rPr>
        <w:t>图 11  从凭证生成单独法人三表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60"/>
        <w:gridCol w:w="4039"/>
        <w:gridCol w:w="3607"/>
      </w:tblGrid>
      <w:tr>
        <w:trPr>
          <w:cantSplit/>
          <w:tblHeader w:val="true"/>
        </w:trPr>
        <w:tc>
          <w:tcPr>
            <w:tcW w:type="dxa" w:w="176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生成后查看</w:t>
            </w:r>
          </w:p>
        </w:tc>
        <w:tc>
          <w:tcPr>
            <w:tcW w:type="dxa" w:w="403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应看到什么</w:t>
            </w:r>
          </w:p>
        </w:tc>
        <w:tc>
          <w:tcPr>
            <w:tcW w:type="dxa" w:w="360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不应误解为什么</w:t>
            </w:r>
          </w:p>
        </w:tc>
      </w:tr>
      <w:tr>
        <w:trPr>
          <w:cantSplit/>
        </w:trPr>
        <w:tc>
          <w:tcPr>
            <w:tcW w:type="dxa" w:w="176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科目试算余额</w:t>
            </w:r>
          </w:p>
        </w:tc>
        <w:tc>
          <w:tcPr>
            <w:tcW w:type="dxa" w:w="403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期初、当期借贷、期末借贷及科目归属</w:t>
            </w:r>
          </w:p>
        </w:tc>
        <w:tc>
          <w:tcPr>
            <w:tcW w:type="dxa" w:w="360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不是只拿单月收入拼全年报表</w:t>
            </w:r>
          </w:p>
        </w:tc>
      </w:tr>
      <w:tr>
        <w:trPr>
          <w:cantSplit/>
        </w:trPr>
        <w:tc>
          <w:tcPr>
            <w:tcW w:type="dxa" w:w="176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利润表</w:t>
            </w:r>
          </w:p>
        </w:tc>
        <w:tc>
          <w:tcPr>
            <w:tcW w:type="dxa" w:w="403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截至所选月的累计收入、成本、费用和净利润</w:t>
            </w:r>
          </w:p>
        </w:tc>
        <w:tc>
          <w:tcPr>
            <w:tcW w:type="dxa" w:w="360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不是集团合并结果</w:t>
            </w:r>
          </w:p>
        </w:tc>
      </w:tr>
      <w:tr>
        <w:trPr>
          <w:cantSplit/>
        </w:trPr>
        <w:tc>
          <w:tcPr>
            <w:tcW w:type="dxa" w:w="176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资产负债表</w:t>
            </w:r>
          </w:p>
        </w:tc>
        <w:tc>
          <w:tcPr>
            <w:tcW w:type="dxa" w:w="403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期初加完整凭证后的期末资产、负债、权益，勾稽通过</w:t>
            </w:r>
          </w:p>
        </w:tc>
        <w:tc>
          <w:tcPr>
            <w:tcW w:type="dxa" w:w="360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不能删差额或把差额塞进留存</w:t>
            </w:r>
          </w:p>
        </w:tc>
      </w:tr>
      <w:tr>
        <w:trPr>
          <w:cantSplit/>
        </w:trPr>
        <w:tc>
          <w:tcPr>
            <w:tcW w:type="dxa" w:w="176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现金流量表</w:t>
            </w:r>
          </w:p>
        </w:tc>
        <w:tc>
          <w:tcPr>
            <w:tcW w:type="dxa" w:w="403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明确现金类别或可无歧义推导的经营、投资、筹资等</w:t>
            </w:r>
          </w:p>
        </w:tc>
        <w:tc>
          <w:tcPr>
            <w:tcW w:type="dxa" w:w="360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现金待分类时不能以期末现金倒推经营现金流</w:t>
            </w:r>
          </w:p>
        </w:tc>
      </w:tr>
      <w:tr>
        <w:trPr>
          <w:cantSplit/>
        </w:trPr>
        <w:tc>
          <w:tcPr>
            <w:tcW w:type="dxa" w:w="176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追溯原始凭证</w:t>
            </w:r>
          </w:p>
        </w:tc>
        <w:tc>
          <w:tcPr>
            <w:tcW w:type="dxa" w:w="403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对应字段实际贡献的原分录、期初及来源</w:t>
            </w:r>
          </w:p>
        </w:tc>
        <w:tc>
          <w:tcPr>
            <w:tcW w:type="dxa" w:w="3607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历史结果不能用新导入的凭证替换原快照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本套独立已填示例假设2026年1—8月没有业务发生，48条分录集中在9月15日，因此可以构成1—9月完整示例；真实账套不能据此省略1—8月凭证。其2026年09期法人预期（本位币万元）：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2"/>
        <w:gridCol w:w="2311"/>
        <w:gridCol w:w="2311"/>
        <w:gridCol w:w="2311"/>
      </w:tblGrid>
      <w:tr>
        <w:trPr>
          <w:cantSplit/>
          <w:tblHeader w:val="true"/>
        </w:trPr>
        <w:tc>
          <w:tcPr>
            <w:tcW w:type="dxa" w:w="247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8"/>
              </w:rPr>
              <w:t>法人</w:t>
            </w:r>
          </w:p>
        </w:tc>
        <w:tc>
          <w:tcPr>
            <w:tcW w:type="dxa" w:w="231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8"/>
              </w:rPr>
              <w:t>收入</w:t>
            </w:r>
          </w:p>
        </w:tc>
        <w:tc>
          <w:tcPr>
            <w:tcW w:type="dxa" w:w="231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8"/>
              </w:rPr>
              <w:t>净利润</w:t>
            </w:r>
          </w:p>
        </w:tc>
        <w:tc>
          <w:tcPr>
            <w:tcW w:type="dxa" w:w="231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8"/>
              </w:rPr>
              <w:t>期末资产</w:t>
            </w:r>
          </w:p>
        </w:tc>
      </w:tr>
      <w:tr>
        <w:trPr>
          <w:cantSplit/>
        </w:trPr>
        <w:tc>
          <w:tcPr>
            <w:tcW w:type="dxa" w:w="247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HW</w:t>
            </w:r>
          </w:p>
        </w:tc>
        <w:tc>
          <w:tcPr>
            <w:tcW w:type="dxa" w:w="231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1000</w:t>
            </w:r>
          </w:p>
        </w:tc>
        <w:tc>
          <w:tcPr>
            <w:tcW w:type="dxa" w:w="231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300</w:t>
            </w:r>
          </w:p>
        </w:tc>
        <w:tc>
          <w:tcPr>
            <w:tcW w:type="dxa" w:w="231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400</w:t>
            </w:r>
          </w:p>
        </w:tc>
      </w:tr>
      <w:tr>
        <w:trPr>
          <w:cantSplit/>
        </w:trPr>
        <w:tc>
          <w:tcPr>
            <w:tcW w:type="dxa" w:w="247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HW_CAT</w:t>
            </w:r>
          </w:p>
        </w:tc>
        <w:tc>
          <w:tcPr>
            <w:tcW w:type="dxa" w:w="231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300</w:t>
            </w:r>
          </w:p>
        </w:tc>
        <w:tc>
          <w:tcPr>
            <w:tcW w:type="dxa" w:w="231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90</w:t>
            </w:r>
          </w:p>
        </w:tc>
        <w:tc>
          <w:tcPr>
            <w:tcW w:type="dxa" w:w="231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140</w:t>
            </w:r>
          </w:p>
        </w:tc>
      </w:tr>
      <w:tr>
        <w:trPr>
          <w:cantSplit/>
        </w:trPr>
        <w:tc>
          <w:tcPr>
            <w:tcW w:type="dxa" w:w="2472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HW_ELEC</w:t>
            </w:r>
          </w:p>
        </w:tc>
        <w:tc>
          <w:tcPr>
            <w:tcW w:type="dxa" w:w="231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200</w:t>
            </w:r>
          </w:p>
        </w:tc>
        <w:tc>
          <w:tcPr>
            <w:tcW w:type="dxa" w:w="231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60</w:t>
            </w:r>
          </w:p>
        </w:tc>
        <w:tc>
          <w:tcPr>
            <w:tcW w:type="dxa" w:w="2311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8"/>
              </w:rPr>
              <w:t>130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期末资产简单相加670，内部应收／应付20匹配抵销后鸿旺资产650。三家收入合计1500，内部销售100抵销后收入1400；销售与成本等额抵销，三家净利润合计450保持。</w:t>
      </w:r>
    </w:p>
    <w:p>
      <w:pPr>
        <w:pStyle w:val="Heading1"/>
      </w:pPr>
      <w:bookmarkStart w:id="24" w:name="epm_24"/>
      <w:r>
        <w:rPr>
          <w:rFonts w:ascii="Arial" w:hAnsi="Arial" w:eastAsia="宋体"/>
          <w:b w:val="0"/>
          <w:i w:val="0"/>
        </w:rPr>
        <w:t>九、自动抵销：先核对，再生成草稿和审批</w:t>
      </w:r>
      <w:bookmarkEnd w:id="24"/>
    </w:p>
    <w:p>
      <w:r>
        <w:rPr>
          <w:rFonts w:ascii="Arial" w:hAnsi="Arial" w:eastAsia="宋体"/>
          <w:b w:val="0"/>
          <w:i w:val="0"/>
        </w:rPr>
        <w:t>选择“鸿旺小合并”，进入“内部交易匹配与差异”，点“扫描本层内部交易”。03独立已填案例的鸿旺应有3项准确匹配：80万元已结算销售／采购、20万元未结算销售／采购，以及20万元应收／应付余额。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42543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B_内部交易准确匹配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25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color w:val="66758D"/>
          <w:sz w:val="18"/>
        </w:rPr>
        <w:t>图 12  鸿旺内部交易准确匹配及原凭证入口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42543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C_负责人审批自动抵销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25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color w:val="66758D"/>
          <w:sz w:val="18"/>
        </w:rPr>
        <w:t>图 13  财务负责人核对并审批自动抵销草稿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13"/>
        <w:gridCol w:w="6393"/>
      </w:tblGrid>
      <w:tr>
        <w:trPr>
          <w:cantSplit/>
          <w:tblHeader w:val="true"/>
        </w:trPr>
        <w:tc>
          <w:tcPr>
            <w:tcW w:type="dxa" w:w="301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操作</w:t>
            </w:r>
          </w:p>
        </w:tc>
        <w:tc>
          <w:tcPr>
            <w:tcW w:type="dxa" w:w="639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实际效果</w:t>
            </w:r>
          </w:p>
        </w:tc>
      </w:tr>
      <w:tr>
        <w:trPr>
          <w:cantSplit/>
        </w:trPr>
        <w:tc>
          <w:tcPr>
            <w:tcW w:type="dxa" w:w="301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查看双方凭证</w:t>
            </w:r>
          </w:p>
        </w:tc>
        <w:tc>
          <w:tcPr>
            <w:tcW w:type="dxa" w:w="639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按共同号查看交易两边和各自源行，不用相同金额代替证据</w:t>
            </w:r>
          </w:p>
        </w:tc>
      </w:tr>
      <w:tr>
        <w:trPr>
          <w:cantSplit/>
        </w:trPr>
        <w:tc>
          <w:tcPr>
            <w:tcW w:type="dxa" w:w="301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准确匹配项生成抵销草稿</w:t>
            </w:r>
          </w:p>
        </w:tc>
        <w:tc>
          <w:tcPr>
            <w:tcW w:type="dxa" w:w="639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销售形成借收入／贷成本，往来余额形成借应付／贷应收；仅草稿，尚未进正式合并</w:t>
            </w:r>
          </w:p>
        </w:tc>
      </w:tr>
      <w:tr>
        <w:trPr>
          <w:cantSplit/>
        </w:trPr>
        <w:tc>
          <w:tcPr>
            <w:tcW w:type="dxa" w:w="301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审批本层自动抵销草稿</w:t>
            </w:r>
          </w:p>
        </w:tc>
        <w:tc>
          <w:tcPr>
            <w:tcW w:type="dxa" w:w="639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集团财务负责人核实原因后审批，来源已变化或差异未解决的不能冒充有效审批</w:t>
            </w:r>
          </w:p>
        </w:tc>
      </w:tr>
      <w:tr>
        <w:trPr>
          <w:cantSplit/>
        </w:trPr>
        <w:tc>
          <w:tcPr>
            <w:tcW w:type="dxa" w:w="301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差异追到原始凭证</w:t>
            </w:r>
          </w:p>
        </w:tc>
        <w:tc>
          <w:tcPr>
            <w:tcW w:type="dxa" w:w="639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显示缺号、未知对方、单边、币种或金额差异；不自动补平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核实只是共同号／客商／现金分类缺失时，可在有效原行补注并填依据，然后重新生成单体、扫描、生成草稿、审批和合并。金额错误需回ERP更正，再填原因停用错误批次并重导；不能在补注表单里修改金额。停用的旧批次只读，新有效批次可以继续补注，历史结果保留当时的凭证来源。</w:t>
      </w:r>
    </w:p>
    <w:p>
      <w:r>
        <w:rPr>
          <w:rFonts w:ascii="Arial" w:hAnsi="Arial" w:eastAsia="宋体"/>
          <w:b w:val="0"/>
          <w:i w:val="0"/>
        </w:rPr>
        <w:t>这里的3项属于独立48分录文件案例。软件“载入鸿旺完整凭证样例”是另一套396行凭证：鸿旺18项、集团9项；不能把两套数据同时导入或拿其匹配数互相验收。</w:t>
      </w:r>
    </w:p>
    <w:p>
      <w:pPr>
        <w:pStyle w:val="Heading1"/>
      </w:pPr>
      <w:bookmarkStart w:id="25" w:name="epm_25"/>
      <w:r>
        <w:rPr>
          <w:rFonts w:ascii="Arial" w:hAnsi="Arial" w:eastAsia="宋体"/>
          <w:b w:val="0"/>
          <w:i w:val="0"/>
        </w:rPr>
        <w:t>十、生成鸿旺小合并，再生成集团大合并</w:t>
      </w:r>
      <w:bookmarkEnd w:id="25"/>
    </w:p>
    <w:p>
      <w:pPr>
        <w:pStyle w:val="Heading2"/>
      </w:pPr>
      <w:bookmarkStart w:id="26" w:name="epm_26"/>
      <w:r>
        <w:rPr>
          <w:rFonts w:ascii="Arial" w:hAnsi="Arial" w:eastAsia="宋体"/>
          <w:b w:val="0"/>
          <w:i w:val="0"/>
        </w:rPr>
        <w:t>10.1 鸿旺小合并</w:t>
      </w:r>
      <w:bookmarkEnd w:id="26"/>
    </w:p>
    <w:p>
      <w:r>
        <w:rPr>
          <w:rFonts w:ascii="Arial" w:hAnsi="Arial" w:eastAsia="宋体"/>
          <w:b w:val="0"/>
          <w:i w:val="0"/>
        </w:rPr>
        <w:t>选择“鸿旺小合并” → “分级合并与结果”。检查三个法人有效源、当前匹配、草稿审批和预置示例转换等前置通过，再点“计算本层新版本”，核对后“签核当前结果”。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42543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A_鸿旺小合并已签核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25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color w:val="66758D"/>
          <w:sz w:val="18"/>
        </w:rPr>
        <w:t>图 14  鸿旺小合并的有效签核与依赖结果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42543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B_鸿旺小合并报表效果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25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color w:val="66758D"/>
          <w:sz w:val="18"/>
        </w:rPr>
        <w:t>图 15  鸿旺小合并报表：收入1400万元、净利润450万元</w:t>
      </w:r>
    </w:p>
    <w:p>
      <w:r>
        <w:rPr>
          <w:rFonts w:ascii="Arial" w:hAnsi="Arial" w:eastAsia="宋体"/>
          <w:b w:val="0"/>
          <w:i w:val="0"/>
        </w:rPr>
        <w:t>独立已填案例预期：鸿旺收入1400万元、净利润450万元、资产650万元。选择“集团三张报表”可查看该范围财务报表；点击来源／版本可继续钻取当时法人源和凭证。</w:t>
      </w:r>
    </w:p>
    <w:p>
      <w:pPr>
        <w:pStyle w:val="Heading2"/>
      </w:pPr>
      <w:bookmarkStart w:id="27" w:name="epm_27"/>
      <w:r>
        <w:rPr>
          <w:rFonts w:ascii="Arial" w:hAnsi="Arial" w:eastAsia="宋体"/>
          <w:b w:val="0"/>
          <w:i w:val="0"/>
        </w:rPr>
        <w:t>10.2 集团大合并</w:t>
      </w:r>
      <w:bookmarkEnd w:id="27"/>
    </w:p>
    <w:p>
      <w:r>
        <w:rPr>
          <w:rFonts w:ascii="Arial" w:hAnsi="Arial" w:eastAsia="宋体"/>
          <w:b w:val="0"/>
          <w:i w:val="0"/>
        </w:rPr>
        <w:t>先生成并签核海外USD小合并；集团直接引用鸿旺和海外的有效已签结果，不再次把已在鸿旺里的法人平铺进去。再切“杭州天元集团合并”，处理本层预置示例交易转换，扫描本层跨范围交易，独立案例应有1项50万元销售匹配，生成草稿并审批，再计算和签核集团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42543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集团上卷合并效果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25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color w:val="66758D"/>
          <w:sz w:val="18"/>
        </w:rPr>
        <w:t>图 16  集团逐层上卷后的人民币合并结果</w:t>
      </w:r>
    </w:p>
    <w:p>
      <w:r>
        <w:rPr>
          <w:rFonts w:ascii="Arial" w:hAnsi="Arial" w:eastAsia="宋体"/>
          <w:b w:val="0"/>
          <w:i w:val="0"/>
        </w:rPr>
        <w:t>本例按本版已有汇率和全资示例投资抵销，集团收入2650、净利润770、资产2370、负债576、累计折算差额74、现金汇率影响90，单位人民币万元。海外收入100、净利润20的单位为万美元；不同币种不能直接相加。金额是虚构测试预期，不是贵公司的实际报表，也不是为了对齐此数而调整真实账务。真实集团测试还应按实际维护持股、投资与资本抵销及分类汇率，不直接套用示例投资950或6.5／7.2等汇率。</w:t>
      </w:r>
    </w:p>
    <w:p>
      <w:pPr>
        <w:pStyle w:val="Heading1"/>
      </w:pPr>
      <w:bookmarkStart w:id="28" w:name="epm_28"/>
      <w:r>
        <w:rPr>
          <w:rFonts w:ascii="Arial" w:hAnsi="Arial" w:eastAsia="宋体"/>
          <w:b w:val="0"/>
          <w:i w:val="0"/>
        </w:rPr>
        <w:t>十一、检查成功与排错</w:t>
      </w:r>
      <w:bookmarkEnd w:id="28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8"/>
        <w:gridCol w:w="3529"/>
        <w:gridCol w:w="3529"/>
      </w:tblGrid>
      <w:tr>
        <w:trPr>
          <w:cantSplit/>
          <w:tblHeader w:val="true"/>
        </w:trPr>
        <w:tc>
          <w:tcPr>
            <w:tcW w:type="dxa" w:w="234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停在哪一步</w:t>
            </w:r>
          </w:p>
        </w:tc>
        <w:tc>
          <w:tcPr>
            <w:tcW w:type="dxa" w:w="352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先检查什么</w:t>
            </w:r>
          </w:p>
        </w:tc>
        <w:tc>
          <w:tcPr>
            <w:tcW w:type="dxa" w:w="352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恢复动作</w:t>
            </w:r>
          </w:p>
        </w:tc>
      </w:tr>
      <w:tr>
        <w:trPr>
          <w:cantSplit/>
        </w:trPr>
        <w:tc>
          <w:tcPr>
            <w:tcW w:type="dxa" w:w="234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空模板导入提示无数据</w:t>
            </w:r>
          </w:p>
        </w:tc>
        <w:tc>
          <w:tcPr>
            <w:tcW w:type="dxa" w:w="352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是否在首表第2行起填入实际有效数据</w:t>
            </w:r>
          </w:p>
        </w:tc>
        <w:tc>
          <w:tcPr>
            <w:tcW w:type="dxa" w:w="352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先粘贴再保存；空模板报无数据是正常校验，不代表文件坏了</w:t>
            </w:r>
          </w:p>
        </w:tc>
      </w:tr>
      <w:tr>
        <w:trPr>
          <w:cantSplit/>
        </w:trPr>
        <w:tc>
          <w:tcPr>
            <w:tcW w:type="dxa" w:w="234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未知法人／账簿</w:t>
            </w:r>
          </w:p>
        </w:tc>
        <w:tc>
          <w:tcPr>
            <w:tcW w:type="dxa" w:w="352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01、02的法人ID，03的NC账簿与04页面对应关系</w:t>
            </w:r>
          </w:p>
        </w:tc>
        <w:tc>
          <w:tcPr>
            <w:tcW w:type="dxa" w:w="352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按真实编码修正；配置影响后续导入</w:t>
            </w:r>
          </w:p>
        </w:tc>
      </w:tr>
      <w:tr>
        <w:trPr>
          <w:cantSplit/>
        </w:trPr>
        <w:tc>
          <w:tcPr>
            <w:tcW w:type="dxa" w:w="234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未知科目／报表字段</w:t>
            </w:r>
          </w:p>
        </w:tc>
        <w:tc>
          <w:tcPr>
            <w:tcW w:type="dxa" w:w="352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01是否有对应法人科目，字段是否用字典允许值</w:t>
            </w:r>
          </w:p>
        </w:tc>
        <w:tc>
          <w:tcPr>
            <w:tcW w:type="dxa" w:w="352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先补科目映射，不改真实凭证科目来匹配样例</w:t>
            </w:r>
          </w:p>
        </w:tc>
      </w:tr>
      <w:tr>
        <w:trPr>
          <w:cantSplit/>
        </w:trPr>
        <w:tc>
          <w:tcPr>
            <w:tcW w:type="dxa" w:w="234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期初不平衡</w:t>
            </w:r>
          </w:p>
        </w:tc>
        <w:tc>
          <w:tcPr>
            <w:tcW w:type="dxa" w:w="352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是否漏科目、混币种、借贷两边填错、误用期末余额</w:t>
            </w:r>
          </w:p>
        </w:tc>
        <w:tc>
          <w:tcPr>
            <w:tcW w:type="dxa" w:w="352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回年初科目余额核对，整批修正后导入</w:t>
            </w:r>
          </w:p>
        </w:tc>
      </w:tr>
      <w:tr>
        <w:trPr>
          <w:cantSplit/>
        </w:trPr>
        <w:tc>
          <w:tcPr>
            <w:tcW w:type="dxa" w:w="234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凭证借贷不平衡</w:t>
            </w:r>
          </w:p>
        </w:tc>
        <w:tc>
          <w:tcPr>
            <w:tcW w:type="dxa" w:w="352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是否只导一边、拆开整张、漏行、单位不同</w:t>
            </w:r>
          </w:p>
        </w:tc>
        <w:tc>
          <w:tcPr>
            <w:tcW w:type="dxa" w:w="352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重导完整平衡凭证；不在系统编造补差分录</w:t>
            </w:r>
          </w:p>
        </w:tc>
      </w:tr>
      <w:tr>
        <w:trPr>
          <w:cantSplit/>
        </w:trPr>
        <w:tc>
          <w:tcPr>
            <w:tcW w:type="dxa" w:w="234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缺内部客商／关联号</w:t>
            </w:r>
          </w:p>
        </w:tc>
        <w:tc>
          <w:tcPr>
            <w:tcW w:type="dxa" w:w="352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NC辅助列是否选对、原值是否映射、双方是否共用同一号</w:t>
            </w:r>
          </w:p>
        </w:tc>
        <w:tc>
          <w:tcPr>
            <w:tcW w:type="dxa" w:w="352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据真实资料维护或补注；修改导入解释需停用旧批再导</w:t>
            </w:r>
          </w:p>
        </w:tc>
      </w:tr>
      <w:tr>
        <w:trPr>
          <w:cantSplit/>
        </w:trPr>
        <w:tc>
          <w:tcPr>
            <w:tcW w:type="dxa" w:w="234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现金流待分类</w:t>
            </w:r>
          </w:p>
        </w:tc>
        <w:tc>
          <w:tcPr>
            <w:tcW w:type="dxa" w:w="352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现金行是否混类，是否把类别填到了非cash行</w:t>
            </w:r>
          </w:p>
        </w:tc>
        <w:tc>
          <w:tcPr>
            <w:tcW w:type="dxa" w:w="352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明确依据后在现金行补注；同一行多类需真实拆分</w:t>
            </w:r>
          </w:p>
        </w:tc>
      </w:tr>
      <w:tr>
        <w:trPr>
          <w:cantSplit/>
        </w:trPr>
        <w:tc>
          <w:tcPr>
            <w:tcW w:type="dxa" w:w="234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重复导入</w:t>
            </w:r>
          </w:p>
        </w:tc>
        <w:tc>
          <w:tcPr>
            <w:tcW w:type="dxa" w:w="352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是否把03和06都导了、示例与真实混导、同凭证行重复</w:t>
            </w:r>
          </w:p>
        </w:tc>
        <w:tc>
          <w:tcPr>
            <w:tcW w:type="dxa" w:w="352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核对批次，填原因停用错误批，不删历史记录</w:t>
            </w:r>
          </w:p>
        </w:tc>
      </w:tr>
      <w:tr>
        <w:trPr>
          <w:cantSplit/>
        </w:trPr>
        <w:tc>
          <w:tcPr>
            <w:tcW w:type="dxa" w:w="234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已锁定／源失效／待重算</w:t>
            </w:r>
          </w:p>
        </w:tc>
        <w:tc>
          <w:tcPr>
            <w:tcW w:type="dxa" w:w="352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受影响单元及祖先是否重开，是否改完源后仍沿用旧结果</w:t>
            </w:r>
          </w:p>
        </w:tc>
        <w:tc>
          <w:tcPr>
            <w:tcW w:type="dxa" w:w="352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重新生成单体、匹配、抵销审批，从小合并到集团重算签核</w:t>
            </w:r>
          </w:p>
        </w:tc>
      </w:tr>
      <w:tr>
        <w:trPr>
          <w:cantSplit/>
        </w:trPr>
        <w:tc>
          <w:tcPr>
            <w:tcW w:type="dxa" w:w="2348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Excel公式或旧XLS被拒</w:t>
            </w:r>
          </w:p>
        </w:tc>
        <w:tc>
          <w:tcPr>
            <w:tcW w:type="dxa" w:w="352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是否有公式、汇总标题、改后缀假XLSX</w:t>
            </w:r>
          </w:p>
        </w:tc>
        <w:tc>
          <w:tcPr>
            <w:tcW w:type="dxa" w:w="3529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粘贴值并另存真正XLSX；不要上传说明工作表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当前匹配差异清单在重扫时更新，需要保存当次核对证据时及时导出。已签核历史报表、源和抵销快照保留原值。备份和恢复以整个数据目录为单位，不能通过删库来解决普通导入错误。</w:t>
      </w:r>
    </w:p>
    <w:p>
      <w:pPr>
        <w:pStyle w:val="Heading1"/>
      </w:pPr>
      <w:bookmarkStart w:id="29" w:name="epm_29"/>
      <w:r>
        <w:rPr>
          <w:rFonts w:ascii="Arial" w:hAnsi="Arial" w:eastAsia="宋体"/>
          <w:b w:val="0"/>
          <w:i w:val="0"/>
        </w:rPr>
        <w:t>十二、交给同事的最小资料清单与验收卡</w:t>
      </w:r>
      <w:bookmarkEnd w:id="29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3"/>
        <w:gridCol w:w="2123"/>
        <w:gridCol w:w="4020"/>
      </w:tblGrid>
      <w:tr>
        <w:trPr>
          <w:cantSplit/>
          <w:tblHeader w:val="true"/>
        </w:trPr>
        <w:tc>
          <w:tcPr>
            <w:tcW w:type="dxa" w:w="326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资料</w:t>
            </w:r>
          </w:p>
        </w:tc>
        <w:tc>
          <w:tcPr>
            <w:tcW w:type="dxa" w:w="212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负责准备</w:t>
            </w:r>
          </w:p>
        </w:tc>
        <w:tc>
          <w:tcPr>
            <w:tcW w:type="dxa" w:w="402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E7EFFA"/>
          </w:tcPr>
          <w:p>
            <w:pPr>
              <w:keepNext/>
              <w:spacing w:before="30" w:after="30" w:line="252" w:lineRule="auto"/>
            </w:pPr>
            <w:r>
              <w:rPr>
                <w:rFonts w:ascii="Arial" w:hAnsi="Arial" w:eastAsia="宋体"/>
                <w:b/>
                <w:i w:val="0"/>
                <w:color w:val="173F6E"/>
                <w:sz w:val="19"/>
              </w:rPr>
              <w:t>交付前自查</w:t>
            </w:r>
          </w:p>
        </w:tc>
      </w:tr>
      <w:tr>
        <w:trPr>
          <w:cantSplit/>
        </w:trPr>
        <w:tc>
          <w:tcPr>
            <w:tcW w:type="dxa" w:w="326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01三家法人科目映射</w:t>
            </w:r>
          </w:p>
        </w:tc>
        <w:tc>
          <w:tcPr>
            <w:tcW w:type="dxa" w:w="212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法人财务／实施</w:t>
            </w:r>
          </w:p>
        </w:tc>
        <w:tc>
          <w:tcPr>
            <w:tcW w:type="dxa" w:w="402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法人和科目准确，报表字段与正常方向确认</w:t>
            </w:r>
          </w:p>
        </w:tc>
      </w:tr>
      <w:tr>
        <w:trPr>
          <w:cantSplit/>
        </w:trPr>
        <w:tc>
          <w:tcPr>
            <w:tcW w:type="dxa" w:w="326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02完整2026年初余额</w:t>
            </w:r>
          </w:p>
        </w:tc>
        <w:tc>
          <w:tcPr>
            <w:tcW w:type="dxa" w:w="212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法人财务</w:t>
            </w:r>
          </w:p>
        </w:tc>
        <w:tc>
          <w:tcPr>
            <w:tcW w:type="dxa" w:w="402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每法人平衡；内部往来已拆客商及共同号</w:t>
            </w:r>
          </w:p>
        </w:tc>
      </w:tr>
      <w:tr>
        <w:trPr>
          <w:cantSplit/>
        </w:trPr>
        <w:tc>
          <w:tcPr>
            <w:tcW w:type="dxa" w:w="326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03 NC48列完整凭证，或06通用替代</w:t>
            </w:r>
          </w:p>
        </w:tc>
        <w:tc>
          <w:tcPr>
            <w:tcW w:type="dxa" w:w="212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ERP财务／信息部</w:t>
            </w:r>
          </w:p>
        </w:tc>
        <w:tc>
          <w:tcPr>
            <w:tcW w:type="dxa" w:w="402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2026年初至测试月、仅已记账、整张平衡、不重复</w:t>
            </w:r>
          </w:p>
        </w:tc>
      </w:tr>
      <w:tr>
        <w:trPr>
          <w:cantSplit/>
        </w:trPr>
        <w:tc>
          <w:tcPr>
            <w:tcW w:type="dxa" w:w="326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04账簿／本位币／辅助客商／共同号配置</w:t>
            </w:r>
          </w:p>
        </w:tc>
        <w:tc>
          <w:tcPr>
            <w:tcW w:type="dxa" w:w="212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ERP实施与集团财务</w:t>
            </w:r>
          </w:p>
        </w:tc>
        <w:tc>
          <w:tcPr>
            <w:tcW w:type="dxa" w:w="402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原值准确；内外部明确；页面保存后再导NC</w:t>
            </w:r>
          </w:p>
        </w:tc>
      </w:tr>
      <w:tr>
        <w:trPr>
          <w:cantSplit/>
        </w:trPr>
        <w:tc>
          <w:tcPr>
            <w:tcW w:type="dxa" w:w="326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05现金流分类及依据</w:t>
            </w:r>
          </w:p>
        </w:tc>
        <w:tc>
          <w:tcPr>
            <w:tcW w:type="dxa" w:w="212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法人财务</w:t>
            </w:r>
          </w:p>
        </w:tc>
        <w:tc>
          <w:tcPr>
            <w:tcW w:type="dxa" w:w="402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仅cash行；依据可靠；多类同现金行先拆分</w:t>
            </w:r>
          </w:p>
        </w:tc>
      </w:tr>
      <w:tr>
        <w:trPr>
          <w:cantSplit/>
        </w:trPr>
        <w:tc>
          <w:tcPr>
            <w:tcW w:type="dxa" w:w="326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核对与审批</w:t>
            </w:r>
          </w:p>
        </w:tc>
        <w:tc>
          <w:tcPr>
            <w:tcW w:type="dxa" w:w="2123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集团财务负责人</w:t>
            </w:r>
          </w:p>
        </w:tc>
        <w:tc>
          <w:tcPr>
            <w:tcW w:type="dxa" w:w="4020"/>
            <w:vAlign w:val="top"/>
            <w:tcMar>
              <w:top w:w="65" w:type="dxa"/>
              <w:bottom w:w="65" w:type="dxa"/>
              <w:left w:w="65" w:type="dxa"/>
              <w:right w:w="65" w:type="dxa"/>
            </w:tcMar>
            <w:shd w:fill="F8FAFD"/>
          </w:tcPr>
          <w:p>
            <w:pPr>
              <w:spacing w:before="30" w:after="30" w:line="252" w:lineRule="auto"/>
            </w:pPr>
            <w:r>
              <w:rPr>
                <w:rFonts w:ascii="Arial" w:hAnsi="Arial" w:eastAsia="宋体"/>
                <w:b w:val="0"/>
                <w:i w:val="0"/>
                <w:sz w:val="19"/>
              </w:rPr>
              <w:t>单体勾稽→匹配无差异→草稿审批→鸿旺签核→海外及集团上卷</w:t>
            </w:r>
          </w:p>
        </w:tc>
      </w:tr>
    </w:tbl>
    <w:p>
      <w:pPr>
        <w:spacing w:after="40"/>
      </w:pPr>
    </w:p>
    <w:p>
      <w:r>
        <w:rPr>
          <w:rFonts w:ascii="Arial" w:hAnsi="Arial" w:eastAsia="宋体"/>
          <w:b w:val="0"/>
          <w:i w:val="0"/>
        </w:rPr>
        <w:t>本次模板不是与企业NC在线同步的连接器：目前使用导出文件，不读取企业NC数据库，不向NC写回抵销凭证。自动匹配覆盖当前Demo的内部销售／成本与应收／应付；复杂存货未实现利润、少数股东、商誉和生产多用户权限等不在本套已验收范围。</w:t>
      </w:r>
    </w:p>
    <w:p>
      <w:r>
        <w:rPr>
          <w:rFonts w:ascii="Arial" w:hAnsi="Arial" w:eastAsia="宋体"/>
          <w:b w:val="0"/>
          <w:i w:val="0"/>
        </w:rPr>
        <w:t>同软件基线的完整PRD、系统说明、产品说明书、用户手册继续保留。以后软件版本升级仍按约定配套全模块四件套，本次模板指南作为该基线的操作补充单独归档。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134" w:left="1417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宋体"/>
        <w:sz w:val="16"/>
      </w:rPr>
      <w:t xml:space="preserve">TY-EPM-IMPORT-ERP-001  ·  导入模板D1.0  ·  第 </w:t>
    </w:r>
    <w:fldSimple w:instr="PAGE"/>
    <w:r>
      <w:rPr>
        <w:rFonts w:ascii="Arial" w:hAnsi="Arial" w:eastAsia="宋体"/>
        <w:sz w:val="16"/>
      </w:rPr>
      <w:t xml:space="preserve"> 页 / 共 </w:t>
    </w:r>
    <w:fldSimple w:instr="NUMPAGES"/>
    <w:r>
      <w:rPr>
        <w:rFonts w:ascii="Arial" w:hAnsi="Arial" w:eastAsia="宋体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宋体"/>
        <w:color w:val="66758D"/>
        <w:sz w:val="16"/>
      </w:rPr>
      <w:t>杭州天元宠物用品有限公司  |  Excel模板填写与导入操作说明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76" w:lineRule="auto"/>
    </w:pPr>
    <w:rPr>
      <w:rFonts w:ascii="Arial" w:hAnsi="Arial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宋体"/>
      <w:b/>
      <w:bCs/>
      <w:color w:val="173F6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宋体"/>
      <w:b/>
      <w:bCs/>
      <w:color w:val="173F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宋体"/>
      <w:b/>
      <w:bCs/>
      <w:color w:val="173F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 w:eastAsia="宋体"/>
      <w:b/>
      <w:bCs/>
      <w:i/>
      <w:iCs/>
      <w:color w:val="173F6E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宋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宋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天元EPM · Excel模板填写与导入操作说明</dc:title>
  <dc:subject>杭州天元宠物用品有限公司：中文本机EPM Demo文档</dc:subject>
  <dc:creator>自研EPM项目文档</dc:creator>
  <cp:keywords>集团财务合并,Excel模板,用友NC6.5,导入指南,ERP-20261021,导入模板D1.0</cp:keywords>
  <dc:description>generated by python-docx</dc:description>
  <cp:lastModifiedBy/>
  <cp:revision>1</cp:revision>
  <dcterms:created xsi:type="dcterms:W3CDTF">2026-10-21T07:10:33Z</dcterms:created>
  <dcterms:modified xsi:type="dcterms:W3CDTF">2026-10-21T07:10:33Z</dcterms:modified>
  <cp:category/>
</cp:coreProperties>
</file>