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自研EPM中文版安装与使用手册</w:t>
      </w:r>
    </w:p>
    <w:p>
      <w:r>
        <w:t>v1.2 中文界面更新 · 2026-10-20</w:t>
      </w:r>
    </w:p>
    <w:p>
      <w:pPr>
        <w:pStyle w:val="Heading1"/>
      </w:pPr>
      <w:r>
        <w:t>一、安装前提</w:t>
      </w:r>
    </w:p>
    <w:p>
      <w:r>
        <w:t>适用Windows 10/11 64位。建议16GB或更多物理内存，并满足本手册的提交内存预算。程序使用包内解释器和模拟环境，无需另装Python、Docker或WSL。首次缺少基础环境时自动联网下载约1.26GB并校验，数据所在盘至少留5GB空闲并为业务增长预留空间。</w:t>
      </w:r>
    </w:p>
    <w:p>
      <w:r>
        <w:t>这是基于Konsolidat/Konsol的研发试用交付。真实集团财务数字、生产容量和实际Excel侧载仍需专项验收。</w:t>
      </w:r>
    </w:p>
    <w:p>
      <w:pPr>
        <w:pStyle w:val="Heading1"/>
      </w:pPr>
      <w:r>
        <w:t>二、已有旧版：保留数据升级</w:t>
      </w:r>
    </w:p>
    <w:p>
      <w:pPr>
        <w:pStyle w:val="ListNumber"/>
      </w:pPr>
      <w:r>
        <w:t>在旧启动页点击“安全退出（保留数据）”，等待后台退出。仅关闭浏览器不会停止平台。原先内存报错的进程也要先退出，再替换文件。</w:t>
      </w:r>
    </w:p>
    <w:p>
      <w:pPr>
        <w:pStyle w:val="ListNumber"/>
      </w:pPr>
      <w:r>
        <w:t>完整解压中文更新ZIP，将其中app、vm、docs等更新文件按原有层级复制到原SelfDevelopedEPM程序目录，选择替换同名程序文件。不要把更新包当作完整运行包，也不要删除用户数据目录。以更新包内“中文升级说明.txt”的实际文件清单为准。</w:t>
      </w:r>
    </w:p>
    <w:p>
      <w:pPr>
        <w:pStyle w:val="ListNumber"/>
      </w:pPr>
      <w:r>
        <w:t>例如原程序在D:\1、自研EPM系统\SelfDevelopedEPM，替换后app\portable_launcher.py和vm\assets.json仍应位于该目录内。避免多套一层文件夹。</w:t>
      </w:r>
    </w:p>
    <w:p>
      <w:pPr>
        <w:pStyle w:val="ListNumber"/>
      </w:pPr>
      <w:r>
        <w:t>双击原来的“自研EPM.exe”。新版先校验中文更新文件，再在内置系统启动、数据库服务运行前备份并升级显示层文件。原基础盘、账套、用户数据和随机密码保留。</w:t>
      </w:r>
    </w:p>
    <w:p>
      <w:pPr>
        <w:pStyle w:val="ListNumber"/>
      </w:pPr>
      <w:r>
        <w:t>等待启动页显示“已就绪”。首轮建站、数仓构建及软件模拟可能需要数十分钟或更久。请保持电脑开机，不要休眠或强制结束进程。</w:t>
      </w:r>
    </w:p>
    <w:p>
      <w:pPr>
        <w:pStyle w:val="Heading1"/>
      </w:pPr>
      <w:r>
        <w:t>三、全新安装</w:t>
      </w:r>
    </w:p>
    <w:p>
      <w:r>
        <w:t>先将完整免Docker运行ZIP解压到独立文件夹，再按更新ZIP说明覆盖中文版文件。若下载页面明确提供已整合的中文版完整包，则只需解压该完整包。以下载页所列SHA256及版本为准，不要将旧EPM.zip（Docker历史包）混入新版目录。</w:t>
      </w:r>
    </w:p>
    <w:p>
      <w:pPr>
        <w:pStyle w:val="Heading1"/>
      </w:pPr>
      <w:r>
        <w:t>四、登录与主要功能</w:t>
      </w:r>
    </w:p>
    <w:p>
      <w:r>
        <w:t>启动页点“打开平台”，登录账号为Administrator，随机密码在“查看本机登录信息”中查看。账号技术名称保持英文，登录页和业务操作界面使用中文。集团科目表、法人、期间、合并集团、持股、汇率、预算周期等应先完成配置，再按业务流程录入和审批。</w:t>
      </w:r>
    </w:p>
    <w:p>
      <w:r>
        <w:t>集团财务合并：配置合并范围、持股关系、集团币种和汇率，报送试算平衡表，处理内部往来与合并调整，运行校验并签核。全面预算：建立预算周期、预算表、成本中心和分摊方案，按权限编制及审批。经营分析：使用财务数据页和语义查询，按报表、法人、期间及维度分析。实际能力以原实现及研发需求文档的“已有/二开目标”标识为准。</w:t>
      </w:r>
    </w:p>
    <w:p>
      <w:pPr>
        <w:pStyle w:val="Heading1"/>
      </w:pPr>
      <w:r>
        <w:t>五、数据、日志和正常退出</w:t>
      </w:r>
    </w:p>
    <w:p>
      <w:r>
        <w:t>默认持久数据位置为%LOCALAPPDATA%\SelfDevelopedEPM\data。启动页“打开数据位置”可直接打开。程序安装目录与此持久数据目录可能位于不同磁盘。结束时点击“安全退出（保留数据）”，等待已停止后再关机或复制备份。不要在运行时复制业务盘当作一致性备份。</w:t>
      </w:r>
    </w:p>
    <w:p>
      <w:pPr>
        <w:pStyle w:val="Heading1"/>
      </w:pPr>
      <w:r>
        <w:t>本版界面语言及原始标识</w:t>
      </w:r>
    </w:p>
    <w:p>
      <w:r>
        <w:t>启动进度页、业务元数据、关账工作台以及Excel插件的自有界面使用简体中文。集团合并、预算、报表和经营分析的技术字段与原业务模型保持对应，原手册中的英文菜单可按下表查找。</w:t>
      </w:r>
    </w:p>
    <w:p>
      <w:r>
        <w:t>Administrator、K.EPM、API路径、数据库字段、SQL、币种代码和用户输入的数据名称属于账号或技术及业务标识，保留原值。中文化只改变显示文字，不自动翻译企业名称、科目编码或说明内容，不改变金额口径、权限角色技术键或接口枚举值。</w:t>
      </w:r>
    </w:p>
    <w:p>
      <w:r>
        <w:t>Excel插件的任务窗和函数说明已中文化。实际使用仍需受支持的Microsoft Excel、Office.js网络访问、与部署网址匹配的加载项清单及侧载配置。原项目清单模板保留的演示地址不能作为本机连接地址；真实Excel侧载尚未验收。插件不是启动EXE网页平台的前提。</w:t>
      </w:r>
    </w:p>
    <w:p>
      <w:r>
        <w:t>另附两套中文HTML交互原型，解压后从“请先打开.html”进入。完整版演示集团合并、全面预算、经营分析与管理配置；合并与经营分析版的预算页面仅为静态预留，按钮禁用。两版均持续显示“交互原型·演示数据”，在浏览器内使用样例数据，不连接正式账套，刷新即还原；其操作效果不能作为运行软件已经实现该能力的证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原标识或英文</w:t>
            </w:r>
          </w:p>
        </w:tc>
        <w:tc>
          <w:tcPr>
            <w:tcW w:type="dxa" w:w="4706"/>
          </w:tcPr>
          <w:p>
            <w:r>
              <w:t>中文显示</w:t>
            </w:r>
          </w:p>
        </w:tc>
      </w:tr>
      <w:tr>
        <w:tc>
          <w:tcPr>
            <w:tcW w:type="dxa" w:w="4706"/>
          </w:tcPr>
          <w:p>
            <w:r>
              <w:t>Consolidation Group</w:t>
            </w:r>
          </w:p>
        </w:tc>
        <w:tc>
          <w:tcPr>
            <w:tcW w:type="dxa" w:w="4706"/>
          </w:tcPr>
          <w:p>
            <w:r>
              <w:t>合并集团</w:t>
            </w:r>
          </w:p>
        </w:tc>
      </w:tr>
      <w:tr>
        <w:tc>
          <w:tcPr>
            <w:tcW w:type="dxa" w:w="4706"/>
          </w:tcPr>
          <w:p>
            <w:r>
              <w:t>Entity</w:t>
            </w:r>
          </w:p>
        </w:tc>
        <w:tc>
          <w:tcPr>
            <w:tcW w:type="dxa" w:w="4706"/>
          </w:tcPr>
          <w:p>
            <w:r>
              <w:t>法人</w:t>
            </w:r>
          </w:p>
        </w:tc>
      </w:tr>
      <w:tr>
        <w:tc>
          <w:tcPr>
            <w:tcW w:type="dxa" w:w="4706"/>
          </w:tcPr>
          <w:p>
            <w:r>
              <w:t>Group Chart of Accounts</w:t>
            </w:r>
          </w:p>
        </w:tc>
        <w:tc>
          <w:tcPr>
            <w:tcW w:type="dxa" w:w="4706"/>
          </w:tcPr>
          <w:p>
            <w:r>
              <w:t>集团科目表</w:t>
            </w:r>
          </w:p>
        </w:tc>
      </w:tr>
      <w:tr>
        <w:tc>
          <w:tcPr>
            <w:tcW w:type="dxa" w:w="4706"/>
          </w:tcPr>
          <w:p>
            <w:r>
              <w:t>Main Account</w:t>
            </w:r>
          </w:p>
        </w:tc>
        <w:tc>
          <w:tcPr>
            <w:tcW w:type="dxa" w:w="4706"/>
          </w:tcPr>
          <w:p>
            <w:r>
              <w:t>主科目</w:t>
            </w:r>
          </w:p>
        </w:tc>
      </w:tr>
      <w:tr>
        <w:tc>
          <w:tcPr>
            <w:tcW w:type="dxa" w:w="4706"/>
          </w:tcPr>
          <w:p>
            <w:r>
              <w:t>Budget Cycle / Budget Sheet</w:t>
            </w:r>
          </w:p>
        </w:tc>
        <w:tc>
          <w:tcPr>
            <w:tcW w:type="dxa" w:w="4706"/>
          </w:tcPr>
          <w:p>
            <w:r>
              <w:t>预算周期 / 预算表</w:t>
            </w:r>
          </w:p>
        </w:tc>
      </w:tr>
      <w:tr>
        <w:tc>
          <w:tcPr>
            <w:tcW w:type="dxa" w:w="4706"/>
          </w:tcPr>
          <w:p>
            <w:r>
              <w:t>Close</w:t>
            </w:r>
          </w:p>
        </w:tc>
        <w:tc>
          <w:tcPr>
            <w:tcW w:type="dxa" w:w="4706"/>
          </w:tcPr>
          <w:p>
            <w:r>
              <w:t>关账（弹窗Close按钮为关闭）</w:t>
            </w:r>
          </w:p>
        </w:tc>
      </w:tr>
      <w:tr>
        <w:tc>
          <w:tcPr>
            <w:tcW w:type="dxa" w:w="4706"/>
          </w:tcPr>
          <w:p>
            <w:r>
              <w:t>Close Lead</w:t>
            </w:r>
          </w:p>
        </w:tc>
        <w:tc>
          <w:tcPr>
            <w:tcW w:type="dxa" w:w="4706"/>
          </w:tcPr>
          <w:p>
            <w:r>
              <w:t>关账负责人</w:t>
            </w:r>
          </w:p>
        </w:tc>
      </w:tr>
      <w:tr>
        <w:tc>
          <w:tcPr>
            <w:tcW w:type="dxa" w:w="4706"/>
          </w:tcPr>
          <w:p>
            <w:r>
              <w:t>Assertion Run</w:t>
            </w:r>
          </w:p>
        </w:tc>
        <w:tc>
          <w:tcPr>
            <w:tcW w:type="dxa" w:w="4706"/>
          </w:tcPr>
          <w:p>
            <w:r>
              <w:t>校验运行</w:t>
            </w:r>
          </w:p>
        </w:tc>
      </w:tr>
      <w:tr>
        <w:tc>
          <w:tcPr>
            <w:tcW w:type="dxa" w:w="4706"/>
          </w:tcPr>
          <w:p>
            <w:r>
              <w:t>Sign-off</w:t>
            </w:r>
          </w:p>
        </w:tc>
        <w:tc>
          <w:tcPr>
            <w:tcW w:type="dxa" w:w="4706"/>
          </w:tcPr>
          <w:p>
            <w:r>
              <w:t>签核</w:t>
            </w:r>
          </w:p>
        </w:tc>
      </w:tr>
      <w:tr>
        <w:tc>
          <w:tcPr>
            <w:tcW w:type="dxa" w:w="4706"/>
          </w:tcPr>
          <w:p>
            <w:r>
              <w:t>Non-controlling Interest</w:t>
            </w:r>
          </w:p>
        </w:tc>
        <w:tc>
          <w:tcPr>
            <w:tcW w:type="dxa" w:w="4706"/>
          </w:tcPr>
          <w:p>
            <w:r>
              <w:t>少数股东权益</w:t>
            </w:r>
          </w:p>
        </w:tc>
      </w:tr>
      <w:tr>
        <w:tc>
          <w:tcPr>
            <w:tcW w:type="dxa" w:w="4706"/>
          </w:tcPr>
          <w:p>
            <w:r>
              <w:t>My work / Period</w:t>
            </w:r>
          </w:p>
        </w:tc>
        <w:tc>
          <w:tcPr>
            <w:tcW w:type="dxa" w:w="4706"/>
          </w:tcPr>
          <w:p>
            <w:r>
              <w:t>我的工作 / 会计期间</w:t>
            </w:r>
          </w:p>
        </w:tc>
      </w:tr>
      <w:tr>
        <w:tc>
          <w:tcPr>
            <w:tcW w:type="dxa" w:w="4706"/>
          </w:tcPr>
          <w:p>
            <w:r>
              <w:t>Trial balances / Intercompany</w:t>
            </w:r>
          </w:p>
        </w:tc>
        <w:tc>
          <w:tcPr>
            <w:tcW w:type="dxa" w:w="4706"/>
          </w:tcPr>
          <w:p>
            <w:r>
              <w:t>试算平衡表 / 集团内部往来</w:t>
            </w:r>
          </w:p>
        </w:tc>
      </w:tr>
      <w:tr>
        <w:tc>
          <w:tcPr>
            <w:tcW w:type="dxa" w:w="4706"/>
          </w:tcPr>
          <w:p>
            <w:r>
              <w:t>Rates &amp; ownership</w:t>
            </w:r>
          </w:p>
        </w:tc>
        <w:tc>
          <w:tcPr>
            <w:tcW w:type="dxa" w:w="4706"/>
          </w:tcPr>
          <w:p>
            <w:r>
              <w:t>汇率与持股关系</w:t>
            </w:r>
          </w:p>
        </w:tc>
      </w:tr>
      <w:tr>
        <w:tc>
          <w:tcPr>
            <w:tcW w:type="dxa" w:w="4706"/>
          </w:tcPr>
          <w:p>
            <w:r>
              <w:t>Adjustments / Approvals</w:t>
            </w:r>
          </w:p>
        </w:tc>
        <w:tc>
          <w:tcPr>
            <w:tcW w:type="dxa" w:w="4706"/>
          </w:tcPr>
          <w:p>
            <w:r>
              <w:t>调整 / 审批</w:t>
            </w:r>
          </w:p>
        </w:tc>
      </w:tr>
      <w:tr>
        <w:tc>
          <w:tcPr>
            <w:tcW w:type="dxa" w:w="4706"/>
          </w:tcPr>
          <w:p>
            <w:r>
              <w:t>Checks / Numbers</w:t>
            </w:r>
          </w:p>
        </w:tc>
        <w:tc>
          <w:tcPr>
            <w:tcW w:type="dxa" w:w="4706"/>
          </w:tcPr>
          <w:p>
            <w:r>
              <w:t>检查 / 财务数据</w:t>
            </w:r>
          </w:p>
        </w:tc>
      </w:tr>
      <w:tr>
        <w:tc>
          <w:tcPr>
            <w:tcW w:type="dxa" w:w="4706"/>
          </w:tcPr>
          <w:p>
            <w:r>
              <w:t>Audit trail</w:t>
            </w:r>
          </w:p>
        </w:tc>
        <w:tc>
          <w:tcPr>
            <w:tcW w:type="dxa" w:w="4706"/>
          </w:tcPr>
          <w:p>
            <w:r>
              <w:t>审计轨迹</w:t>
            </w:r>
          </w:p>
        </w:tc>
      </w:tr>
    </w:tbl>
    <w:p>
      <w:pPr>
        <w:pStyle w:val="Heading1"/>
      </w:pPr>
      <w:r>
        <w:t>运行资源与故障处理更新</w:t>
      </w:r>
    </w:p>
    <w:p>
      <w:r>
        <w:t>启动器读取Windows实际可用提交内存，自动选择4096或6144MiB客户机内存，TCG翻译缓存固定128MiB。物理内存至少16384MiB且可用提交额度至少7168MiB时选择6144MiB；其他满足至少5120MiB可用提交额度的情况选择4096MiB。预算含1024MiB总余量。这是启动估算，不保证其他程序继续占用时仍有足够额度。</w:t>
      </w:r>
    </w:p>
    <w:p>
      <w:r>
        <w:t>cannot set up guest memory 'pc.ram'表示客户机内存申请失败。保存工作后关闭闲置程序；检查Windows虚拟内存是否由系统管理、磁盘空间是否足够，必要时重启。启动器不会自动修改分页文件、安全策略或业务盘。</w:t>
      </w:r>
    </w:p>
    <w:p>
      <w:r>
        <w:t>新版每轮串口日志使用guest-console-&lt;本轮标识&gt;.log；确切文件路径在启动页显示，旧guest-console.log保留。中文升级未通过安全校验时会明确报错；先安全退出，保留数据和日志后排查，不应反复删除数据重装。</w:t>
      </w:r>
    </w:p>
    <w:p>
      <w:pPr>
        <w:pStyle w:val="Heading1"/>
      </w:pPr>
      <w:r>
        <w:t>验证范围说明</w:t>
      </w:r>
    </w:p>
    <w:p>
      <w:r>
        <w:t>内存策略、翻译词典、显示层源码、升级安全机制与实际平台启动分开记录。最终确切通过项及构建SHA以更新包中的验证JSON为准。Wine兼容层不等同真实Windows硬件，模拟Office不等同实际Excel侧载，空账套数仓通过不等同真实财务结果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自研EPM  |  中文版研发试用交付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1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3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