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t>v1.2　｜　2026年10月20日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t>文档版本：1.2（中文免Docker便携版）；更新日期：2026年10月20日。适用对象：集团财务负责人、预算负责人、实施顾问、系统管理员与研发人员。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pPr>
        <w:spacing w:line="324" w:lineRule="auto"/>
      </w:pPr>
      <w:r>
        <w:rPr>
          <w:rFonts w:ascii="Noto Sans CJK SC" w:hAnsi="Noto Sans CJK SC" w:eastAsia="Noto Sans CJK SC"/>
        </w:rPr>
        <w:t>本机业务入口优先使用 http://127.0.0.1:18480/app，端口占用时自动选择其他回环端口；启动进度页另用随机本机端口，应以启动器实际打开的地址为准。Windows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或更多空间；内置环境默认2个模拟CPU，按Windows可用提交额度自动选择4GB或6GB客户机内存。首次下载量以资产清单和启动页为准。本版采用 TCG 纯软件模拟，默认2个模拟CPU，客户机内存自动选择4GB或6GB，翻译缓存128MiB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本交付在保留固定上游源码归档的基础上，新增简体中文显示层，覆盖业务菜单、字段说明、关账工作台和明确业务提示。API、数据库键、业务名称及第三方技术详情保留原值；具体验收范围见本版验证报告。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  <w:spacing w:line="324" w:lineRule="auto"/>
      </w:pPr>
      <w:r>
        <w:rPr>
          <w:rFonts w:ascii="Noto Sans CJK SC" w:hAnsi="Noto Sans CJK SC" w:eastAsia="Noto Sans CJK SC"/>
        </w:rPr>
        <w:t>再使用个人账号登录，按中文用户手册进行授权范围内的初始化和业务操作。本版业务显示语言设为简体中文；技术标识和用户业务数据保留原值。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插件和财务金样仍按报告分别记录。本版完整就绪检查默认最多等待 2 小时；超时会保留运行环境和业务数据，提示日志排查及安全退出，不会无限等待或强杀。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p>
      <w:r>
        <w:br w:type="page"/>
      </w:r>
    </w:p>
    <w:p>
      <w:pPr>
        <w:pStyle w:val="Heading1"/>
      </w:pPr>
      <w:r>
        <w:t>中文版显示与便携运行更新说明</w:t>
      </w:r>
    </w:p>
    <w:p>
      <w:r>
        <w:t>v1.2 中文界面更新 · 2026-10-20。本节为后续新增需求和实际改造说明；前文原源码字段、接口和业务规则仍用于追溯原项目。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解压后从“请先打开.html”进入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原标识或英文</w:t>
            </w:r>
          </w:p>
        </w:tc>
        <w:tc>
          <w:tcPr>
            <w:tcW w:type="dxa" w:w="4968"/>
          </w:tcPr>
          <w:p>
            <w:r>
              <w:t>中文显示</w:t>
            </w:r>
          </w:p>
        </w:tc>
      </w:tr>
      <w:tr>
        <w:tc>
          <w:tcPr>
            <w:tcW w:type="dxa" w:w="4968"/>
          </w:tcPr>
          <w:p>
            <w:r>
              <w:t>Consolidation Group</w:t>
            </w:r>
          </w:p>
        </w:tc>
        <w:tc>
          <w:tcPr>
            <w:tcW w:type="dxa" w:w="4968"/>
          </w:tcPr>
          <w:p>
            <w:r>
              <w:t>合并集团</w:t>
            </w:r>
          </w:p>
        </w:tc>
      </w:tr>
      <w:tr>
        <w:tc>
          <w:tcPr>
            <w:tcW w:type="dxa" w:w="4968"/>
          </w:tcPr>
          <w:p>
            <w:r>
              <w:t>Entity</w:t>
            </w:r>
          </w:p>
        </w:tc>
        <w:tc>
          <w:tcPr>
            <w:tcW w:type="dxa" w:w="4968"/>
          </w:tcPr>
          <w:p>
            <w:r>
              <w:t>法人</w:t>
            </w:r>
          </w:p>
        </w:tc>
      </w:tr>
      <w:tr>
        <w:tc>
          <w:tcPr>
            <w:tcW w:type="dxa" w:w="4968"/>
          </w:tcPr>
          <w:p>
            <w:r>
              <w:t>Group Chart of Accounts</w:t>
            </w:r>
          </w:p>
        </w:tc>
        <w:tc>
          <w:tcPr>
            <w:tcW w:type="dxa" w:w="4968"/>
          </w:tcPr>
          <w:p>
            <w:r>
              <w:t>集团科目表</w:t>
            </w:r>
          </w:p>
        </w:tc>
      </w:tr>
      <w:tr>
        <w:tc>
          <w:tcPr>
            <w:tcW w:type="dxa" w:w="4968"/>
          </w:tcPr>
          <w:p>
            <w:r>
              <w:t>Main Account</w:t>
            </w:r>
          </w:p>
        </w:tc>
        <w:tc>
          <w:tcPr>
            <w:tcW w:type="dxa" w:w="4968"/>
          </w:tcPr>
          <w:p>
            <w:r>
              <w:t>主科目</w:t>
            </w:r>
          </w:p>
        </w:tc>
      </w:tr>
      <w:tr>
        <w:tc>
          <w:tcPr>
            <w:tcW w:type="dxa" w:w="4968"/>
          </w:tcPr>
          <w:p>
            <w:r>
              <w:t>Budget Cycle / Budget Sheet</w:t>
            </w:r>
          </w:p>
        </w:tc>
        <w:tc>
          <w:tcPr>
            <w:tcW w:type="dxa" w:w="4968"/>
          </w:tcPr>
          <w:p>
            <w:r>
              <w:t>预算周期 / 预算表</w:t>
            </w:r>
          </w:p>
        </w:tc>
      </w:tr>
      <w:tr>
        <w:tc>
          <w:tcPr>
            <w:tcW w:type="dxa" w:w="4968"/>
          </w:tcPr>
          <w:p>
            <w:r>
              <w:t>Close</w:t>
            </w:r>
          </w:p>
        </w:tc>
        <w:tc>
          <w:tcPr>
            <w:tcW w:type="dxa" w:w="4968"/>
          </w:tcPr>
          <w:p>
            <w:r>
              <w:t>关账（弹窗Close按钮为关闭）</w:t>
            </w:r>
          </w:p>
        </w:tc>
      </w:tr>
      <w:tr>
        <w:tc>
          <w:tcPr>
            <w:tcW w:type="dxa" w:w="4968"/>
          </w:tcPr>
          <w:p>
            <w:r>
              <w:t>Close Lead</w:t>
            </w:r>
          </w:p>
        </w:tc>
        <w:tc>
          <w:tcPr>
            <w:tcW w:type="dxa" w:w="4968"/>
          </w:tcPr>
          <w:p>
            <w:r>
              <w:t>关账负责人</w:t>
            </w:r>
          </w:p>
        </w:tc>
      </w:tr>
      <w:tr>
        <w:tc>
          <w:tcPr>
            <w:tcW w:type="dxa" w:w="4968"/>
          </w:tcPr>
          <w:p>
            <w:r>
              <w:t>Assertion Run</w:t>
            </w:r>
          </w:p>
        </w:tc>
        <w:tc>
          <w:tcPr>
            <w:tcW w:type="dxa" w:w="4968"/>
          </w:tcPr>
          <w:p>
            <w:r>
              <w:t>校验运行</w:t>
            </w:r>
          </w:p>
        </w:tc>
      </w:tr>
      <w:tr>
        <w:tc>
          <w:tcPr>
            <w:tcW w:type="dxa" w:w="4968"/>
          </w:tcPr>
          <w:p>
            <w:r>
              <w:t>Sign-off</w:t>
            </w:r>
          </w:p>
        </w:tc>
        <w:tc>
          <w:tcPr>
            <w:tcW w:type="dxa" w:w="4968"/>
          </w:tcPr>
          <w:p>
            <w:r>
              <w:t>签核</w:t>
            </w:r>
          </w:p>
        </w:tc>
      </w:tr>
      <w:tr>
        <w:tc>
          <w:tcPr>
            <w:tcW w:type="dxa" w:w="4968"/>
          </w:tcPr>
          <w:p>
            <w:r>
              <w:t>Non-controlling Interest</w:t>
            </w:r>
          </w:p>
        </w:tc>
        <w:tc>
          <w:tcPr>
            <w:tcW w:type="dxa" w:w="4968"/>
          </w:tcPr>
          <w:p>
            <w:r>
              <w:t>少数股东权益</w:t>
            </w:r>
          </w:p>
        </w:tc>
      </w:tr>
      <w:tr>
        <w:tc>
          <w:tcPr>
            <w:tcW w:type="dxa" w:w="4968"/>
          </w:tcPr>
          <w:p>
            <w:r>
              <w:t>My work / Period</w:t>
            </w:r>
          </w:p>
        </w:tc>
        <w:tc>
          <w:tcPr>
            <w:tcW w:type="dxa" w:w="4968"/>
          </w:tcPr>
          <w:p>
            <w:r>
              <w:t>我的工作 / 会计期间</w:t>
            </w:r>
          </w:p>
        </w:tc>
      </w:tr>
      <w:tr>
        <w:tc>
          <w:tcPr>
            <w:tcW w:type="dxa" w:w="4968"/>
          </w:tcPr>
          <w:p>
            <w:r>
              <w:t>Trial balances / Intercompany</w:t>
            </w:r>
          </w:p>
        </w:tc>
        <w:tc>
          <w:tcPr>
            <w:tcW w:type="dxa" w:w="4968"/>
          </w:tcPr>
          <w:p>
            <w:r>
              <w:t>试算平衡表 / 集团内部往来</w:t>
            </w:r>
          </w:p>
        </w:tc>
      </w:tr>
      <w:tr>
        <w:tc>
          <w:tcPr>
            <w:tcW w:type="dxa" w:w="4968"/>
          </w:tcPr>
          <w:p>
            <w:r>
              <w:t>Rates &amp; ownership</w:t>
            </w:r>
          </w:p>
        </w:tc>
        <w:tc>
          <w:tcPr>
            <w:tcW w:type="dxa" w:w="4968"/>
          </w:tcPr>
          <w:p>
            <w:r>
              <w:t>汇率与持股关系</w:t>
            </w:r>
          </w:p>
        </w:tc>
      </w:tr>
      <w:tr>
        <w:tc>
          <w:tcPr>
            <w:tcW w:type="dxa" w:w="4968"/>
          </w:tcPr>
          <w:p>
            <w:r>
              <w:t>Adjustments / Approvals</w:t>
            </w:r>
          </w:p>
        </w:tc>
        <w:tc>
          <w:tcPr>
            <w:tcW w:type="dxa" w:w="4968"/>
          </w:tcPr>
          <w:p>
            <w:r>
              <w:t>调整 / 审批</w:t>
            </w:r>
          </w:p>
        </w:tc>
      </w:tr>
      <w:tr>
        <w:tc>
          <w:tcPr>
            <w:tcW w:type="dxa" w:w="4968"/>
          </w:tcPr>
          <w:p>
            <w:r>
              <w:t>Checks / Numbers</w:t>
            </w:r>
          </w:p>
        </w:tc>
        <w:tc>
          <w:tcPr>
            <w:tcW w:type="dxa" w:w="4968"/>
          </w:tcPr>
          <w:p>
            <w:r>
              <w:t>检查 / 财务数据</w:t>
            </w:r>
          </w:p>
        </w:tc>
      </w:tr>
      <w:tr>
        <w:tc>
          <w:tcPr>
            <w:tcW w:type="dxa" w:w="4968"/>
          </w:tcPr>
          <w:p>
            <w:r>
              <w:t>Audit trail</w:t>
            </w:r>
          </w:p>
        </w:tc>
        <w:tc>
          <w:tcPr>
            <w:tcW w:type="dxa" w:w="4968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2026-10-20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