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凭证与分级合并中文演示版</w:t>
      </w:r>
    </w:p>
    <w:p>
      <w:pPr>
        <w:spacing w:before="240" w:after="280"/>
      </w:pPr>
      <w:r>
        <w:rPr>
          <w:rFonts w:ascii="Arial" w:hAnsi="Arial" w:eastAsia="宋体"/>
          <w:b/>
          <w:color w:val="173F6E"/>
          <w:sz w:val="50"/>
        </w:rPr>
        <w:t>产品说明书（含演示案例）</w:t>
      </w:r>
    </w:p>
    <w:p>
      <w:r>
        <w:rPr>
          <w:rFonts w:ascii="Arial" w:hAnsi="Arial" w:eastAsia="宋体"/>
          <w:sz w:val="30"/>
        </w:rPr>
        <w:t>杭州天元宠物用品有限公司</w:t>
      </w:r>
    </w:p>
    <w:p>
      <w:r>
        <w:rPr>
          <w:rFonts w:ascii="Arial" w:hAnsi="Arial" w:eastAsia="宋体"/>
          <w:color w:val="66758D"/>
          <w:sz w:val="22"/>
        </w:rPr>
        <w:t>全模块能力 · 业务联动 · 演示案例 · 预期结果</w:t>
      </w:r>
    </w:p>
    <w:p/>
    <w:tbl>
      <w:tblPr>
        <w:tblStyle w:val="TableGrid"/>
        <w:tblW w:type="auto" w:w="0"/>
        <w:jc w:val="center"/>
        <w:tblLayout w:type="fixed"/>
        <w:tblLook w:firstColumn="1" w:firstRow="1" w:lastColumn="0" w:lastRow="0" w:noHBand="0" w:noVBand="1" w:val="04A0"/>
      </w:tblPr>
      <w:tblGrid>
        <w:gridCol w:w="2642"/>
        <w:gridCol w:w="6764"/>
      </w:tblGrid>
      <w:tr>
        <w:trPr>
          <w:cantSplit/>
          <w:tblHeader w:val="true"/>
        </w:trPr>
        <w:tc>
          <w:tcPr>
            <w:tcW w:type="dxa" w:w="26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7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TY-EPM-PROD-ERP-001</w:t>
            </w:r>
          </w:p>
        </w:tc>
      </w:tr>
      <w:tr>
        <w:trPr>
          <w:cantSplit/>
        </w:trPr>
        <w:tc>
          <w:tcPr>
            <w:tcW w:type="dxa" w:w="26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D1.0 / 2026-10-21</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适配软件基线</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ERP-20261021 · NC6.5凭证、单体报表及分级合并Demo</w:t>
            </w:r>
          </w:p>
        </w:tc>
      </w:tr>
      <w:tr>
        <w:trPr>
          <w:cantSplit/>
        </w:trPr>
        <w:tc>
          <w:tcPr>
            <w:tcW w:type="dxa" w:w="26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产品负责人、财务负责人及演示评审人员</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主公司及鸿旺相关主体名称由用户提供；其他演示主体、人员、交易和财务金额为虚构样例。</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文档控制与阅读说明</w:t>
        </w:r>
      </w:hyperlink>
    </w:p>
    <w:p>
      <w:pPr>
        <w:spacing w:after="80"/>
      </w:pPr>
      <w:hyperlink w:anchor="epm_2">
        <w:r>
          <w:rPr>
            <w:color w:val="245CA8"/>
            <w:rFonts w:ascii="Arial" w:eastAsia="宋体"/>
            <w:sz w:val="21"/>
          </w:rPr>
          <w:t xml:space="preserve">一、产品定位与业务目标</w:t>
        </w:r>
      </w:hyperlink>
    </w:p>
    <w:p>
      <w:pPr>
        <w:spacing w:after="80"/>
      </w:pPr>
      <w:hyperlink w:anchor="epm_6">
        <w:r>
          <w:rPr>
            <w:color w:val="245CA8"/>
            <w:rFonts w:ascii="Arial" w:eastAsia="宋体"/>
            <w:sz w:val="21"/>
          </w:rPr>
          <w:t xml:space="preserve">二、使用角色与职责</w:t>
        </w:r>
      </w:hyperlink>
    </w:p>
    <w:p>
      <w:pPr>
        <w:spacing w:after="80"/>
      </w:pPr>
      <w:hyperlink w:anchor="epm_7">
        <w:r>
          <w:rPr>
            <w:color w:val="245CA8"/>
            <w:rFonts w:ascii="Arial" w:eastAsia="宋体"/>
            <w:sz w:val="21"/>
          </w:rPr>
          <w:t xml:space="preserve">三、业务对象、范围与界面口径</w:t>
        </w:r>
      </w:hyperlink>
    </w:p>
    <w:p>
      <w:pPr>
        <w:spacing w:after="80"/>
      </w:pPr>
      <w:hyperlink w:anchor="epm_11">
        <w:r>
          <w:rPr>
            <w:color w:val="245CA8"/>
            <w:rFonts w:ascii="Arial" w:eastAsia="宋体"/>
            <w:sz w:val="21"/>
          </w:rPr>
          <w:t xml:space="preserve">四、全模块产品导航</w:t>
        </w:r>
      </w:hyperlink>
    </w:p>
    <w:p>
      <w:pPr>
        <w:spacing w:after="80"/>
      </w:pPr>
      <w:hyperlink w:anchor="epm_28">
        <w:r>
          <w:rPr>
            <w:color w:val="245CA8"/>
            <w:rFonts w:ascii="Arial" w:eastAsia="宋体"/>
            <w:sz w:val="21"/>
          </w:rPr>
          <w:t xml:space="preserve">五、推荐演示组织方法</w:t>
        </w:r>
      </w:hyperlink>
    </w:p>
    <w:p>
      <w:pPr>
        <w:spacing w:after="80"/>
      </w:pPr>
      <w:hyperlink w:anchor="epm_50">
        <w:r>
          <w:rPr>
            <w:color w:val="245CA8"/>
            <w:rFonts w:ascii="Arial" w:eastAsia="宋体"/>
            <w:sz w:val="21"/>
          </w:rPr>
          <w:t xml:space="preserve">六、结果追溯与产品联动解释</w:t>
        </w:r>
      </w:hyperlink>
    </w:p>
    <w:p>
      <w:pPr>
        <w:spacing w:after="80"/>
      </w:pPr>
      <w:hyperlink w:anchor="epm_54">
        <w:r>
          <w:rPr>
            <w:color w:val="245CA8"/>
            <w:rFonts w:ascii="Arial" w:eastAsia="宋体"/>
            <w:sz w:val="21"/>
          </w:rPr>
          <w:t xml:space="preserve">七、运行、演示数据与文档交付</w:t>
        </w:r>
      </w:hyperlink>
    </w:p>
    <w:p>
      <w:pPr>
        <w:spacing w:after="80"/>
      </w:pPr>
      <w:hyperlink w:anchor="epm_58">
        <w:r>
          <w:rPr>
            <w:color w:val="245CA8"/>
            <w:rFonts w:ascii="Arial" w:eastAsia="宋体"/>
            <w:sz w:val="21"/>
          </w:rPr>
          <w:t xml:space="preserve">八、评审建议与后续演进</w:t>
        </w:r>
      </w:hyperlink>
    </w:p>
    <w:p>
      <w:r>
        <w:br w:type="page"/>
      </w:r>
    </w:p>
    <w:p>
      <w:pPr>
        <w:pStyle w:val="Heading1"/>
      </w:pPr>
      <w:bookmarkStart w:id="1" w:name="epm_1"/>
      <w:r>
        <w:rPr>
          <w:rFonts w:ascii="Arial" w:hAnsi="Arial" w:eastAsia="宋体"/>
          <w:b w:val="0"/>
          <w:i w:val="0"/>
        </w:rPr>
        <w:t>文档控制与阅读说明</w:t>
      </w:r>
      <w:bookmarkEnd w:id="1"/>
    </w:p>
    <w:tbl>
      <w:tblPr>
        <w:tblStyle w:val="TableGrid"/>
        <w:tblW w:type="auto" w:w="0"/>
        <w:jc w:val="center"/>
        <w:tblLayout w:type="fixed"/>
        <w:tblLook w:firstColumn="1" w:firstRow="1" w:lastColumn="0" w:lastRow="0" w:noHBand="0" w:noVBand="1" w:val="04A0"/>
      </w:tblPr>
      <w:tblGrid>
        <w:gridCol w:w="1832"/>
        <w:gridCol w:w="7574"/>
      </w:tblGrid>
      <w:tr>
        <w:trPr>
          <w:cantSplit/>
          <w:tblHeader w:val="true"/>
        </w:trPr>
        <w:tc>
          <w:tcPr>
            <w:tcW w:type="dxa" w:w="18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控制项</w:t>
            </w:r>
          </w:p>
        </w:tc>
        <w:tc>
          <w:tcPr>
            <w:tcW w:type="dxa" w:w="75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1832"/>
            <w:vAlign w:val="top"/>
            <w:tcMar>
              <w:top w:w="65" w:type="dxa"/>
              <w:bottom w:w="65" w:type="dxa"/>
              <w:left w:w="65" w:type="dxa"/>
              <w:right w:w="65" w:type="dxa"/>
            </w:tcMar>
          </w:tcPr>
          <w:p>
            <w:pPr>
              <w:spacing w:before="30" w:after="30" w:line="252" w:lineRule="auto"/>
            </w:pPr>
            <w:r>
              <w:rPr>
                <w:rFonts w:ascii="Arial" w:hAnsi="Arial" w:eastAsia="宋体"/>
                <w:b w:val="0"/>
                <w:i w:val="0"/>
                <w:sz w:val="19"/>
              </w:rPr>
              <w:t>适用公司</w:t>
            </w:r>
          </w:p>
        </w:tc>
        <w:tc>
          <w:tcPr>
            <w:tcW w:type="dxa" w:w="7574"/>
            <w:vAlign w:val="top"/>
            <w:tcMar>
              <w:top w:w="65" w:type="dxa"/>
              <w:bottom w:w="65" w:type="dxa"/>
              <w:left w:w="65" w:type="dxa"/>
              <w:right w:w="65" w:type="dxa"/>
            </w:tcMar>
          </w:tcPr>
          <w:p>
            <w:pPr>
              <w:spacing w:before="30" w:after="30" w:line="252" w:lineRule="auto"/>
            </w:pPr>
            <w:r>
              <w:rPr>
                <w:rFonts w:ascii="Arial" w:hAnsi="Arial" w:eastAsia="宋体"/>
                <w:b w:val="0"/>
                <w:i w:val="0"/>
                <w:sz w:val="19"/>
              </w:rPr>
              <w:t>杭州天元宠物用品有限公司</w:t>
            </w:r>
          </w:p>
        </w:tc>
      </w:tr>
      <w:tr>
        <w:trPr>
          <w:cantSplit/>
        </w:trPr>
        <w:tc>
          <w:tcPr>
            <w:tcW w:type="dxa" w:w="18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软件业务基线</w:t>
            </w:r>
          </w:p>
        </w:tc>
        <w:tc>
          <w:tcPr>
            <w:tcW w:type="dxa" w:w="75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ERP-20261021，ERP凭证到单体、自动内部交易与多层合并中文Demo</w:t>
            </w:r>
          </w:p>
        </w:tc>
      </w:tr>
      <w:tr>
        <w:trPr>
          <w:cantSplit/>
        </w:trPr>
        <w:tc>
          <w:tcPr>
            <w:tcW w:type="dxa" w:w="1832"/>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文档版本</w:t>
            </w:r>
          </w:p>
        </w:tc>
        <w:tc>
          <w:tcPr>
            <w:tcW w:type="dxa" w:w="7574"/>
            <w:vAlign w:val="top"/>
            <w:tcMar>
              <w:top w:w="65" w:type="dxa"/>
              <w:bottom w:w="65" w:type="dxa"/>
              <w:left w:w="65" w:type="dxa"/>
              <w:right w:w="65" w:type="dxa"/>
            </w:tcMar>
          </w:tcPr>
          <w:p>
            <w:pPr>
              <w:spacing w:before="30" w:after="30" w:line="252" w:lineRule="auto"/>
            </w:pPr>
            <w:r>
              <w:rPr>
                <w:rFonts w:ascii="Arial" w:hAnsi="Arial" w:eastAsia="宋体"/>
                <w:b w:val="0"/>
                <w:i w:val="0"/>
                <w:sz w:val="19"/>
              </w:rPr>
              <w:t>D1.0；发布日期2026-10-21</w:t>
            </w:r>
          </w:p>
        </w:tc>
      </w:tr>
      <w:tr>
        <w:trPr>
          <w:cantSplit/>
        </w:trPr>
        <w:tc>
          <w:tcPr>
            <w:tcW w:type="dxa" w:w="18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软件包</w:t>
            </w:r>
          </w:p>
        </w:tc>
        <w:tc>
          <w:tcPr>
            <w:tcW w:type="dxa" w:w="75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TianyuanEPM-ERP-Demo-Windows-x64.zip；大小与摘要以最终包外交付校验为准</w:t>
            </w:r>
          </w:p>
        </w:tc>
      </w:tr>
      <w:tr>
        <w:trPr>
          <w:cantSplit/>
        </w:trPr>
        <w:tc>
          <w:tcPr>
            <w:tcW w:type="dxa" w:w="1832"/>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版本绑定</w:t>
            </w:r>
          </w:p>
        </w:tc>
        <w:tc>
          <w:tcPr>
            <w:tcW w:type="dxa" w:w="7574"/>
            <w:vAlign w:val="top"/>
            <w:tcMar>
              <w:top w:w="65" w:type="dxa"/>
              <w:bottom w:w="65" w:type="dxa"/>
              <w:left w:w="65" w:type="dxa"/>
              <w:right w:w="65" w:type="dxa"/>
            </w:tcMar>
          </w:tcPr>
          <w:p>
            <w:pPr>
              <w:spacing w:before="30" w:after="30" w:line="252" w:lineRule="auto"/>
            </w:pPr>
            <w:r>
              <w:rPr>
                <w:rFonts w:ascii="Arial" w:hAnsi="Arial" w:eastAsia="宋体"/>
                <w:b w:val="0"/>
                <w:i w:val="0"/>
                <w:sz w:val="19"/>
              </w:rPr>
              <w:t>本套文档的release.json绑定最终代码、软件包和四份文档；正文不嵌自身外层文档ZIP摘要</w:t>
            </w:r>
          </w:p>
        </w:tc>
      </w:tr>
      <w:tr>
        <w:trPr>
          <w:cantSplit/>
        </w:trPr>
        <w:tc>
          <w:tcPr>
            <w:tcW w:type="dxa" w:w="18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75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集团财务负责人、法人会计、预算负责人、经营分析人员、产品评审及实施人员</w:t>
            </w:r>
          </w:p>
        </w:tc>
      </w:tr>
      <w:tr>
        <w:trPr>
          <w:cantSplit/>
        </w:trPr>
        <w:tc>
          <w:tcPr>
            <w:tcW w:type="dxa" w:w="1832"/>
            <w:vAlign w:val="top"/>
            <w:tcMar>
              <w:top w:w="65" w:type="dxa"/>
              <w:bottom w:w="65" w:type="dxa"/>
              <w:left w:w="65" w:type="dxa"/>
              <w:right w:w="65" w:type="dxa"/>
            </w:tcMar>
          </w:tcPr>
          <w:p>
            <w:pPr>
              <w:spacing w:before="30" w:after="30" w:line="252" w:lineRule="auto"/>
            </w:pPr>
            <w:r>
              <w:rPr>
                <w:rFonts w:ascii="Arial" w:hAnsi="Arial" w:eastAsia="宋体"/>
                <w:b w:val="0"/>
                <w:i w:val="0"/>
                <w:sz w:val="19"/>
              </w:rPr>
              <w:t>说明范围</w:t>
            </w:r>
          </w:p>
        </w:tc>
        <w:tc>
          <w:tcPr>
            <w:tcW w:type="dxa" w:w="7574"/>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当前24项中文菜单的完整产品说明、模块联动及可复现演示；字段级研发规则见同版PRD</w:t>
            </w:r>
          </w:p>
        </w:tc>
      </w:tr>
      <w:tr>
        <w:trPr>
          <w:cantSplit/>
        </w:trPr>
        <w:tc>
          <w:tcPr>
            <w:tcW w:type="dxa" w:w="18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数字性质</w:t>
            </w:r>
          </w:p>
        </w:tc>
        <w:tc>
          <w:tcPr>
            <w:tcW w:type="dxa" w:w="75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全部交易、金额、海外法人及演示人员为虚构；主公司及两家鸿旺相关法人名称按用户提供保留</w:t>
            </w:r>
          </w:p>
        </w:tc>
      </w:tr>
      <w:tr>
        <w:trPr>
          <w:cantSplit/>
        </w:trPr>
        <w:tc>
          <w:tcPr>
            <w:tcW w:type="dxa" w:w="1832"/>
            <w:vAlign w:val="top"/>
            <w:tcMar>
              <w:top w:w="65" w:type="dxa"/>
              <w:bottom w:w="65" w:type="dxa"/>
              <w:left w:w="65" w:type="dxa"/>
              <w:right w:w="65" w:type="dxa"/>
            </w:tcMar>
          </w:tcPr>
          <w:p>
            <w:pPr>
              <w:spacing w:before="30" w:after="30" w:line="252" w:lineRule="auto"/>
            </w:pPr>
            <w:r>
              <w:rPr>
                <w:rFonts w:ascii="Arial" w:hAnsi="Arial" w:eastAsia="宋体"/>
                <w:b w:val="0"/>
                <w:i w:val="0"/>
                <w:sz w:val="19"/>
              </w:rPr>
              <w:t>案例复核</w:t>
            </w:r>
          </w:p>
        </w:tc>
        <w:tc>
          <w:tcPr>
            <w:tcW w:type="dxa" w:w="7574"/>
            <w:vAlign w:val="top"/>
            <w:tcMar>
              <w:top w:w="65" w:type="dxa"/>
              <w:bottom w:w="65" w:type="dxa"/>
              <w:left w:w="65" w:type="dxa"/>
              <w:right w:w="65" w:type="dxa"/>
            </w:tcMar>
          </w:tcPr>
          <w:p>
            <w:pPr>
              <w:spacing w:before="30" w:after="30" w:line="252" w:lineRule="auto"/>
            </w:pPr>
            <w:r>
              <w:rPr>
                <w:rFonts w:ascii="Arial" w:hAnsi="Arial" w:eastAsia="宋体"/>
                <w:b w:val="0"/>
                <w:i w:val="0"/>
                <w:sz w:val="19"/>
              </w:rPr>
              <w:t>最终ERP源码上重新执行P01—P11及ERP-P12—P14，共14组真实HTTP案例；两份产品证据均通过且执行期源码未变</w:t>
            </w:r>
          </w:p>
        </w:tc>
      </w:tr>
    </w:tbl>
    <w:p>
      <w:pPr>
        <w:spacing w:after="40"/>
      </w:pPr>
    </w:p>
    <w:p>
      <w:r>
        <w:rPr>
          <w:rFonts w:ascii="Arial" w:hAnsi="Arial" w:eastAsia="宋体"/>
          <w:b w:val="0"/>
          <w:i w:val="0"/>
        </w:rPr>
        <w:t>本书截图来自当前ERP版的本机虚构演示及文件导入案例，不能据截图声称已经在线连接NC。</w:t>
      </w:r>
    </w:p>
    <w:p>
      <w:r>
        <w:rPr>
          <w:rFonts w:ascii="Arial" w:hAnsi="Arial" w:eastAsia="宋体"/>
          <w:b w:val="0"/>
          <w:i w:val="0"/>
        </w:rPr>
        <w:t>本说明书以当前软件实际行为为准。正文的“已实现”指本机演示范围中的真实保存、计算、版本和交互；“后续研发”不表示本版已经具备。软件角色切换用于本机职责演示，不能代替企业生产身份认证和组织授权。</w:t>
      </w:r>
    </w:p>
    <w:p>
      <w:r>
        <w:rPr>
          <w:rFonts w:ascii="Arial" w:hAnsi="Arial" w:eastAsia="宋体"/>
          <w:b w:val="0"/>
          <w:i w:val="0"/>
        </w:rPr>
        <w:t>每次后续版本升级，应同步提供同版的PRD、系统说明、产品说明和用户操作手册全模块正文，保留变更记录、适用软件摘要和验收口径。不能仅交付新增功能章节，要求阅读者自行拼接多份历史文档。</w:t>
      </w:r>
    </w:p>
    <w:p>
      <w:pPr>
        <w:pStyle w:val="Heading1"/>
      </w:pPr>
      <w:bookmarkStart w:id="2" w:name="epm_2"/>
      <w:r>
        <w:rPr>
          <w:rFonts w:ascii="Arial" w:hAnsi="Arial" w:eastAsia="宋体"/>
          <w:b w:val="0"/>
          <w:i w:val="0"/>
        </w:rPr>
        <w:t>一、产品定位与业务目标</w:t>
      </w:r>
      <w:bookmarkEnd w:id="2"/>
    </w:p>
    <w:p>
      <w:pPr>
        <w:pStyle w:val="Heading2"/>
      </w:pPr>
      <w:bookmarkStart w:id="3" w:name="epm_3"/>
      <w:r>
        <w:rPr>
          <w:rFonts w:ascii="Arial" w:hAnsi="Arial" w:eastAsia="宋体"/>
          <w:b w:val="0"/>
          <w:i w:val="0"/>
        </w:rPr>
        <w:t>1.1 本产品解决什么问题</w:t>
      </w:r>
      <w:bookmarkEnd w:id="3"/>
    </w:p>
    <w:p>
      <w:r>
        <w:rPr>
          <w:rFonts w:ascii="Arial" w:hAnsi="Arial" w:eastAsia="宋体"/>
          <w:b w:val="0"/>
          <w:i w:val="0"/>
        </w:rPr>
        <w:t>本产品围绕集团财务合并、全面预算与经营分析三条主线，新增ERP文件到原始凭证、法人账与单体三表、内部交易匹配及自动抵销的完整来源链，提供中文业务工作台、本机持久化数据及可追溯演示。核心场景是先形成鸿旺人民币小合并与海外美元小合并，再将有效已签核的下级结果上卷到人民币集团层。集团能够解释一个报表数来自哪些法人源版本、哪些下级结果、哪层抵销及哪版分类汇率。</w:t>
      </w:r>
    </w:p>
    <w:p>
      <w:r>
        <w:rPr>
          <w:rFonts w:ascii="Arial" w:hAnsi="Arial" w:eastAsia="宋体"/>
          <w:b w:val="0"/>
          <w:i w:val="0"/>
        </w:rPr>
        <w:t>合并处理不以“把所有单体金额直接相加”结束。系统区分真实独立法人、管理合并单元和实际持股关系，控制重复纳入、错误层抵销、下级未签核、输入改变后沿用旧结果等错误。海外结果在美元层形成后，只在需要人民币输出的层级按项目规则折算。</w:t>
      </w:r>
    </w:p>
    <w:p>
      <w:r>
        <w:rPr>
          <w:rFonts w:ascii="Arial" w:hAnsi="Arial" w:eastAsia="宋体"/>
          <w:b w:val="0"/>
          <w:i w:val="0"/>
        </w:rPr>
        <w:t>预算提供年度四层收入目标、销量与单价驱动、十二期分摊、七类业务预算明细、审批锁定、完整版本复制及独立预算调整。经营分析在相同范围和币种下比较集团实际与预算，并允许回到保存的结果与输入证据。业务预算明细目前独立保存，不自动生成生产排程、采购订单或真实资金指令，也不自动生成完整三表预算模型。</w:t>
      </w:r>
    </w:p>
    <w:p>
      <w:pPr>
        <w:pStyle w:val="Heading2"/>
      </w:pPr>
      <w:bookmarkStart w:id="4" w:name="epm_4"/>
      <w:r>
        <w:rPr>
          <w:rFonts w:ascii="Arial" w:hAnsi="Arial" w:eastAsia="宋体"/>
          <w:b w:val="0"/>
          <w:i w:val="0"/>
        </w:rPr>
        <w:t>1.2 本轮已实现与后续研发</w:t>
      </w:r>
      <w:bookmarkEnd w:id="4"/>
    </w:p>
    <w:tbl>
      <w:tblPr>
        <w:tblStyle w:val="TableGrid"/>
        <w:tblW w:type="auto" w:w="0"/>
        <w:jc w:val="center"/>
        <w:tblLayout w:type="fixed"/>
        <w:tblLook w:firstColumn="1" w:firstRow="1" w:lastColumn="0" w:lastRow="0" w:noHBand="0" w:noVBand="1" w:val="04A0"/>
      </w:tblPr>
      <w:tblGrid>
        <w:gridCol w:w="1200"/>
        <w:gridCol w:w="4779"/>
        <w:gridCol w:w="3426"/>
      </w:tblGrid>
      <w:tr>
        <w:trPr>
          <w:cantSplit/>
          <w:tblHeader w:val="true"/>
        </w:trPr>
        <w:tc>
          <w:tcPr>
            <w:tcW w:type="dxa" w:w="12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领域</w:t>
            </w:r>
          </w:p>
        </w:tc>
        <w:tc>
          <w:tcPr>
            <w:tcW w:type="dxa" w:w="477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本版已实现</w:t>
            </w:r>
          </w:p>
        </w:tc>
        <w:tc>
          <w:tcPr>
            <w:tcW w:type="dxa" w:w="34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后续正式研发需补充</w:t>
            </w:r>
          </w:p>
        </w:tc>
      </w:tr>
      <w:tr>
        <w:trPr>
          <w:cantSplit/>
        </w:trPr>
        <w:tc>
          <w:tcPr>
            <w:tcW w:type="dxa" w:w="1200"/>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财务合并</w:t>
            </w:r>
          </w:p>
        </w:tc>
        <w:tc>
          <w:tcPr>
            <w:tcW w:type="dxa" w:w="4779"/>
            <w:vAlign w:val="top"/>
            <w:tcMar>
              <w:top w:w="65" w:type="dxa"/>
              <w:bottom w:w="65" w:type="dxa"/>
              <w:left w:w="65" w:type="dxa"/>
              <w:right w:w="65" w:type="dxa"/>
            </w:tcMar>
          </w:tcPr>
          <w:p>
            <w:pPr>
              <w:spacing w:before="30" w:after="30" w:line="252" w:lineRule="auto"/>
            </w:pPr>
            <w:r>
              <w:rPr>
                <w:rFonts w:ascii="Arial" w:hAnsi="Arial" w:eastAsia="宋体"/>
                <w:b w:val="0"/>
                <w:i w:val="0"/>
                <w:sz w:val="19"/>
              </w:rPr>
              <w:t>动态管理合并树、CNY/USD完整三表源、有效已签核子结果上卷、分层内部销售与期初全资投资资本抵销</w:t>
            </w:r>
          </w:p>
        </w:tc>
        <w:tc>
          <w:tcPr>
            <w:tcW w:type="dxa" w:w="3426"/>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完整合并准则、税项、未实现利润、复杂权益、收购/处置、商誉、少数股东</w:t>
            </w:r>
          </w:p>
        </w:tc>
      </w:tr>
      <w:tr>
        <w:trPr>
          <w:cantSplit/>
        </w:trPr>
        <w:tc>
          <w:tcPr>
            <w:tcW w:type="dxa" w:w="12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外币折算</w:t>
            </w:r>
          </w:p>
        </w:tc>
        <w:tc>
          <w:tcPr>
            <w:tcW w:type="dxa" w:w="47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USD→CNY；期初、期末、统一资本历史汇率、逐月损益平均率与现金流量率；CTA和现金汇率影响分开</w:t>
            </w:r>
          </w:p>
        </w:tc>
        <w:tc>
          <w:tcPr>
            <w:tcW w:type="dxa" w:w="3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其他币种、不同法人独立历史资本率维护、完整历史投资台账、高通胀及复杂权益事件</w:t>
            </w:r>
          </w:p>
        </w:tc>
      </w:tr>
      <w:tr>
        <w:trPr>
          <w:cantSplit/>
        </w:trPr>
        <w:tc>
          <w:tcPr>
            <w:tcW w:type="dxa" w:w="1200"/>
            <w:vAlign w:val="top"/>
            <w:tcMar>
              <w:top w:w="65" w:type="dxa"/>
              <w:bottom w:w="65" w:type="dxa"/>
              <w:left w:w="65" w:type="dxa"/>
              <w:right w:w="65" w:type="dxa"/>
            </w:tcMar>
          </w:tcPr>
          <w:p>
            <w:pPr>
              <w:spacing w:before="30" w:after="30" w:line="252" w:lineRule="auto"/>
            </w:pPr>
            <w:r>
              <w:rPr>
                <w:rFonts w:ascii="Arial" w:hAnsi="Arial" w:eastAsia="宋体"/>
                <w:b w:val="0"/>
                <w:i w:val="0"/>
                <w:sz w:val="19"/>
              </w:rPr>
              <w:t>全面预算</w:t>
            </w:r>
          </w:p>
        </w:tc>
        <w:tc>
          <w:tcPr>
            <w:tcW w:type="dxa" w:w="4779"/>
            <w:vAlign w:val="top"/>
            <w:tcMar>
              <w:top w:w="65" w:type="dxa"/>
              <w:bottom w:w="65" w:type="dxa"/>
              <w:left w:w="65" w:type="dxa"/>
              <w:right w:w="65" w:type="dxa"/>
            </w:tcMar>
          </w:tcPr>
          <w:p>
            <w:pPr>
              <w:spacing w:before="30" w:after="30" w:line="252" w:lineRule="auto"/>
            </w:pPr>
            <w:r>
              <w:rPr>
                <w:rFonts w:ascii="Arial" w:hAnsi="Arial" w:eastAsia="宋体"/>
                <w:b w:val="0"/>
                <w:i w:val="0"/>
                <w:sz w:val="19"/>
              </w:rPr>
              <w:t>年度收入目标、量价、分摊、明细、提交审批锁定、独立调整与情景复制</w:t>
            </w:r>
          </w:p>
        </w:tc>
        <w:tc>
          <w:tcPr>
            <w:tcW w:type="dxa" w:w="3426"/>
            <w:vAlign w:val="top"/>
            <w:tcMar>
              <w:top w:w="65" w:type="dxa"/>
              <w:bottom w:w="65" w:type="dxa"/>
              <w:left w:w="65" w:type="dxa"/>
              <w:right w:w="65" w:type="dxa"/>
            </w:tcMar>
          </w:tcPr>
          <w:p>
            <w:pPr>
              <w:spacing w:before="30" w:after="30" w:line="252" w:lineRule="auto"/>
            </w:pPr>
            <w:r>
              <w:rPr>
                <w:rFonts w:ascii="Arial" w:hAnsi="Arial" w:eastAsia="宋体"/>
                <w:b w:val="0"/>
                <w:i w:val="0"/>
                <w:sz w:val="19"/>
              </w:rPr>
              <w:t>订单/产能/采购/库存/成本/现金自动联动、预算执行控制、完整预测算法</w:t>
            </w:r>
          </w:p>
        </w:tc>
      </w:tr>
      <w:tr>
        <w:trPr>
          <w:cantSplit/>
        </w:trPr>
        <w:tc>
          <w:tcPr>
            <w:tcW w:type="dxa" w:w="12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经营分析</w:t>
            </w:r>
          </w:p>
        </w:tc>
        <w:tc>
          <w:tcPr>
            <w:tcW w:type="dxa" w:w="47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集团CNY口径预实比较、同币种实际指标、源/结果/汇率/抵销钻取、经营说明与导出</w:t>
            </w:r>
          </w:p>
        </w:tc>
        <w:tc>
          <w:tcPr>
            <w:tcW w:type="dxa" w:w="3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自动经营归因、多产品/渠道数据模型、生产级BI和外部实时数据</w:t>
            </w:r>
          </w:p>
        </w:tc>
      </w:tr>
      <w:tr>
        <w:trPr>
          <w:cantSplit/>
        </w:trPr>
        <w:tc>
          <w:tcPr>
            <w:tcW w:type="dxa" w:w="1200"/>
            <w:vAlign w:val="top"/>
            <w:tcMar>
              <w:top w:w="65" w:type="dxa"/>
              <w:bottom w:w="65" w:type="dxa"/>
              <w:left w:w="65" w:type="dxa"/>
              <w:right w:w="65" w:type="dxa"/>
            </w:tcMar>
          </w:tcPr>
          <w:p>
            <w:pPr>
              <w:spacing w:before="30" w:after="30" w:line="252" w:lineRule="auto"/>
            </w:pPr>
            <w:r>
              <w:rPr>
                <w:rFonts w:ascii="Arial" w:hAnsi="Arial" w:eastAsia="宋体"/>
                <w:b w:val="0"/>
                <w:i w:val="0"/>
                <w:sz w:val="19"/>
              </w:rPr>
              <w:t>ERP账务接入</w:t>
            </w:r>
          </w:p>
        </w:tc>
        <w:tc>
          <w:tcPr>
            <w:tcW w:type="dxa" w:w="4779"/>
            <w:vAlign w:val="top"/>
            <w:tcMar>
              <w:top w:w="65" w:type="dxa"/>
              <w:bottom w:w="65" w:type="dxa"/>
              <w:left w:w="65" w:type="dxa"/>
              <w:right w:w="65" w:type="dxa"/>
            </w:tcMar>
          </w:tcPr>
          <w:p>
            <w:pPr>
              <w:spacing w:before="30" w:after="30" w:line="252" w:lineRule="auto"/>
            </w:pPr>
            <w:r>
              <w:rPr>
                <w:rFonts w:ascii="Arial" w:hAnsi="Arial" w:eastAsia="宋体"/>
                <w:b w:val="0"/>
                <w:i w:val="0"/>
                <w:sz w:val="19"/>
              </w:rPr>
              <w:t>NC6.5真实48列表头与通用CSV/XLSX导入、账簿本位币/科目/客商/关联号配置、凭证生成三表、差异追溯及自动抵销草稿/经理批审</w:t>
            </w:r>
          </w:p>
        </w:tc>
        <w:tc>
          <w:tcPr>
            <w:tcW w:type="dxa" w:w="3426"/>
            <w:vAlign w:val="top"/>
            <w:tcMar>
              <w:top w:w="65" w:type="dxa"/>
              <w:bottom w:w="65" w:type="dxa"/>
              <w:left w:w="65" w:type="dxa"/>
              <w:right w:w="65" w:type="dxa"/>
            </w:tcMar>
          </w:tcPr>
          <w:p>
            <w:pPr>
              <w:spacing w:before="30" w:after="30" w:line="252" w:lineRule="auto"/>
            </w:pPr>
            <w:r>
              <w:rPr>
                <w:rFonts w:ascii="Arial" w:hAnsi="Arial" w:eastAsia="宋体"/>
                <w:b w:val="0"/>
                <w:i w:val="0"/>
                <w:sz w:val="19"/>
              </w:rPr>
              <w:t>NC在线API、跨不同本位币自动抵销、更多ERP格式及完整生产准则</w:t>
            </w:r>
          </w:p>
        </w:tc>
      </w:tr>
      <w:tr>
        <w:trPr>
          <w:cantSplit/>
        </w:trPr>
        <w:tc>
          <w:tcPr>
            <w:tcW w:type="dxa" w:w="12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运行治理</w:t>
            </w:r>
          </w:p>
        </w:tc>
        <w:tc>
          <w:tcPr>
            <w:tcW w:type="dxa" w:w="47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EXE启动本机服务、SQLite持久化、事务与版本冲突控制、本机角色演示和操作留痕</w:t>
            </w:r>
          </w:p>
        </w:tc>
        <w:tc>
          <w:tcPr>
            <w:tcW w:type="dxa" w:w="3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生产多用户认证、组织隔离、外部ERP连接、集中部署、容量及灾备专项验收</w:t>
            </w:r>
          </w:p>
        </w:tc>
      </w:tr>
    </w:tbl>
    <w:p>
      <w:pPr>
        <w:spacing w:after="40"/>
      </w:pPr>
    </w:p>
    <w:p>
      <w:pPr>
        <w:pStyle w:val="Heading2"/>
      </w:pPr>
      <w:bookmarkStart w:id="5" w:name="epm_5"/>
      <w:r>
        <w:rPr>
          <w:rFonts w:ascii="Arial" w:hAnsi="Arial" w:eastAsia="宋体"/>
          <w:b w:val="0"/>
          <w:i w:val="0"/>
        </w:rPr>
        <w:t>1.3 演示成功的判断标准</w:t>
      </w:r>
      <w:bookmarkEnd w:id="5"/>
    </w:p>
    <w:p>
      <w:r>
        <w:rPr>
          <w:rFonts w:ascii="Arial" w:hAnsi="Arial" w:eastAsia="宋体"/>
          <w:b w:val="0"/>
          <w:i w:val="0"/>
        </w:rPr>
        <w:t>评价本产品应同时看金额、口径与流程。鸿旺结果为1400，并且集团引用的是鸿旺已签核的准确结果ID；海外折算利润140与期末资产1440使用不同汇率；集团资产负债和现金流均勾稽；更改来源后旧结果保留而新结果必须重新计算、签核。单纯看到首页有指标，不能证明这些控制已经执行。</w:t>
      </w:r>
    </w:p>
    <w:p>
      <w:pPr>
        <w:pStyle w:val="Heading1"/>
      </w:pPr>
      <w:bookmarkStart w:id="6" w:name="epm_6"/>
      <w:r>
        <w:rPr>
          <w:rFonts w:ascii="Arial" w:hAnsi="Arial" w:eastAsia="宋体"/>
          <w:b w:val="0"/>
          <w:i w:val="0"/>
        </w:rPr>
        <w:t>二、使用角色与职责</w:t>
      </w:r>
      <w:bookmarkEnd w:id="6"/>
    </w:p>
    <w:tbl>
      <w:tblPr>
        <w:tblStyle w:val="TableGrid"/>
        <w:tblW w:type="auto" w:w="0"/>
        <w:jc w:val="center"/>
        <w:tblLayout w:type="fixed"/>
        <w:tblLook w:firstColumn="1" w:firstRow="1" w:lastColumn="0" w:lastRow="0" w:noHBand="0" w:noVBand="1" w:val="04A0"/>
      </w:tblPr>
      <w:tblGrid>
        <w:gridCol w:w="1013"/>
        <w:gridCol w:w="2498"/>
        <w:gridCol w:w="3555"/>
        <w:gridCol w:w="2340"/>
      </w:tblGrid>
      <w:tr>
        <w:trPr>
          <w:cantSplit/>
          <w:tblHeader w:val="true"/>
        </w:trPr>
        <w:tc>
          <w:tcPr>
            <w:tcW w:type="dxa" w:w="10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角色</w:t>
            </w:r>
          </w:p>
        </w:tc>
        <w:tc>
          <w:tcPr>
            <w:tcW w:type="dxa" w:w="24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典型任务</w:t>
            </w:r>
          </w:p>
        </w:tc>
        <w:tc>
          <w:tcPr>
            <w:tcW w:type="dxa" w:w="35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可执行操作</w:t>
            </w:r>
          </w:p>
        </w:tc>
        <w:tc>
          <w:tcPr>
            <w:tcW w:type="dxa" w:w="23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主要限制</w:t>
            </w:r>
          </w:p>
        </w:tc>
      </w:tr>
      <w:tr>
        <w:trPr>
          <w:cantSplit/>
        </w:trPr>
        <w:tc>
          <w:tcPr>
            <w:tcW w:type="dxa" w:w="1013"/>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集团财务负责人</w:t>
            </w:r>
          </w:p>
        </w:tc>
        <w:tc>
          <w:tcPr>
            <w:tcW w:type="dxa" w:w="2498"/>
            <w:vAlign w:val="top"/>
            <w:tcMar>
              <w:top w:w="65" w:type="dxa"/>
              <w:bottom w:w="65" w:type="dxa"/>
              <w:left w:w="65" w:type="dxa"/>
              <w:right w:w="65" w:type="dxa"/>
            </w:tcMar>
          </w:tcPr>
          <w:p>
            <w:pPr>
              <w:spacing w:before="30" w:after="30" w:line="252" w:lineRule="auto"/>
            </w:pPr>
            <w:r>
              <w:rPr>
                <w:rFonts w:ascii="Arial" w:hAnsi="Arial" w:eastAsia="宋体"/>
                <w:b w:val="0"/>
                <w:i w:val="0"/>
                <w:sz w:val="18"/>
              </w:rPr>
              <w:t>组织、范围、会计与汇率配置；抵销审批；结果签核；集团预算审批</w:t>
            </w:r>
          </w:p>
        </w:tc>
        <w:tc>
          <w:tcPr>
            <w:tcW w:type="dxa" w:w="3555"/>
            <w:vAlign w:val="top"/>
            <w:tcMar>
              <w:top w:w="65" w:type="dxa"/>
              <w:bottom w:w="65" w:type="dxa"/>
              <w:left w:w="65" w:type="dxa"/>
              <w:right w:w="65" w:type="dxa"/>
            </w:tcMar>
          </w:tcPr>
          <w:p>
            <w:pPr>
              <w:spacing w:before="30" w:after="30" w:line="252" w:lineRule="auto"/>
            </w:pPr>
            <w:r>
              <w:rPr>
                <w:rFonts w:ascii="Arial" w:hAnsi="Arial" w:eastAsia="宋体"/>
                <w:b w:val="0"/>
                <w:i w:val="0"/>
                <w:sz w:val="18"/>
              </w:rPr>
              <w:t>维护NC及科目配置、导入/生成ERP源、匹配、批量审批自动抵销、签核、重开、预算审批锁定和调整批准</w:t>
            </w:r>
          </w:p>
        </w:tc>
        <w:tc>
          <w:tcPr>
            <w:tcW w:type="dxa" w:w="2340"/>
            <w:vAlign w:val="top"/>
            <w:tcMar>
              <w:top w:w="65" w:type="dxa"/>
              <w:bottom w:w="65" w:type="dxa"/>
              <w:left w:w="65" w:type="dxa"/>
              <w:right w:w="65" w:type="dxa"/>
            </w:tcMar>
          </w:tcPr>
          <w:p>
            <w:pPr>
              <w:spacing w:before="30" w:after="30" w:line="252" w:lineRule="auto"/>
            </w:pPr>
            <w:r>
              <w:rPr>
                <w:rFonts w:ascii="Arial" w:hAnsi="Arial" w:eastAsia="宋体"/>
                <w:b w:val="0"/>
                <w:i w:val="0"/>
                <w:sz w:val="18"/>
              </w:rPr>
              <w:t>仍须满足输入校验、来源依赖与状态前置，不能签核失效结果</w:t>
            </w:r>
          </w:p>
        </w:tc>
      </w:tr>
      <w:tr>
        <w:trPr>
          <w:cantSplit/>
        </w:trPr>
        <w:tc>
          <w:tcPr>
            <w:tcW w:type="dxa" w:w="10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法人会计</w:t>
            </w:r>
          </w:p>
        </w:tc>
        <w:tc>
          <w:tcPr>
            <w:tcW w:type="dxa" w:w="24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报送法人三表、核对交易、准备计算和预算草稿</w:t>
            </w:r>
          </w:p>
        </w:tc>
        <w:tc>
          <w:tcPr>
            <w:tcW w:type="dxa" w:w="35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导入已配置的ERP文件、生成法人源、运行匹配和自动草稿、编辑手工源、运行合并计算、编制/提交预算、经营说明</w:t>
            </w:r>
          </w:p>
        </w:tc>
        <w:tc>
          <w:tcPr>
            <w:tcW w:type="dxa" w:w="23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不能审批抵销、签核结果、重新开启签核链或维护集团配置</w:t>
            </w:r>
          </w:p>
        </w:tc>
      </w:tr>
      <w:tr>
        <w:trPr>
          <w:cantSplit/>
        </w:trPr>
        <w:tc>
          <w:tcPr>
            <w:tcW w:type="dxa" w:w="1013"/>
            <w:vAlign w:val="top"/>
            <w:tcMar>
              <w:top w:w="65" w:type="dxa"/>
              <w:bottom w:w="65" w:type="dxa"/>
              <w:left w:w="65" w:type="dxa"/>
              <w:right w:w="65" w:type="dxa"/>
            </w:tcMar>
          </w:tcPr>
          <w:p>
            <w:pPr>
              <w:spacing w:before="30" w:after="30" w:line="252" w:lineRule="auto"/>
            </w:pPr>
            <w:r>
              <w:rPr>
                <w:rFonts w:ascii="Arial" w:hAnsi="Arial" w:eastAsia="宋体"/>
                <w:b w:val="0"/>
                <w:i w:val="0"/>
                <w:sz w:val="18"/>
              </w:rPr>
              <w:t>审计只读</w:t>
            </w:r>
          </w:p>
        </w:tc>
        <w:tc>
          <w:tcPr>
            <w:tcW w:type="dxa" w:w="2498"/>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查看结果、历史、报表、输入和操作记录</w:t>
            </w:r>
          </w:p>
        </w:tc>
        <w:tc>
          <w:tcPr>
            <w:tcW w:type="dxa" w:w="3555"/>
            <w:vAlign w:val="top"/>
            <w:tcMar>
              <w:top w:w="65" w:type="dxa"/>
              <w:bottom w:w="65" w:type="dxa"/>
              <w:left w:w="65" w:type="dxa"/>
              <w:right w:w="65" w:type="dxa"/>
            </w:tcMar>
          </w:tcPr>
          <w:p>
            <w:pPr>
              <w:spacing w:before="30" w:after="30" w:line="252" w:lineRule="auto"/>
            </w:pPr>
            <w:r>
              <w:rPr>
                <w:rFonts w:ascii="Arial" w:hAnsi="Arial" w:eastAsia="宋体"/>
                <w:b w:val="0"/>
                <w:i w:val="0"/>
                <w:sz w:val="18"/>
              </w:rPr>
              <w:t>读取和追溯业务数据</w:t>
            </w:r>
          </w:p>
        </w:tc>
        <w:tc>
          <w:tcPr>
            <w:tcW w:type="dxa" w:w="2340"/>
            <w:vAlign w:val="top"/>
            <w:tcMar>
              <w:top w:w="65" w:type="dxa"/>
              <w:bottom w:w="65" w:type="dxa"/>
              <w:left w:w="65" w:type="dxa"/>
              <w:right w:w="65" w:type="dxa"/>
            </w:tcMar>
          </w:tcPr>
          <w:p>
            <w:pPr>
              <w:spacing w:before="30" w:after="30" w:line="252" w:lineRule="auto"/>
            </w:pPr>
            <w:r>
              <w:rPr>
                <w:rFonts w:ascii="Arial" w:hAnsi="Arial" w:eastAsia="宋体"/>
                <w:b w:val="0"/>
                <w:i w:val="0"/>
                <w:sz w:val="18"/>
              </w:rPr>
              <w:t>写入由服务端拒绝，即使直接请求API也不能保存</w:t>
            </w:r>
          </w:p>
        </w:tc>
      </w:tr>
    </w:tbl>
    <w:p>
      <w:pPr>
        <w:spacing w:after="40"/>
      </w:pPr>
    </w:p>
    <w:p>
      <w:r>
        <w:rPr>
          <w:rFonts w:ascii="Arial" w:hAnsi="Arial" w:eastAsia="宋体"/>
          <w:b w:val="0"/>
          <w:i w:val="0"/>
        </w:rPr>
        <w:t>页面右上角头像可切换演示角色。首次由EXE建立本机会话，不需要谷歌邮箱、邮件验证码或英语初始化向导。本机演示允许操作者切换角色用于展示工作流；正式生产必须接入真实账号和职责分离，不能把这个按钮当成安全授权体系。</w:t>
      </w:r>
    </w:p>
    <w:p>
      <w:pPr>
        <w:pStyle w:val="Heading1"/>
      </w:pPr>
      <w:bookmarkStart w:id="7" w:name="epm_7"/>
      <w:r>
        <w:rPr>
          <w:rFonts w:ascii="Arial" w:hAnsi="Arial" w:eastAsia="宋体"/>
          <w:b w:val="0"/>
          <w:i w:val="0"/>
        </w:rPr>
        <w:t>三、业务对象、范围与界面口径</w:t>
      </w:r>
      <w:bookmarkEnd w:id="7"/>
    </w:p>
    <w:p>
      <w:pPr>
        <w:pStyle w:val="Heading2"/>
      </w:pPr>
      <w:bookmarkStart w:id="8" w:name="epm_8"/>
      <w:r>
        <w:rPr>
          <w:rFonts w:ascii="Arial" w:hAnsi="Arial" w:eastAsia="宋体"/>
          <w:b w:val="0"/>
          <w:i w:val="0"/>
        </w:rPr>
        <w:t>3.1 三类对象分别维护</w:t>
      </w:r>
      <w:bookmarkEnd w:id="8"/>
    </w:p>
    <w:tbl>
      <w:tblPr>
        <w:tblStyle w:val="TableGrid"/>
        <w:tblW w:type="auto" w:w="0"/>
        <w:jc w:val="center"/>
        <w:tblLayout w:type="fixed"/>
        <w:tblLook w:firstColumn="1" w:firstRow="1" w:lastColumn="0" w:lastRow="0" w:noHBand="0" w:noVBand="1" w:val="04A0"/>
      </w:tblPr>
      <w:tblGrid>
        <w:gridCol w:w="1098"/>
        <w:gridCol w:w="3012"/>
        <w:gridCol w:w="2648"/>
        <w:gridCol w:w="2648"/>
      </w:tblGrid>
      <w:tr>
        <w:trPr>
          <w:cantSplit/>
          <w:tblHeader w:val="true"/>
        </w:trPr>
        <w:tc>
          <w:tcPr>
            <w:tcW w:type="dxa" w:w="10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对象类型</w:t>
            </w:r>
          </w:p>
        </w:tc>
        <w:tc>
          <w:tcPr>
            <w:tcW w:type="dxa" w:w="30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示例</w:t>
            </w:r>
          </w:p>
        </w:tc>
        <w:tc>
          <w:tcPr>
            <w:tcW w:type="dxa" w:w="26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26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不应混淆的事项</w:t>
            </w:r>
          </w:p>
        </w:tc>
      </w:tr>
      <w:tr>
        <w:trPr>
          <w:cantSplit/>
        </w:trPr>
        <w:tc>
          <w:tcPr>
            <w:tcW w:type="dxa" w:w="1098"/>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独立法人</w:t>
            </w:r>
          </w:p>
        </w:tc>
        <w:tc>
          <w:tcPr>
            <w:tcW w:type="dxa" w:w="3012"/>
            <w:vAlign w:val="top"/>
            <w:tcMar>
              <w:top w:w="65" w:type="dxa"/>
              <w:bottom w:w="65" w:type="dxa"/>
              <w:left w:w="65" w:type="dxa"/>
              <w:right w:w="65" w:type="dxa"/>
            </w:tcMar>
          </w:tcPr>
          <w:p>
            <w:pPr>
              <w:spacing w:before="30" w:after="30" w:line="252" w:lineRule="auto"/>
            </w:pPr>
            <w:r>
              <w:rPr>
                <w:rFonts w:ascii="Arial" w:hAnsi="Arial" w:eastAsia="宋体"/>
                <w:b w:val="0"/>
                <w:i w:val="0"/>
                <w:sz w:val="18"/>
              </w:rPr>
              <w:t>鸿旺单体、鸿旺猫爬架生产事业部、杭州鸿旺宠物用品有限公司电子工厂</w:t>
            </w:r>
          </w:p>
        </w:tc>
        <w:tc>
          <w:tcPr>
            <w:tcW w:type="dxa" w:w="2648"/>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各有独立源报表和本位币；用户已确认三份报表互不重叠</w:t>
            </w:r>
          </w:p>
        </w:tc>
        <w:tc>
          <w:tcPr>
            <w:tcW w:type="dxa" w:w="2648"/>
            <w:vAlign w:val="top"/>
            <w:tcMar>
              <w:top w:w="65" w:type="dxa"/>
              <w:bottom w:w="65" w:type="dxa"/>
              <w:left w:w="65" w:type="dxa"/>
              <w:right w:w="65" w:type="dxa"/>
            </w:tcMar>
          </w:tcPr>
          <w:p>
            <w:pPr>
              <w:spacing w:before="30" w:after="30" w:line="252" w:lineRule="auto"/>
            </w:pPr>
            <w:r>
              <w:rPr>
                <w:rFonts w:ascii="Arial" w:hAnsi="Arial" w:eastAsia="宋体"/>
                <w:b w:val="0"/>
                <w:i w:val="0"/>
                <w:sz w:val="18"/>
              </w:rPr>
              <w:t>名称带“事业部”或“工厂”不改变本轮按独立法人的确认</w:t>
            </w:r>
          </w:p>
        </w:tc>
      </w:tr>
      <w:tr>
        <w:trPr>
          <w:cantSplit/>
        </w:trPr>
        <w:tc>
          <w:tcPr>
            <w:tcW w:type="dxa" w:w="10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管理合并单元</w:t>
            </w:r>
          </w:p>
        </w:tc>
        <w:tc>
          <w:tcPr>
            <w:tcW w:type="dxa" w:w="3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鸿旺小合并、海外小合并、杭州天元集团合并</w:t>
            </w:r>
          </w:p>
        </w:tc>
        <w:tc>
          <w:tcPr>
            <w:tcW w:type="dxa" w:w="26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规定直接输入成员及结果报表币种，形成自己的结果版本</w:t>
            </w:r>
          </w:p>
        </w:tc>
        <w:tc>
          <w:tcPr>
            <w:tcW w:type="dxa" w:w="26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管理归属不自动形成法律持股</w:t>
            </w:r>
          </w:p>
        </w:tc>
      </w:tr>
      <w:tr>
        <w:trPr>
          <w:cantSplit/>
        </w:trPr>
        <w:tc>
          <w:tcPr>
            <w:tcW w:type="dxa" w:w="1098"/>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实际持股关系</w:t>
            </w:r>
          </w:p>
        </w:tc>
        <w:tc>
          <w:tcPr>
            <w:tcW w:type="dxa" w:w="3012"/>
            <w:vAlign w:val="top"/>
            <w:tcMar>
              <w:top w:w="65" w:type="dxa"/>
              <w:bottom w:w="65" w:type="dxa"/>
              <w:left w:w="65" w:type="dxa"/>
              <w:right w:w="65" w:type="dxa"/>
            </w:tcMar>
          </w:tcPr>
          <w:p>
            <w:pPr>
              <w:spacing w:before="30" w:after="30" w:line="252" w:lineRule="auto"/>
            </w:pPr>
            <w:r>
              <w:rPr>
                <w:rFonts w:ascii="Arial" w:hAnsi="Arial" w:eastAsia="宋体"/>
                <w:b w:val="0"/>
                <w:i w:val="0"/>
                <w:sz w:val="18"/>
              </w:rPr>
              <w:t>天元对演示各子法人100%持股</w:t>
            </w:r>
          </w:p>
        </w:tc>
        <w:tc>
          <w:tcPr>
            <w:tcW w:type="dxa" w:w="2648"/>
            <w:vAlign w:val="top"/>
            <w:tcMar>
              <w:top w:w="65" w:type="dxa"/>
              <w:bottom w:w="65" w:type="dxa"/>
              <w:left w:w="65" w:type="dxa"/>
              <w:right w:w="65" w:type="dxa"/>
            </w:tcMar>
          </w:tcPr>
          <w:p>
            <w:pPr>
              <w:spacing w:before="30" w:after="30" w:line="252" w:lineRule="auto"/>
            </w:pPr>
            <w:r>
              <w:rPr>
                <w:rFonts w:ascii="Arial" w:hAnsi="Arial" w:eastAsia="宋体"/>
                <w:b w:val="0"/>
                <w:i w:val="0"/>
                <w:sz w:val="18"/>
              </w:rPr>
              <w:t>给出真实母子方向、比例和合并方法，供投资资本抵销校验</w:t>
            </w:r>
          </w:p>
        </w:tc>
        <w:tc>
          <w:tcPr>
            <w:tcW w:type="dxa" w:w="2648"/>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不能因为两家纳入鸿旺管理范围，就虚构鸿旺持有它们</w:t>
            </w:r>
          </w:p>
        </w:tc>
      </w:tr>
    </w:tbl>
    <w:p>
      <w:pPr>
        <w:spacing w:after="40"/>
      </w:pPr>
    </w:p>
    <w:p>
      <w:r>
        <w:rPr>
          <w:rFonts w:ascii="Arial" w:hAnsi="Arial" w:eastAsia="宋体"/>
          <w:b w:val="0"/>
          <w:i w:val="0"/>
        </w:rPr>
        <w:t>本版按天元100%全资口径演示，无本期资本变动、分红、少数股东或收购差额。母公司投资合计与子公司实报资本及历史汇率逐项配对，但尚未实现独立按每家被投资法人维护的原始投资台账。</w:t>
      </w:r>
    </w:p>
    <w:p>
      <w:pPr>
        <w:pStyle w:val="Heading2"/>
      </w:pPr>
      <w:bookmarkStart w:id="9" w:name="epm_9"/>
      <w:r>
        <w:rPr>
          <w:rFonts w:ascii="Arial" w:hAnsi="Arial" w:eastAsia="宋体"/>
          <w:b w:val="0"/>
          <w:i w:val="0"/>
        </w:rPr>
        <w:t>3.2 初始管理合并结构</w:t>
      </w:r>
      <w:bookmarkEnd w:id="9"/>
    </w:p>
    <w:p>
      <w:pPr>
        <w:spacing w:before="0" w:after="0" w:line="240" w:lineRule="auto"/>
        <w:ind w:left="113"/>
        <w:shd w:fill="F4F6FA"/>
      </w:pPr>
      <w:r>
        <w:rPr>
          <w:rFonts w:ascii="Consolas" w:hAnsi="Consolas" w:eastAsia="宋体"/>
          <w:sz w:val="16"/>
        </w:rPr>
        <w:t>杭州天元集团合并（人民币CNY）</w:t>
      </w:r>
    </w:p>
    <w:p>
      <w:pPr>
        <w:spacing w:before="0" w:after="0" w:line="240" w:lineRule="auto"/>
        <w:ind w:left="113"/>
        <w:shd w:fill="F4F6FA"/>
      </w:pPr>
      <w:r>
        <w:rPr>
          <w:rFonts w:ascii="Consolas" w:hAnsi="Consolas" w:eastAsia="宋体"/>
          <w:sz w:val="16"/>
        </w:rPr>
        <w:t xml:space="preserve">  天元本部（独立法人CNY）</w:t>
      </w:r>
    </w:p>
    <w:p>
      <w:pPr>
        <w:spacing w:before="0" w:after="0" w:line="240" w:lineRule="auto"/>
        <w:ind w:left="113"/>
        <w:shd w:fill="F4F6FA"/>
      </w:pPr>
      <w:r>
        <w:rPr>
          <w:rFonts w:ascii="Consolas" w:hAnsi="Consolas" w:eastAsia="宋体"/>
          <w:sz w:val="16"/>
        </w:rPr>
        <w:t xml:space="preserve">  鸿旺小合并（人民币CNY）</w:t>
      </w:r>
    </w:p>
    <w:p>
      <w:pPr>
        <w:spacing w:before="0" w:after="0" w:line="240" w:lineRule="auto"/>
        <w:ind w:left="113"/>
        <w:shd w:fill="F4F6FA"/>
      </w:pPr>
      <w:r>
        <w:rPr>
          <w:rFonts w:ascii="Consolas" w:hAnsi="Consolas" w:eastAsia="宋体"/>
          <w:sz w:val="16"/>
        </w:rPr>
        <w:t xml:space="preserve">    鸿旺单体（独立法人CNY）</w:t>
      </w:r>
    </w:p>
    <w:p>
      <w:pPr>
        <w:spacing w:before="0" w:after="0" w:line="240" w:lineRule="auto"/>
        <w:ind w:left="113"/>
        <w:shd w:fill="F4F6FA"/>
      </w:pPr>
      <w:r>
        <w:rPr>
          <w:rFonts w:ascii="Consolas" w:hAnsi="Consolas" w:eastAsia="宋体"/>
          <w:sz w:val="16"/>
        </w:rPr>
        <w:t xml:space="preserve">    鸿旺猫爬架生产事业部（独立法人CNY）</w:t>
      </w:r>
    </w:p>
    <w:p>
      <w:pPr>
        <w:spacing w:before="0" w:after="0" w:line="240" w:lineRule="auto"/>
        <w:ind w:left="113"/>
        <w:shd w:fill="F4F6FA"/>
      </w:pPr>
      <w:r>
        <w:rPr>
          <w:rFonts w:ascii="Consolas" w:hAnsi="Consolas" w:eastAsia="宋体"/>
          <w:sz w:val="16"/>
        </w:rPr>
        <w:t xml:space="preserve">    杭州鸿旺宠物用品有限公司电子工厂（独立法人CNY）</w:t>
      </w:r>
    </w:p>
    <w:p>
      <w:pPr>
        <w:spacing w:before="0" w:after="0" w:line="240" w:lineRule="auto"/>
        <w:ind w:left="113"/>
        <w:shd w:fill="F4F6FA"/>
      </w:pPr>
      <w:r>
        <w:rPr>
          <w:rFonts w:ascii="Consolas" w:hAnsi="Consolas" w:eastAsia="宋体"/>
          <w:sz w:val="16"/>
        </w:rPr>
        <w:t xml:space="preserve">  海外小合并（美元USD）</w:t>
      </w:r>
    </w:p>
    <w:p>
      <w:pPr>
        <w:spacing w:before="0" w:after="0" w:line="240" w:lineRule="auto"/>
        <w:ind w:left="113"/>
        <w:shd w:fill="F4F6FA"/>
      </w:pPr>
      <w:r>
        <w:rPr>
          <w:rFonts w:ascii="Consolas" w:hAnsi="Consolas" w:eastAsia="宋体"/>
          <w:sz w:val="16"/>
        </w:rPr>
        <w:t xml:space="preserve">    海外公司甲（演示；独立法人USD）</w:t>
      </w:r>
    </w:p>
    <w:p>
      <w:pPr>
        <w:spacing w:before="0" w:after="0" w:line="240" w:lineRule="auto"/>
        <w:ind w:left="113"/>
        <w:shd w:fill="F4F6FA"/>
      </w:pPr>
      <w:r>
        <w:rPr>
          <w:rFonts w:ascii="Consolas" w:hAnsi="Consolas" w:eastAsia="宋体"/>
          <w:sz w:val="16"/>
        </w:rPr>
        <w:t xml:space="preserve">    海外公司乙（演示；独立法人USD）</w:t>
      </w:r>
    </w:p>
    <w:p>
      <w:pPr>
        <w:spacing w:before="0" w:after="0" w:line="240" w:lineRule="auto"/>
        <w:ind w:left="113"/>
        <w:shd w:fill="F4F6FA"/>
      </w:pPr>
      <w:r>
        <w:rPr>
          <w:rFonts w:ascii="Consolas" w:hAnsi="Consolas" w:eastAsia="宋体"/>
          <w:sz w:val="16"/>
        </w:rPr>
        <w:t xml:space="preserve">  集团其他境内公司（演示；独立法人CNY）</w:t>
      </w:r>
    </w:p>
    <w:p>
      <w:pPr>
        <w:spacing w:after="20"/>
      </w:pPr>
    </w:p>
    <w:p>
      <w:r>
        <w:rPr>
          <w:rFonts w:ascii="Arial" w:hAnsi="Arial" w:eastAsia="宋体"/>
          <w:b w:val="0"/>
          <w:i w:val="0"/>
        </w:rPr>
        <w:t>集团输入已经包含“鸿旺小合并结果”时，不能再同时纳入鸿旺某家单体。系统拒绝同一棵合并树中的重复叶子、重复直接成员、循环及未知成员。可以先在一个未挂接的独立管理范围中配置新小合并，再将集团原单体输入替换为该子单元；替换后的集团树仍须无重复。</w:t>
      </w:r>
    </w:p>
    <w:p>
      <w:pPr>
        <w:pStyle w:val="Heading2"/>
      </w:pPr>
      <w:bookmarkStart w:id="10" w:name="epm_10"/>
      <w:r>
        <w:rPr>
          <w:rFonts w:ascii="Arial" w:hAnsi="Arial" w:eastAsia="宋体"/>
          <w:b w:val="0"/>
          <w:i w:val="0"/>
        </w:rPr>
        <w:t>3.3 顶部公共上下文</w:t>
      </w:r>
      <w:bookmarkEnd w:id="10"/>
    </w:p>
    <w:tbl>
      <w:tblPr>
        <w:tblStyle w:val="TableGrid"/>
        <w:tblW w:type="auto" w:w="0"/>
        <w:jc w:val="center"/>
        <w:tblLayout w:type="fixed"/>
        <w:tblLook w:firstColumn="1" w:firstRow="1" w:lastColumn="0" w:lastRow="0" w:noHBand="0" w:noVBand="1" w:val="04A0"/>
      </w:tblPr>
      <w:tblGrid>
        <w:gridCol w:w="1661"/>
        <w:gridCol w:w="3189"/>
        <w:gridCol w:w="4556"/>
      </w:tblGrid>
      <w:tr>
        <w:trPr>
          <w:cantSplit/>
          <w:tblHeader w:val="true"/>
        </w:trPr>
        <w:tc>
          <w:tcPr>
            <w:tcW w:type="dxa" w:w="16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控件</w:t>
            </w:r>
          </w:p>
        </w:tc>
        <w:tc>
          <w:tcPr>
            <w:tcW w:type="dxa" w:w="318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作用</w:t>
            </w:r>
          </w:p>
        </w:tc>
        <w:tc>
          <w:tcPr>
            <w:tcW w:type="dxa" w:w="45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使用规则</w:t>
            </w:r>
          </w:p>
        </w:tc>
      </w:tr>
      <w:tr>
        <w:trPr>
          <w:cantSplit/>
        </w:trPr>
        <w:tc>
          <w:tcPr>
            <w:tcW w:type="dxa" w:w="1661"/>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合并单元</w:t>
            </w:r>
          </w:p>
        </w:tc>
        <w:tc>
          <w:tcPr>
            <w:tcW w:type="dxa" w:w="3189"/>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切换鸿旺、海外、集团或新增单元</w:t>
            </w:r>
          </w:p>
        </w:tc>
        <w:tc>
          <w:tcPr>
            <w:tcW w:type="dxa" w:w="4556"/>
            <w:vAlign w:val="top"/>
            <w:tcMar>
              <w:top w:w="65" w:type="dxa"/>
              <w:bottom w:w="65" w:type="dxa"/>
              <w:left w:w="65" w:type="dxa"/>
              <w:right w:w="65" w:type="dxa"/>
            </w:tcMar>
          </w:tcPr>
          <w:p>
            <w:pPr>
              <w:spacing w:before="30" w:after="30" w:line="252" w:lineRule="auto"/>
            </w:pPr>
            <w:r>
              <w:rPr>
                <w:rFonts w:ascii="Arial" w:hAnsi="Arial" w:eastAsia="宋体"/>
                <w:b w:val="0"/>
                <w:i w:val="0"/>
                <w:sz w:val="19"/>
              </w:rPr>
              <w:t>决定操作范围和当前单元报表币种</w:t>
            </w:r>
          </w:p>
        </w:tc>
      </w:tr>
      <w:tr>
        <w:trPr>
          <w:cantSplit/>
        </w:trPr>
        <w:tc>
          <w:tcPr>
            <w:tcW w:type="dxa" w:w="16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财政期间</w:t>
            </w:r>
          </w:p>
        </w:tc>
        <w:tc>
          <w:tcPr>
            <w:tcW w:type="dxa" w:w="31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选择2026年01—12期累计口径</w:t>
            </w:r>
          </w:p>
        </w:tc>
        <w:tc>
          <w:tcPr>
            <w:tcW w:type="dxa" w:w="45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源、汇率、抵销和结果按期间读取；会计年度固定2026</w:t>
            </w:r>
          </w:p>
        </w:tc>
      </w:tr>
      <w:tr>
        <w:trPr>
          <w:cantSplit/>
        </w:trPr>
        <w:tc>
          <w:tcPr>
            <w:tcW w:type="dxa" w:w="1661"/>
            <w:vAlign w:val="top"/>
            <w:tcMar>
              <w:top w:w="65" w:type="dxa"/>
              <w:bottom w:w="65" w:type="dxa"/>
              <w:left w:w="65" w:type="dxa"/>
              <w:right w:w="65" w:type="dxa"/>
            </w:tcMar>
          </w:tcPr>
          <w:p>
            <w:pPr>
              <w:spacing w:before="30" w:after="30" w:line="252" w:lineRule="auto"/>
            </w:pPr>
            <w:r>
              <w:rPr>
                <w:rFonts w:ascii="Arial" w:hAnsi="Arial" w:eastAsia="宋体"/>
                <w:b w:val="0"/>
                <w:i w:val="0"/>
                <w:sz w:val="19"/>
              </w:rPr>
              <w:t>报表币种</w:t>
            </w:r>
          </w:p>
        </w:tc>
        <w:tc>
          <w:tcPr>
            <w:tcW w:type="dxa" w:w="3189"/>
            <w:vAlign w:val="top"/>
            <w:tcMar>
              <w:top w:w="65" w:type="dxa"/>
              <w:bottom w:w="65" w:type="dxa"/>
              <w:left w:w="65" w:type="dxa"/>
              <w:right w:w="65" w:type="dxa"/>
            </w:tcMar>
          </w:tcPr>
          <w:p>
            <w:pPr>
              <w:spacing w:before="30" w:after="30" w:line="252" w:lineRule="auto"/>
            </w:pPr>
            <w:r>
              <w:rPr>
                <w:rFonts w:ascii="Arial" w:hAnsi="Arial" w:eastAsia="宋体"/>
                <w:b w:val="0"/>
                <w:i w:val="0"/>
                <w:sz w:val="19"/>
              </w:rPr>
              <w:t>显示当前单元配置的币种</w:t>
            </w:r>
          </w:p>
        </w:tc>
        <w:tc>
          <w:tcPr>
            <w:tcW w:type="dxa" w:w="4556"/>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不能随意用单一汇率把整张表切换币种；应进入正确单元或维护单元配置</w:t>
            </w:r>
          </w:p>
        </w:tc>
      </w:tr>
      <w:tr>
        <w:trPr>
          <w:cantSplit/>
        </w:trPr>
        <w:tc>
          <w:tcPr>
            <w:tcW w:type="dxa" w:w="16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本机环境</w:t>
            </w:r>
          </w:p>
        </w:tc>
        <w:tc>
          <w:tcPr>
            <w:tcW w:type="dxa" w:w="31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查看实际数据路径、打开目录、安全退出</w:t>
            </w:r>
          </w:p>
        </w:tc>
        <w:tc>
          <w:tcPr>
            <w:tcW w:type="dxa" w:w="45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关闭浏览器标签页不会停止本机服务</w:t>
            </w:r>
          </w:p>
        </w:tc>
      </w:tr>
      <w:tr>
        <w:trPr>
          <w:cantSplit/>
        </w:trPr>
        <w:tc>
          <w:tcPr>
            <w:tcW w:type="dxa" w:w="1661"/>
            <w:vAlign w:val="top"/>
            <w:tcMar>
              <w:top w:w="65" w:type="dxa"/>
              <w:bottom w:w="65" w:type="dxa"/>
              <w:left w:w="65" w:type="dxa"/>
              <w:right w:w="65" w:type="dxa"/>
            </w:tcMar>
          </w:tcPr>
          <w:p>
            <w:pPr>
              <w:spacing w:before="30" w:after="30" w:line="252" w:lineRule="auto"/>
            </w:pPr>
            <w:r>
              <w:rPr>
                <w:rFonts w:ascii="Arial" w:hAnsi="Arial" w:eastAsia="宋体"/>
                <w:b w:val="0"/>
                <w:i w:val="0"/>
                <w:sz w:val="19"/>
              </w:rPr>
              <w:t>角色头像</w:t>
            </w:r>
          </w:p>
        </w:tc>
        <w:tc>
          <w:tcPr>
            <w:tcW w:type="dxa" w:w="3189"/>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切换演示角色</w:t>
            </w:r>
          </w:p>
        </w:tc>
        <w:tc>
          <w:tcPr>
            <w:tcW w:type="dxa" w:w="4556"/>
            <w:vAlign w:val="top"/>
            <w:tcMar>
              <w:top w:w="65" w:type="dxa"/>
              <w:bottom w:w="65" w:type="dxa"/>
              <w:left w:w="65" w:type="dxa"/>
              <w:right w:w="65" w:type="dxa"/>
            </w:tcMar>
          </w:tcPr>
          <w:p>
            <w:pPr>
              <w:spacing w:before="30" w:after="30" w:line="252" w:lineRule="auto"/>
            </w:pPr>
            <w:r>
              <w:rPr>
                <w:rFonts w:ascii="Arial" w:hAnsi="Arial" w:eastAsia="宋体"/>
                <w:b w:val="0"/>
                <w:i w:val="0"/>
                <w:sz w:val="19"/>
              </w:rPr>
              <w:t>角色控制由服务端执行，本机演示不等于生产账号体系</w:t>
            </w:r>
          </w:p>
        </w:tc>
      </w:tr>
    </w:tbl>
    <w:p>
      <w:pPr>
        <w:spacing w:after="40"/>
      </w:pPr>
    </w:p>
    <w:p>
      <w:r>
        <w:rPr>
          <w:rFonts w:ascii="Arial" w:hAnsi="Arial" w:eastAsia="宋体"/>
          <w:b w:val="0"/>
          <w:i w:val="0"/>
        </w:rPr>
        <w:t>全新目录的09期已有同一计算与签核流程生成的三层“系统初始化演示”三表例。它们帮助先看合并口径，不代表已经导入任何ERP凭证；ERP工作台初始为空，需要按文件流程生成自己的来源链。其他期间尚未计算时可显示预览；预览不具有签核效力。初始实际样例截至9期，10—12期没有另行报送时沿用9期累计，不能据此解释为新增业务已经发生。</w:t>
      </w:r>
    </w:p>
    <w:p>
      <w:r>
        <w:rPr>
          <w:rFonts w:ascii="Arial" w:hAnsi="Arial" w:eastAsia="宋体"/>
          <w:b w:val="0"/>
          <w:i w:val="0"/>
        </w:rPr>
        <w:t>历史失效结果保留原金额和原币种。若把海外管理单元从USD改为CNY，操作上下文会转为CNY；尚未重算时，历史快照仍以USD标注，不能将原有美元金额直接重标为人民币。新计算成功后才展示新币种结果。</w:t>
      </w:r>
    </w:p>
    <w:p>
      <w:pPr>
        <w:pStyle w:val="Heading1"/>
      </w:pPr>
      <w:bookmarkStart w:id="11" w:name="epm_11"/>
      <w:r>
        <w:rPr>
          <w:rFonts w:ascii="Arial" w:hAnsi="Arial" w:eastAsia="宋体"/>
          <w:b w:val="0"/>
          <w:i w:val="0"/>
        </w:rPr>
        <w:t>四、全模块产品导航</w:t>
      </w:r>
      <w:bookmarkEnd w:id="11"/>
    </w:p>
    <w:tbl>
      <w:tblPr>
        <w:tblStyle w:val="TableGrid"/>
        <w:tblW w:type="auto" w:w="0"/>
        <w:jc w:val="center"/>
        <w:tblLayout w:type="fixed"/>
        <w:tblLook w:firstColumn="1" w:firstRow="1" w:lastColumn="0" w:lastRow="0" w:noHBand="0" w:noVBand="1" w:val="04A0"/>
      </w:tblPr>
      <w:tblGrid>
        <w:gridCol w:w="1459"/>
        <w:gridCol w:w="1823"/>
        <w:gridCol w:w="2605"/>
        <w:gridCol w:w="3519"/>
      </w:tblGrid>
      <w:tr>
        <w:trPr>
          <w:cantSplit/>
          <w:tblHeader w:val="true"/>
        </w:trPr>
        <w:tc>
          <w:tcPr>
            <w:tcW w:type="dxa" w:w="14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序号</w:t>
            </w:r>
          </w:p>
        </w:tc>
        <w:tc>
          <w:tcPr>
            <w:tcW w:type="dxa" w:w="18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菜单</w:t>
            </w:r>
          </w:p>
        </w:tc>
        <w:tc>
          <w:tcPr>
            <w:tcW w:type="dxa" w:w="260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主要业务对象</w:t>
            </w:r>
          </w:p>
        </w:tc>
        <w:tc>
          <w:tcPr>
            <w:tcW w:type="dxa" w:w="35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核心输出</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01</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集团经营总览</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当前保存的合并结果</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收入、利润、经营现金、折算差额、月收入趋势和层级状态</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02</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集团组织与持股</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法人及管理合并树</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独立法人档案、直接成员和结果币种配置</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03</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科目与维度</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集团科目与报表字段</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科目编码、类型、借贷方向、字段映射</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04</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ERP凭证与期初</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ERP映射、期初、凭证与NC适配</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原始批次、账簿本位币/客商配置、凭证行与格式校验</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05</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法人凭证与三表</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凭证账与单体试算/三表</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从原凭证生成报表及字段级来源追溯</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06</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内部交易匹配与差异</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内部销售及往来匹配</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准确项、差异原凭证、自动草稿与经理批审</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07</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数据接入</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本位币完整财务源</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全量CSV样例下载、导入与源清单</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08</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财务三表报送</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法人期初/期末/累计/逐月源</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完整源版本、字段编辑、平衡变更助手</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09</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集团分类汇率</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当前期分类汇率版本</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期初/期末/历史/逐月损益和流量率及历史</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分级合并与结果</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合并单元结果版本</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前置检查、计算、签核、重开、结果历史与钻取</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11</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持股与企业合并</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真实法人持股</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全资母子关系及合并方法</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12</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内部往来核对</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分层内部交易</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唯一来源标识、最低共同层、审批状态</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13</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抵销与调整凭证</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内部销售/期初投资资本抵销</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真实保存的草稿、审批、逐月发生、停用记录</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14</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关账校验与签核</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当前结果及依赖</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三表校验和下级签核前置</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15</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集团三张报表</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利润/资产负债/现金流</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带币种、期间和版本的报表与导出</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16</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预算周期与审批</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年度完整预算版本</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编制、审核、已审批、已锁定流程</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17</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预算编制与分摊</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四层目标、量价、业务明细</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年度/逐月目标及数量×单价明细</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预算调整与滚动预测</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调整申请、预测副本</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源快照、独立批准新版本和情景草稿</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19</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版本与多情景</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完整预算快照</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版本切换、比较和复制</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经营差异与钻取</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当前合并结果与集团预算</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同范围币种的预实差异、结果追溯与经营说明</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21</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管理报表中心</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报表与证据导出入口</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三表、结果血缘、分析及财务源入口</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22</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组织权限</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演示角色与权限矩阵</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可读/可写/可审批范围；页面标题为“组织权限与角色”</w:t>
            </w:r>
          </w:p>
        </w:tc>
      </w:tr>
      <w:tr>
        <w:trPr>
          <w:cantSplit/>
        </w:trPr>
        <w:tc>
          <w:tcPr>
            <w:tcW w:type="dxa" w:w="1459"/>
            <w:vAlign w:val="top"/>
            <w:tcMar>
              <w:top w:w="65" w:type="dxa"/>
              <w:bottom w:w="65" w:type="dxa"/>
              <w:left w:w="65" w:type="dxa"/>
              <w:right w:w="65" w:type="dxa"/>
            </w:tcMar>
          </w:tcPr>
          <w:p>
            <w:pPr>
              <w:spacing w:before="30" w:after="30" w:line="252" w:lineRule="auto"/>
            </w:pPr>
            <w:r>
              <w:rPr>
                <w:rFonts w:ascii="Arial" w:hAnsi="Arial" w:eastAsia="宋体"/>
                <w:b w:val="0"/>
                <w:i w:val="0"/>
                <w:sz w:val="18"/>
              </w:rPr>
              <w:t>23</w:t>
            </w:r>
          </w:p>
        </w:tc>
        <w:tc>
          <w:tcPr>
            <w:tcW w:type="dxa" w:w="1823"/>
            <w:vAlign w:val="top"/>
            <w:tcMar>
              <w:top w:w="65" w:type="dxa"/>
              <w:bottom w:w="65" w:type="dxa"/>
              <w:left w:w="65" w:type="dxa"/>
              <w:right w:w="65" w:type="dxa"/>
            </w:tcMar>
          </w:tcPr>
          <w:p>
            <w:pPr>
              <w:spacing w:before="30" w:after="30" w:line="252" w:lineRule="auto"/>
            </w:pPr>
            <w:r>
              <w:rPr>
                <w:rFonts w:ascii="Arial" w:hAnsi="Arial" w:eastAsia="宋体"/>
                <w:b w:val="0"/>
                <w:i w:val="0"/>
                <w:sz w:val="18"/>
              </w:rPr>
              <w:t>审计轨迹</w:t>
            </w:r>
          </w:p>
        </w:tc>
        <w:tc>
          <w:tcPr>
            <w:tcW w:type="dxa" w:w="2605"/>
            <w:vAlign w:val="top"/>
            <w:tcMar>
              <w:top w:w="65" w:type="dxa"/>
              <w:bottom w:w="65" w:type="dxa"/>
              <w:left w:w="65" w:type="dxa"/>
              <w:right w:w="65" w:type="dxa"/>
            </w:tcMar>
          </w:tcPr>
          <w:p>
            <w:pPr>
              <w:spacing w:before="30" w:after="30" w:line="252" w:lineRule="auto"/>
            </w:pPr>
            <w:r>
              <w:rPr>
                <w:rFonts w:ascii="Arial" w:hAnsi="Arial" w:eastAsia="宋体"/>
                <w:b w:val="0"/>
                <w:i w:val="0"/>
                <w:sz w:val="18"/>
              </w:rPr>
              <w:t>真实保存及审批操作</w:t>
            </w:r>
          </w:p>
        </w:tc>
        <w:tc>
          <w:tcPr>
            <w:tcW w:type="dxa" w:w="3519"/>
            <w:vAlign w:val="top"/>
            <w:tcMar>
              <w:top w:w="65" w:type="dxa"/>
              <w:bottom w:w="65" w:type="dxa"/>
              <w:left w:w="65" w:type="dxa"/>
              <w:right w:w="65" w:type="dxa"/>
            </w:tcMar>
          </w:tcPr>
          <w:p>
            <w:pPr>
              <w:spacing w:before="30" w:after="30" w:line="252" w:lineRule="auto"/>
            </w:pPr>
            <w:r>
              <w:rPr>
                <w:rFonts w:ascii="Arial" w:hAnsi="Arial" w:eastAsia="宋体"/>
                <w:b w:val="0"/>
                <w:i w:val="0"/>
                <w:sz w:val="18"/>
              </w:rPr>
              <w:t>时间、角色、动作、业务对象与导出</w:t>
            </w:r>
          </w:p>
        </w:tc>
      </w:tr>
      <w:tr>
        <w:trPr>
          <w:cantSplit/>
        </w:trPr>
        <w:tc>
          <w:tcPr>
            <w:tcW w:type="dxa" w:w="1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24</w:t>
            </w:r>
          </w:p>
        </w:tc>
        <w:tc>
          <w:tcPr>
            <w:tcW w:type="dxa" w:w="18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系统配置</w:t>
            </w:r>
          </w:p>
        </w:tc>
        <w:tc>
          <w:tcPr>
            <w:tcW w:type="dxa" w:w="26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集团基础信息与运行工具</w:t>
            </w:r>
          </w:p>
        </w:tc>
        <w:tc>
          <w:tcPr>
            <w:tcW w:type="dxa" w:w="35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公司名称、固定年度/语言、实际本机目录</w:t>
            </w:r>
          </w:p>
        </w:tc>
      </w:tr>
    </w:tbl>
    <w:p>
      <w:pPr>
        <w:spacing w:after="40"/>
      </w:pPr>
    </w:p>
    <w:p>
      <w:pPr>
        <w:pStyle w:val="Heading2"/>
      </w:pPr>
      <w:bookmarkStart w:id="12" w:name="epm_12"/>
      <w:r>
        <w:rPr>
          <w:rFonts w:ascii="Arial" w:hAnsi="Arial" w:eastAsia="宋体"/>
          <w:b w:val="0"/>
          <w:i w:val="0"/>
        </w:rPr>
        <w:t>4.1 工作空间：集团经营总览</w:t>
      </w:r>
      <w:bookmarkEnd w:id="12"/>
    </w:p>
    <w:p>
      <w:r>
        <w:rPr>
          <w:rFonts w:ascii="Arial" w:hAnsi="Arial" w:eastAsia="宋体"/>
          <w:b w:val="0"/>
          <w:i w:val="0"/>
        </w:rPr>
        <w:t>首页读取所选单元的当前保存结果，不将不同币种法人原币直接相加。四项指标为累计营业收入、累计净利润、经营现金净额和外币报表折算差额。趋势图使用该结果的逐月营业收入发生额。右侧列出全部管理合并单元及有效状态；可以直接进入下层。</w:t>
      </w:r>
    </w:p>
    <w:p>
      <w:r>
        <w:rPr>
          <w:rFonts w:ascii="Arial" w:hAnsi="Arial" w:eastAsia="宋体"/>
          <w:b w:val="0"/>
          <w:i w:val="0"/>
        </w:rPr>
        <w:t>结果横幅明确显示已签核、已计算或失效状态，以及结果版本和生成来源。当前有效性与历史签核状态应同时阅读：历史曾经签核的版本，一旦依赖改变，也不能再用于当前上卷。输入清单可钻取下级结果或法人源，核对来源类型、币种与版本。</w:t>
      </w:r>
    </w:p>
    <w:p>
      <w:pPr>
        <w:keepNext/>
        <w:jc w:val="center"/>
      </w:pPr>
      <w:r>
        <w:drawing>
          <wp:inline xmlns:a="http://schemas.openxmlformats.org/drawingml/2006/main" xmlns:pic="http://schemas.openxmlformats.org/drawingml/2006/picture">
            <wp:extent cx="5868000" cy="3850875"/>
            <wp:docPr id="1" name="Picture 1"/>
            <wp:cNvGraphicFramePr>
              <a:graphicFrameLocks noChangeAspect="1"/>
            </wp:cNvGraphicFramePr>
            <a:graphic>
              <a:graphicData uri="http://schemas.openxmlformats.org/drawingml/2006/picture">
                <pic:pic>
                  <pic:nvPicPr>
                    <pic:cNvPr id="0" name="产品ERP-01集团经营总览.png"/>
                    <pic:cNvPicPr/>
                  </pic:nvPicPr>
                  <pic:blipFill>
                    <a:blip r:embed="rId11"/>
                    <a:stretch>
                      <a:fillRect/>
                    </a:stretch>
                  </pic:blipFill>
                  <pic:spPr>
                    <a:xfrm>
                      <a:off x="0" y="0"/>
                      <a:ext cx="5868000" cy="3850875"/>
                    </a:xfrm>
                    <a:prstGeom prst="rect"/>
                  </pic:spPr>
                </pic:pic>
              </a:graphicData>
            </a:graphic>
          </wp:inline>
        </w:drawing>
      </w:r>
    </w:p>
    <w:p>
      <w:pPr>
        <w:jc w:val="center"/>
      </w:pPr>
      <w:r>
        <w:rPr>
          <w:rFonts w:ascii="Arial" w:hAnsi="Arial" w:eastAsia="宋体"/>
          <w:color w:val="66758D"/>
          <w:sz w:val="18"/>
        </w:rPr>
        <w:t>图 1  ERP版集团经营总览：初始化三表例及新凭证工作台导航</w:t>
      </w:r>
    </w:p>
    <w:p>
      <w:pPr>
        <w:pStyle w:val="Heading2"/>
      </w:pPr>
      <w:bookmarkStart w:id="13" w:name="epm_13"/>
      <w:r>
        <w:rPr>
          <w:rFonts w:ascii="Arial" w:hAnsi="Arial" w:eastAsia="宋体"/>
          <w:b w:val="0"/>
          <w:i w:val="0"/>
        </w:rPr>
        <w:t>4.2 主数据：集团组织与持股</w:t>
      </w:r>
      <w:bookmarkEnd w:id="13"/>
    </w:p>
    <w:p>
      <w:r>
        <w:rPr>
          <w:rFonts w:ascii="Arial" w:hAnsi="Arial" w:eastAsia="宋体"/>
          <w:b w:val="0"/>
          <w:i w:val="0"/>
        </w:rPr>
        <w:t>“集团组织与持股”展示管理树，并提供新增/编辑法人、增加管理单元和维护成员。法人字段包括编码、名称、简称、本位币、报送负责人等；已有财务报送的法人不能直接改变本位币，以免历史金额被重新贴标签。管理单元指定人民币或美元和直接成员列表，成员可以是法人，也可以是其他合并单元。</w:t>
      </w:r>
    </w:p>
    <w:p>
      <w:r>
        <w:rPr>
          <w:rFonts w:ascii="Arial" w:hAnsi="Arial" w:eastAsia="宋体"/>
          <w:b w:val="0"/>
          <w:i w:val="0"/>
        </w:rPr>
        <w:t>全局配置改动可能影响多个期间或祖先。若有关联已签核结果，应先按提示重开对应单元链，再维护；不能仅因为当前页面在另一期间就绕过保护。保存错误配置会给出中文原因，并保持原配置与业务版本。</w:t>
      </w:r>
    </w:p>
    <w:p>
      <w:r>
        <w:rPr>
          <w:rFonts w:ascii="Arial" w:hAnsi="Arial" w:eastAsia="宋体"/>
          <w:b w:val="0"/>
          <w:i w:val="0"/>
        </w:rPr>
        <w:t>“持股与企业合并”单独展示真实母公司、比例和方法。本版只支持100%全额合并。用户确认的三家鸿旺相关法人均按天元持股示例维护，不把管理合并树替代工商股权树。</w:t>
      </w:r>
    </w:p>
    <w:p>
      <w:pPr>
        <w:pStyle w:val="Heading2"/>
      </w:pPr>
      <w:bookmarkStart w:id="14" w:name="epm_14"/>
      <w:r>
        <w:rPr>
          <w:rFonts w:ascii="Arial" w:hAnsi="Arial" w:eastAsia="宋体"/>
          <w:b w:val="0"/>
          <w:i w:val="0"/>
        </w:rPr>
        <w:t>4.3 主数据：科目与维度</w:t>
      </w:r>
      <w:bookmarkEnd w:id="14"/>
    </w:p>
    <w:p>
      <w:r>
        <w:rPr>
          <w:rFonts w:ascii="Arial" w:hAnsi="Arial" w:eastAsia="宋体"/>
          <w:b w:val="0"/>
          <w:i w:val="0"/>
        </w:rPr>
        <w:t>科目清单提供编码、名称、类别、余额方向和目标报表字段。新增或编辑时，所选报表字段须在内置字段集合中；不能通过随意创建字段绕过三表校验。映射影响财务解释，关联结果锁定时需先重开。</w:t>
      </w:r>
    </w:p>
    <w:p>
      <w:r>
        <w:rPr>
          <w:rFonts w:ascii="Arial" w:hAnsi="Arial" w:eastAsia="宋体"/>
          <w:b w:val="0"/>
          <w:i w:val="0"/>
        </w:rPr>
        <w:t>本版可演示法人、管理单元、期间、币种和实际持股维度。内部客商映射用于ERP匹配与来源解释；产品、渠道、业务部门、地区等完整经营维度模型及NC在线连接仍需后续设计，不能将当前文件适配描述为全ERP实时集成。</w:t>
      </w:r>
    </w:p>
    <w:p>
      <w:pPr>
        <w:pStyle w:val="Heading2"/>
      </w:pPr>
      <w:bookmarkStart w:id="15" w:name="epm_15"/>
      <w:r>
        <w:rPr>
          <w:rFonts w:ascii="Arial" w:hAnsi="Arial" w:eastAsia="宋体"/>
          <w:b w:val="0"/>
          <w:i w:val="0"/>
        </w:rPr>
        <w:t>4.4 ERP凭证与期初：从文件建立可追溯账务</w:t>
      </w:r>
      <w:bookmarkEnd w:id="15"/>
    </w:p>
    <w:p>
      <w:r>
        <w:rPr>
          <w:rFonts w:ascii="Arial" w:hAnsi="Arial" w:eastAsia="宋体"/>
          <w:b w:val="0"/>
          <w:i w:val="0"/>
        </w:rPr>
        <w:t>本页新增科目映射、年初余额、完整业务凭证的文件入口和NC6.5专用适配。NC6.5由48列真实导出表头适配；支持CSV和XLSX读取，旧</w:t>
      </w:r>
      <w:r>
        <w:rPr>
          <w:rFonts w:ascii="Consolas" w:hAnsi="Consolas" w:eastAsia="宋体"/>
          <w:b w:val="0"/>
          <w:i w:val="0"/>
          <w:sz w:val="18"/>
        </w:rPr>
        <w:t>.xls</w:t>
      </w:r>
      <w:r>
        <w:rPr>
          <w:rFonts w:ascii="Arial" w:hAnsi="Arial" w:eastAsia="宋体"/>
          <w:b w:val="0"/>
          <w:i w:val="0"/>
        </w:rPr>
        <w:t>需要先在Excel/WPS另存为</w:t>
      </w:r>
      <w:r>
        <w:rPr>
          <w:rFonts w:ascii="Consolas" w:hAnsi="Consolas" w:eastAsia="宋体"/>
          <w:b w:val="0"/>
          <w:i w:val="0"/>
          <w:sz w:val="18"/>
        </w:rPr>
        <w:t>.xlsx</w:t>
      </w:r>
      <w:r>
        <w:rPr>
          <w:rFonts w:ascii="Arial" w:hAnsi="Arial" w:eastAsia="宋体"/>
          <w:b w:val="0"/>
          <w:i w:val="0"/>
        </w:rPr>
        <w:t>或UTF-8 CSV。本版只进行文件导入，不连接NC在线API，不读取企业ERP数据库，也不向NC回写抵销凭证。</w:t>
      </w:r>
    </w:p>
    <w:p>
      <w:r>
        <w:rPr>
          <w:rFonts w:ascii="Arial" w:hAnsi="Arial" w:eastAsia="宋体"/>
          <w:b w:val="0"/>
          <w:i w:val="0"/>
        </w:rPr>
        <w:t>实施顺序是先确定账簿对应法人和本位币，再配置科目映射及内部客商，导入2026年年初平衡余额，最后导入年初至测试月的完整已记账业务凭证。不能只导入内部交易或单月片段后就声称生成全年累计。NC文件缺少记账状态字段，用户需要勾选“仅已记账业务凭证”的确认；这记录操作者确认，不表示系统已经向ERP验证记账状态。</w:t>
      </w:r>
    </w:p>
    <w:tbl>
      <w:tblPr>
        <w:tblStyle w:val="TableGrid"/>
        <w:tblW w:type="auto" w:w="0"/>
        <w:jc w:val="center"/>
        <w:tblLayout w:type="fixed"/>
        <w:tblLook w:firstColumn="1" w:firstRow="1" w:lastColumn="0" w:lastRow="0" w:noHBand="0" w:noVBand="1" w:val="04A0"/>
      </w:tblPr>
      <w:tblGrid>
        <w:gridCol w:w="1546"/>
        <w:gridCol w:w="4404"/>
        <w:gridCol w:w="3456"/>
      </w:tblGrid>
      <w:tr>
        <w:trPr>
          <w:cantSplit/>
          <w:tblHeader w:val="true"/>
        </w:trPr>
        <w:tc>
          <w:tcPr>
            <w:tcW w:type="dxa" w:w="15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准备项</w:t>
            </w:r>
          </w:p>
        </w:tc>
        <w:tc>
          <w:tcPr>
            <w:tcW w:type="dxa" w:w="44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用户必须明确的内容</w:t>
            </w:r>
          </w:p>
        </w:tc>
        <w:tc>
          <w:tcPr>
            <w:tcW w:type="dxa" w:w="34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产品用途</w:t>
            </w:r>
          </w:p>
        </w:tc>
      </w:tr>
      <w:tr>
        <w:trPr>
          <w:cantSplit/>
        </w:trPr>
        <w:tc>
          <w:tcPr>
            <w:tcW w:type="dxa" w:w="1546"/>
            <w:vAlign w:val="top"/>
            <w:tcMar>
              <w:top w:w="65" w:type="dxa"/>
              <w:bottom w:w="65" w:type="dxa"/>
              <w:left w:w="65" w:type="dxa"/>
              <w:right w:w="65" w:type="dxa"/>
            </w:tcMar>
          </w:tcPr>
          <w:p>
            <w:pPr>
              <w:spacing w:before="30" w:after="30" w:line="252" w:lineRule="auto"/>
            </w:pPr>
            <w:r>
              <w:rPr>
                <w:rFonts w:ascii="Arial" w:hAnsi="Arial" w:eastAsia="宋体"/>
                <w:b w:val="0"/>
                <w:i w:val="0"/>
                <w:sz w:val="19"/>
              </w:rPr>
              <w:t>核算账簿</w:t>
            </w:r>
          </w:p>
        </w:tc>
        <w:tc>
          <w:tcPr>
            <w:tcW w:type="dxa" w:w="4404"/>
            <w:vAlign w:val="top"/>
            <w:tcMar>
              <w:top w:w="65" w:type="dxa"/>
              <w:bottom w:w="65" w:type="dxa"/>
              <w:left w:w="65" w:type="dxa"/>
              <w:right w:w="65" w:type="dxa"/>
            </w:tcMar>
          </w:tcPr>
          <w:p>
            <w:pPr>
              <w:spacing w:before="30" w:after="30" w:line="252" w:lineRule="auto"/>
            </w:pPr>
            <w:r>
              <w:rPr>
                <w:rFonts w:ascii="Arial" w:hAnsi="Arial" w:eastAsia="宋体"/>
                <w:b w:val="0"/>
                <w:i w:val="0"/>
                <w:sz w:val="19"/>
              </w:rPr>
              <w:t>每个NC核算账簿对应哪个独立法人、本位币CNY或USD</w:t>
            </w:r>
          </w:p>
        </w:tc>
        <w:tc>
          <w:tcPr>
            <w:tcW w:type="dxa" w:w="3456"/>
            <w:vAlign w:val="top"/>
            <w:tcMar>
              <w:top w:w="65" w:type="dxa"/>
              <w:bottom w:w="65" w:type="dxa"/>
              <w:left w:w="65" w:type="dxa"/>
              <w:right w:w="65" w:type="dxa"/>
            </w:tcMar>
          </w:tcPr>
          <w:p>
            <w:pPr>
              <w:spacing w:before="30" w:after="30" w:line="252" w:lineRule="auto"/>
            </w:pPr>
            <w:r>
              <w:rPr>
                <w:rFonts w:ascii="Arial" w:hAnsi="Arial" w:eastAsia="宋体"/>
                <w:b w:val="0"/>
                <w:i w:val="0"/>
                <w:sz w:val="19"/>
              </w:rPr>
              <w:t>决定记账主体和本位币，不能用文件“币种”列替代</w:t>
            </w:r>
          </w:p>
        </w:tc>
      </w:tr>
      <w:tr>
        <w:trPr>
          <w:cantSplit/>
        </w:trPr>
        <w:tc>
          <w:tcPr>
            <w:tcW w:type="dxa" w:w="15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科目映射</w:t>
            </w:r>
          </w:p>
        </w:tc>
        <w:tc>
          <w:tcPr>
            <w:tcW w:type="dxa" w:w="4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每个法人科目编码、名称、报表字段、余额方向</w:t>
            </w:r>
          </w:p>
        </w:tc>
        <w:tc>
          <w:tcPr>
            <w:tcW w:type="dxa" w:w="34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按明确映射形成试算与三表；未映射不能自动猜</w:t>
            </w:r>
          </w:p>
        </w:tc>
      </w:tr>
      <w:tr>
        <w:trPr>
          <w:cantSplit/>
        </w:trPr>
        <w:tc>
          <w:tcPr>
            <w:tcW w:type="dxa" w:w="1546"/>
            <w:vAlign w:val="top"/>
            <w:tcMar>
              <w:top w:w="65" w:type="dxa"/>
              <w:bottom w:w="65" w:type="dxa"/>
              <w:left w:w="65" w:type="dxa"/>
              <w:right w:w="65" w:type="dxa"/>
            </w:tcMar>
          </w:tcPr>
          <w:p>
            <w:pPr>
              <w:spacing w:before="30" w:after="30" w:line="252" w:lineRule="auto"/>
            </w:pPr>
            <w:r>
              <w:rPr>
                <w:rFonts w:ascii="Arial" w:hAnsi="Arial" w:eastAsia="宋体"/>
                <w:b w:val="0"/>
                <w:i w:val="0"/>
                <w:sz w:val="19"/>
              </w:rPr>
              <w:t>年初余额</w:t>
            </w:r>
          </w:p>
        </w:tc>
        <w:tc>
          <w:tcPr>
            <w:tcW w:type="dxa" w:w="4404"/>
            <w:vAlign w:val="top"/>
            <w:tcMar>
              <w:top w:w="65" w:type="dxa"/>
              <w:bottom w:w="65" w:type="dxa"/>
              <w:left w:w="65" w:type="dxa"/>
              <w:right w:w="65" w:type="dxa"/>
            </w:tcMar>
          </w:tcPr>
          <w:p>
            <w:pPr>
              <w:spacing w:before="30" w:after="30" w:line="252" w:lineRule="auto"/>
            </w:pPr>
            <w:r>
              <w:rPr>
                <w:rFonts w:ascii="Arial" w:hAnsi="Arial" w:eastAsia="宋体"/>
                <w:b w:val="0"/>
                <w:i w:val="0"/>
                <w:sz w:val="19"/>
              </w:rPr>
              <w:t>2026年各科目期初借/贷余额，逐法人平衡</w:t>
            </w:r>
          </w:p>
        </w:tc>
        <w:tc>
          <w:tcPr>
            <w:tcW w:type="dxa" w:w="3456"/>
            <w:vAlign w:val="top"/>
            <w:tcMar>
              <w:top w:w="65" w:type="dxa"/>
              <w:bottom w:w="65" w:type="dxa"/>
              <w:left w:w="65" w:type="dxa"/>
              <w:right w:w="65" w:type="dxa"/>
            </w:tcMar>
          </w:tcPr>
          <w:p>
            <w:pPr>
              <w:spacing w:before="30" w:after="30" w:line="252" w:lineRule="auto"/>
            </w:pPr>
            <w:r>
              <w:rPr>
                <w:rFonts w:ascii="Arial" w:hAnsi="Arial" w:eastAsia="宋体"/>
                <w:b w:val="0"/>
                <w:i w:val="0"/>
                <w:sz w:val="19"/>
              </w:rPr>
              <w:t>形成期初资产负债；损益期初应为零</w:t>
            </w:r>
          </w:p>
        </w:tc>
      </w:tr>
      <w:tr>
        <w:trPr>
          <w:cantSplit/>
        </w:trPr>
        <w:tc>
          <w:tcPr>
            <w:tcW w:type="dxa" w:w="15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期初内部往来</w:t>
            </w:r>
          </w:p>
        </w:tc>
        <w:tc>
          <w:tcPr>
            <w:tcW w:type="dxa" w:w="4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内部对方和共同交易关联号拆分的应收/应付余额</w:t>
            </w:r>
          </w:p>
        </w:tc>
        <w:tc>
          <w:tcPr>
            <w:tcW w:type="dxa" w:w="34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期初与期末分别核对抵销，不能拿总余额强配</w:t>
            </w:r>
          </w:p>
        </w:tc>
      </w:tr>
      <w:tr>
        <w:trPr>
          <w:cantSplit/>
        </w:trPr>
        <w:tc>
          <w:tcPr>
            <w:tcW w:type="dxa" w:w="1546"/>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完整业务凭证</w:t>
            </w:r>
          </w:p>
        </w:tc>
        <w:tc>
          <w:tcPr>
            <w:tcW w:type="dxa" w:w="4404"/>
            <w:vAlign w:val="top"/>
            <w:tcMar>
              <w:top w:w="65" w:type="dxa"/>
              <w:bottom w:w="65" w:type="dxa"/>
              <w:left w:w="65" w:type="dxa"/>
              <w:right w:w="65" w:type="dxa"/>
            </w:tcMar>
          </w:tcPr>
          <w:p>
            <w:pPr>
              <w:spacing w:before="30" w:after="30" w:line="252" w:lineRule="auto"/>
            </w:pPr>
            <w:r>
              <w:rPr>
                <w:rFonts w:ascii="Arial" w:hAnsi="Arial" w:eastAsia="宋体"/>
                <w:b w:val="0"/>
                <w:i w:val="0"/>
                <w:sz w:val="19"/>
              </w:rPr>
              <w:t>年初至测试月的账簿、日期、类别、号、分录、科目、本币借贷</w:t>
            </w:r>
          </w:p>
        </w:tc>
        <w:tc>
          <w:tcPr>
            <w:tcW w:type="dxa" w:w="3456"/>
            <w:vAlign w:val="top"/>
            <w:tcMar>
              <w:top w:w="65" w:type="dxa"/>
              <w:bottom w:w="65" w:type="dxa"/>
              <w:left w:w="65" w:type="dxa"/>
              <w:right w:w="65" w:type="dxa"/>
            </w:tcMar>
          </w:tcPr>
          <w:p>
            <w:pPr>
              <w:spacing w:before="30" w:after="30" w:line="252" w:lineRule="auto"/>
            </w:pPr>
            <w:r>
              <w:rPr>
                <w:rFonts w:ascii="Arial" w:hAnsi="Arial" w:eastAsia="宋体"/>
                <w:b w:val="0"/>
                <w:i w:val="0"/>
                <w:sz w:val="19"/>
              </w:rPr>
              <w:t>生成本期科目发生额、累计与逐月损益及期末余额</w:t>
            </w:r>
          </w:p>
        </w:tc>
      </w:tr>
      <w:tr>
        <w:trPr>
          <w:cantSplit/>
        </w:trPr>
        <w:tc>
          <w:tcPr>
            <w:tcW w:type="dxa" w:w="15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内部客商</w:t>
            </w:r>
          </w:p>
        </w:tc>
        <w:tc>
          <w:tcPr>
            <w:tcW w:type="dxa" w:w="4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辅助核算1—9中的适用列可多选，编码映射到内部法人或EXTERNAL</w:t>
            </w:r>
          </w:p>
        </w:tc>
        <w:tc>
          <w:tcPr>
            <w:tcW w:type="dxa" w:w="34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区分内部、外部、未知及冲突，不靠摘要判断</w:t>
            </w:r>
          </w:p>
        </w:tc>
      </w:tr>
      <w:tr>
        <w:trPr>
          <w:cantSplit/>
        </w:trPr>
        <w:tc>
          <w:tcPr>
            <w:tcW w:type="dxa" w:w="1546"/>
            <w:vAlign w:val="top"/>
            <w:tcMar>
              <w:top w:w="65" w:type="dxa"/>
              <w:bottom w:w="65" w:type="dxa"/>
              <w:left w:w="65" w:type="dxa"/>
              <w:right w:w="65" w:type="dxa"/>
            </w:tcMar>
          </w:tcPr>
          <w:p>
            <w:pPr>
              <w:spacing w:before="30" w:after="30" w:line="252" w:lineRule="auto"/>
            </w:pPr>
            <w:r>
              <w:rPr>
                <w:rFonts w:ascii="Arial" w:hAnsi="Arial" w:eastAsia="宋体"/>
                <w:b w:val="0"/>
                <w:i w:val="0"/>
                <w:sz w:val="19"/>
              </w:rPr>
              <w:t>交易关联号</w:t>
            </w:r>
          </w:p>
        </w:tc>
        <w:tc>
          <w:tcPr>
            <w:tcW w:type="dxa" w:w="4404"/>
            <w:vAlign w:val="top"/>
            <w:tcMar>
              <w:top w:w="65" w:type="dxa"/>
              <w:bottom w:w="65" w:type="dxa"/>
              <w:left w:w="65" w:type="dxa"/>
              <w:right w:w="65" w:type="dxa"/>
            </w:tcMar>
          </w:tcPr>
          <w:p>
            <w:pPr>
              <w:spacing w:before="30" w:after="30" w:line="252" w:lineRule="auto"/>
            </w:pPr>
            <w:r>
              <w:rPr>
                <w:rFonts w:ascii="Arial" w:hAnsi="Arial" w:eastAsia="宋体"/>
                <w:b w:val="0"/>
                <w:i w:val="0"/>
                <w:sz w:val="19"/>
              </w:rPr>
              <w:t>双方共同的结算号或核销号，选择其中一个规则</w:t>
            </w:r>
          </w:p>
        </w:tc>
        <w:tc>
          <w:tcPr>
            <w:tcW w:type="dxa" w:w="3456"/>
            <w:vAlign w:val="top"/>
            <w:tcMar>
              <w:top w:w="65" w:type="dxa"/>
              <w:bottom w:w="65" w:type="dxa"/>
              <w:left w:w="65" w:type="dxa"/>
              <w:right w:w="65" w:type="dxa"/>
            </w:tcMar>
          </w:tcPr>
          <w:p>
            <w:pPr>
              <w:spacing w:before="30" w:after="30" w:line="252" w:lineRule="auto"/>
            </w:pPr>
            <w:r>
              <w:rPr>
                <w:rFonts w:ascii="Arial" w:hAnsi="Arial" w:eastAsia="宋体"/>
                <w:b w:val="0"/>
                <w:i w:val="0"/>
                <w:sz w:val="19"/>
              </w:rPr>
              <w:t>按双方、关联号、类别和币种准确匹配</w:t>
            </w:r>
          </w:p>
        </w:tc>
      </w:tr>
      <w:tr>
        <w:trPr>
          <w:cantSplit/>
        </w:trPr>
        <w:tc>
          <w:tcPr>
            <w:tcW w:type="dxa" w:w="15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现金流依据</w:t>
            </w:r>
          </w:p>
        </w:tc>
        <w:tc>
          <w:tcPr>
            <w:tcW w:type="dxa" w:w="4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现金行明确经营、投资或筹资；或可无歧义识别对方科目</w:t>
            </w:r>
          </w:p>
        </w:tc>
        <w:tc>
          <w:tcPr>
            <w:tcW w:type="dxa" w:w="34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生成现金流，存在歧义时拒绝，不用现金差倒挤</w:t>
            </w:r>
          </w:p>
        </w:tc>
      </w:tr>
    </w:tbl>
    <w:p>
      <w:pPr>
        <w:spacing w:after="40"/>
      </w:pPr>
    </w:p>
    <w:p>
      <w:r>
        <w:rPr>
          <w:rFonts w:ascii="Arial" w:hAnsi="Arial" w:eastAsia="宋体"/>
          <w:b w:val="0"/>
          <w:i w:val="0"/>
        </w:rPr>
      </w:r>
      <w:r>
        <w:rPr>
          <w:rFonts w:ascii="Arial" w:hAnsi="Arial" w:eastAsia="宋体"/>
          <w:b/>
          <w:i w:val="0"/>
        </w:rPr>
        <w:t>本币入账：</w:t>
      </w:r>
      <w:r>
        <w:rPr>
          <w:rFonts w:ascii="Arial" w:hAnsi="Arial" w:eastAsia="宋体"/>
          <w:b w:val="0"/>
          <w:i w:val="0"/>
        </w:rPr>
        <w:t xml:space="preserve"> 只使用“本币借方金额/本币贷方金额”形成法人账；NC“币种”指交易币，原币和集团/全局本币金额及汇率保留核对，不重复入账。例如法人CNY凭证原币1美元、本币7元、集团金额123元时，记账金额是7元。原金额到分保留两位十进制，转换三表、内部抵销和折算金额为万元最多六位，一分为0.000001万元。年度预算目标、业务预算明细和分摊仍保留两位万元；这两种精度口径分开，不能把预算精度套到ERP三表而截断一分。</w:t>
      </w:r>
    </w:p>
    <w:p>
      <w:r>
        <w:rPr>
          <w:rFonts w:ascii="Arial" w:hAnsi="Arial" w:eastAsia="宋体"/>
          <w:b w:val="0"/>
          <w:i w:val="0"/>
        </w:rPr>
        <w:t>辅助核算多选并不表示系统可以任意选一个内部对方。多个选列解析到相互冲突的内部法人时应列差异；未识别客商不能默认为外部。明确的外部代码可映射到EXTERNAL。适配配置影响后续导入，已经入账的规范化行不会因为后来改配置自动重解释。个别行的规范化客商、共同号或现金分类，可通过有原因的“补充核对信息”更正；原始NC金额和字段不改。需要按新适配规则重新解释整批时，取消相关旧批次、重新导入并重新生成。</w:t>
      </w:r>
    </w:p>
    <w:p>
      <w:r>
        <w:rPr>
          <w:rFonts w:ascii="Arial" w:hAnsi="Arial" w:eastAsia="宋体"/>
          <w:b w:val="0"/>
          <w:i w:val="0"/>
        </w:rPr>
        <w:t>每次成功文件导入保留批次、文件来源名、原文件行号、凭证键及48列原值。凭证键区分账簿、年月、类别、凭证号和凭证内源行序；不能把不同月份或类别同号误判为同凭证。重复分录、凭证借贷不平、未知科目或格式错误整批拒绝。负责人取消批次须填写原因，原行和历史快照保留，但当前生成源、匹配及自动抵销需要重新核算。</w:t>
      </w:r>
    </w:p>
    <w:p>
      <w:pPr>
        <w:keepNext/>
        <w:jc w:val="center"/>
      </w:pPr>
      <w:r>
        <w:drawing>
          <wp:inline xmlns:a="http://schemas.openxmlformats.org/drawingml/2006/main" xmlns:pic="http://schemas.openxmlformats.org/drawingml/2006/picture">
            <wp:extent cx="5868000" cy="3850875"/>
            <wp:docPr id="2" name="Picture 2"/>
            <wp:cNvGraphicFramePr>
              <a:graphicFrameLocks noChangeAspect="1"/>
            </wp:cNvGraphicFramePr>
            <a:graphic>
              <a:graphicData uri="http://schemas.openxmlformats.org/drawingml/2006/picture">
                <pic:pic>
                  <pic:nvPicPr>
                    <pic:cNvPr id="0" name="产品ERP-02凭证期初工作台.png"/>
                    <pic:cNvPicPr/>
                  </pic:nvPicPr>
                  <pic:blipFill>
                    <a:blip r:embed="rId12"/>
                    <a:stretch>
                      <a:fillRect/>
                    </a:stretch>
                  </pic:blipFill>
                  <pic:spPr>
                    <a:xfrm>
                      <a:off x="0" y="0"/>
                      <a:ext cx="5868000" cy="3850875"/>
                    </a:xfrm>
                    <a:prstGeom prst="rect"/>
                  </pic:spPr>
                </pic:pic>
              </a:graphicData>
            </a:graphic>
          </wp:inline>
        </w:drawing>
      </w:r>
    </w:p>
    <w:p>
      <w:pPr>
        <w:jc w:val="center"/>
      </w:pPr>
      <w:r>
        <w:rPr>
          <w:rFonts w:ascii="Arial" w:hAnsi="Arial" w:eastAsia="宋体"/>
          <w:color w:val="66758D"/>
          <w:sz w:val="18"/>
        </w:rPr>
        <w:t>图 2  当前ERP版凭证与期初工作台：NC6.5适配、文件导入及批次入口</w:t>
      </w:r>
    </w:p>
    <w:p>
      <w:pPr>
        <w:pStyle w:val="Heading2"/>
      </w:pPr>
      <w:bookmarkStart w:id="16" w:name="epm_16"/>
      <w:r>
        <w:rPr>
          <w:rFonts w:ascii="Arial" w:hAnsi="Arial" w:eastAsia="宋体"/>
          <w:b w:val="0"/>
          <w:i w:val="0"/>
        </w:rPr>
        <w:t>4.5 法人凭证与三表：从账到表再到原始分录</w:t>
      </w:r>
      <w:bookmarkEnd w:id="16"/>
    </w:p>
    <w:p>
      <w:r>
        <w:rPr>
          <w:rFonts w:ascii="Arial" w:hAnsi="Arial" w:eastAsia="宋体"/>
          <w:b w:val="0"/>
          <w:i w:val="0"/>
        </w:rPr>
        <w:t>本页按独立法人查看当前导入账务，提供“生成当前法人三表源”和“生成全部已导入法人”。生成全部以有效期初/凭证涉及法人为准，不只生成当前合并单元的三个成员。系统根据期初、映射和截至当前月有效凭证生成科目试算余额、利润表、资产负债表与现金流量表，再保存ERP来源版本。</w:t>
      </w:r>
    </w:p>
    <w:p>
      <w:r>
        <w:rPr>
          <w:rFonts w:ascii="Arial" w:hAnsi="Arial" w:eastAsia="宋体"/>
          <w:b w:val="0"/>
          <w:i w:val="0"/>
        </w:rPr>
        <w:t>科目试算展示期初、发生和期末借贷金额；三表使用法人本位币万元六位。损益结转凭证与业务凭证的性质应明确处理，避免收入成本重复累计；缺少映射、借贷不平或现金归类不明时不生成可以用于签核的源。只有由当前账务指纹生成的源才能进入本层正式合并，导入变化后沿用旧源会被拒绝。</w:t>
      </w:r>
    </w:p>
    <w:p>
      <w:r>
        <w:rPr>
          <w:rFonts w:ascii="Arial" w:hAnsi="Arial" w:eastAsia="宋体"/>
          <w:b w:val="0"/>
          <w:i w:val="0"/>
        </w:rPr>
        <w:t>报表项目的“追溯原始凭证”先显示该项目真正归因的分录，不把整张借贷凭证都算作该字段。还可展开同凭证完整借贷、期初行及公式依据，查看原金额、账簿、凭证号、行序、原文件行号、批次、对方、共同关联号和NC原字段。例如收入追溯归因于收入科目贷方；对应现金借方另作同凭证核对，不应再计一遍收入。</w:t>
      </w:r>
    </w:p>
    <w:p>
      <w:r>
        <w:rPr>
          <w:rFonts w:ascii="Arial" w:hAnsi="Arial" w:eastAsia="宋体"/>
          <w:b w:val="0"/>
          <w:i w:val="0"/>
        </w:rPr>
        <w:t>从集团结果进入下级、法人源，再追到原凭证时，传递的是该保存结果的ID及其源快照。之后重新导入凭证也不能用最新账务替代历史来源。纯手工三表没有ERP原凭证来源时，界面应明确没有凭证血缘；不能显示一份空列表并声称已核对到凭证。</w:t>
      </w:r>
    </w:p>
    <w:p>
      <w:pPr>
        <w:pStyle w:val="Heading2"/>
      </w:pPr>
      <w:bookmarkStart w:id="17" w:name="epm_17"/>
      <w:r>
        <w:rPr>
          <w:rFonts w:ascii="Arial" w:hAnsi="Arial" w:eastAsia="宋体"/>
          <w:b w:val="0"/>
          <w:i w:val="0"/>
        </w:rPr>
        <w:t>4.6 内部交易匹配与差异：准确项生成、差异项核清</w:t>
      </w:r>
      <w:bookmarkEnd w:id="17"/>
    </w:p>
    <w:p>
      <w:r>
        <w:rPr>
          <w:rFonts w:ascii="Arial" w:hAnsi="Arial" w:eastAsia="宋体"/>
          <w:b w:val="0"/>
          <w:i w:val="0"/>
        </w:rPr>
        <w:t>本页扫描当前层的最低共同合并范围，将相符项与差异分开。内部销售配对收入和采购成本；内部余额配对应收与应付，并分别处理期初/期末。双方必须有明确客商、共同关联号、相同支持币种和正确类型；不能只凭金额相同或摘要相近自动配对。跨法人不同本位币的自动抵销不在本轮范围内。</w:t>
      </w:r>
    </w:p>
    <w:tbl>
      <w:tblPr>
        <w:tblStyle w:val="TableGrid"/>
        <w:tblW w:type="auto" w:w="0"/>
        <w:jc w:val="center"/>
        <w:tblLayout w:type="fixed"/>
        <w:tblLook w:firstColumn="1" w:firstRow="1" w:lastColumn="0" w:lastRow="0" w:noHBand="0" w:noVBand="1" w:val="04A0"/>
      </w:tblPr>
      <w:tblGrid>
        <w:gridCol w:w="2266"/>
        <w:gridCol w:w="3747"/>
        <w:gridCol w:w="3392"/>
      </w:tblGrid>
      <w:tr>
        <w:trPr>
          <w:cantSplit/>
          <w:tblHeader w:val="true"/>
        </w:trPr>
        <w:tc>
          <w:tcPr>
            <w:tcW w:type="dxa" w:w="22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状态或事项</w:t>
            </w:r>
          </w:p>
        </w:tc>
        <w:tc>
          <w:tcPr>
            <w:tcW w:type="dxa" w:w="37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产品行为</w:t>
            </w:r>
          </w:p>
        </w:tc>
        <w:tc>
          <w:tcPr>
            <w:tcW w:type="dxa" w:w="339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操作者下一步</w:t>
            </w:r>
          </w:p>
        </w:tc>
      </w:tr>
      <w:tr>
        <w:trPr>
          <w:cantSplit/>
        </w:trPr>
        <w:tc>
          <w:tcPr>
            <w:tcW w:type="dxa" w:w="2266"/>
            <w:vAlign w:val="top"/>
            <w:tcMar>
              <w:top w:w="65" w:type="dxa"/>
              <w:bottom w:w="65" w:type="dxa"/>
              <w:left w:w="65" w:type="dxa"/>
              <w:right w:w="65" w:type="dxa"/>
            </w:tcMar>
          </w:tcPr>
          <w:p>
            <w:pPr>
              <w:spacing w:before="30" w:after="30" w:line="252" w:lineRule="auto"/>
            </w:pPr>
            <w:r>
              <w:rPr>
                <w:rFonts w:ascii="Arial" w:hAnsi="Arial" w:eastAsia="宋体"/>
                <w:b w:val="0"/>
                <w:i w:val="0"/>
                <w:sz w:val="19"/>
              </w:rPr>
              <w:t>准确匹配</w:t>
            </w:r>
          </w:p>
        </w:tc>
        <w:tc>
          <w:tcPr>
            <w:tcW w:type="dxa" w:w="3747"/>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保存当前账务版本、双方原行与金额；可选择生成草稿</w:t>
            </w:r>
          </w:p>
        </w:tc>
        <w:tc>
          <w:tcPr>
            <w:tcW w:type="dxa" w:w="3392"/>
            <w:vAlign w:val="top"/>
            <w:tcMar>
              <w:top w:w="65" w:type="dxa"/>
              <w:bottom w:w="65" w:type="dxa"/>
              <w:left w:w="65" w:type="dxa"/>
              <w:right w:w="65" w:type="dxa"/>
            </w:tcMar>
          </w:tcPr>
          <w:p>
            <w:pPr>
              <w:spacing w:before="30" w:after="30" w:line="252" w:lineRule="auto"/>
            </w:pPr>
            <w:r>
              <w:rPr>
                <w:rFonts w:ascii="Arial" w:hAnsi="Arial" w:eastAsia="宋体"/>
                <w:b w:val="0"/>
                <w:i w:val="0"/>
                <w:sz w:val="19"/>
              </w:rPr>
              <w:t>核对来源后生成抵销草稿</w:t>
            </w:r>
          </w:p>
        </w:tc>
      </w:tr>
      <w:tr>
        <w:trPr>
          <w:cantSplit/>
        </w:trPr>
        <w:tc>
          <w:tcPr>
            <w:tcW w:type="dxa" w:w="22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差额/缺对方/关联号不同</w:t>
            </w:r>
          </w:p>
        </w:tc>
        <w:tc>
          <w:tcPr>
            <w:tcW w:type="dxa" w:w="37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保留差异和双方/已有原行，不生成补差凭证</w:t>
            </w:r>
          </w:p>
        </w:tc>
        <w:tc>
          <w:tcPr>
            <w:tcW w:type="dxa" w:w="33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展开原凭证，核实账簿/客商/关联号/金额及期间</w:t>
            </w:r>
          </w:p>
        </w:tc>
      </w:tr>
      <w:tr>
        <w:trPr>
          <w:cantSplit/>
        </w:trPr>
        <w:tc>
          <w:tcPr>
            <w:tcW w:type="dxa" w:w="2266"/>
            <w:vAlign w:val="top"/>
            <w:tcMar>
              <w:top w:w="65" w:type="dxa"/>
              <w:bottom w:w="65" w:type="dxa"/>
              <w:left w:w="65" w:type="dxa"/>
              <w:right w:w="65" w:type="dxa"/>
            </w:tcMar>
          </w:tcPr>
          <w:p>
            <w:pPr>
              <w:spacing w:before="30" w:after="30" w:line="252" w:lineRule="auto"/>
            </w:pPr>
            <w:r>
              <w:rPr>
                <w:rFonts w:ascii="Arial" w:hAnsi="Arial" w:eastAsia="宋体"/>
                <w:b w:val="0"/>
                <w:i w:val="0"/>
                <w:sz w:val="19"/>
              </w:rPr>
              <w:t>预置演示销售仍有效</w:t>
            </w:r>
          </w:p>
        </w:tc>
        <w:tc>
          <w:tcPr>
            <w:tcW w:type="dxa" w:w="3747"/>
            <w:vAlign w:val="top"/>
            <w:tcMar>
              <w:top w:w="65" w:type="dxa"/>
              <w:bottom w:w="65" w:type="dxa"/>
              <w:left w:w="65" w:type="dxa"/>
              <w:right w:w="65" w:type="dxa"/>
            </w:tcMar>
          </w:tcPr>
          <w:p>
            <w:pPr>
              <w:spacing w:before="30" w:after="30" w:line="252" w:lineRule="auto"/>
            </w:pPr>
            <w:r>
              <w:rPr>
                <w:rFonts w:ascii="Arial" w:hAnsi="Arial" w:eastAsia="宋体"/>
                <w:b w:val="0"/>
                <w:i w:val="0"/>
                <w:sz w:val="19"/>
              </w:rPr>
              <w:t>阻止与ERP自动抵销重复扣减</w:t>
            </w:r>
          </w:p>
        </w:tc>
        <w:tc>
          <w:tcPr>
            <w:tcW w:type="dxa" w:w="3392"/>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负责人说明原因，确认停用本层初始化示例销售事项</w:t>
            </w:r>
          </w:p>
        </w:tc>
      </w:tr>
      <w:tr>
        <w:trPr>
          <w:cantSplit/>
        </w:trPr>
        <w:tc>
          <w:tcPr>
            <w:tcW w:type="dxa" w:w="22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自动草稿</w:t>
            </w:r>
          </w:p>
        </w:tc>
        <w:tc>
          <w:tcPr>
            <w:tcW w:type="dxa" w:w="37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保存借/贷分录和match、原凭证引用，不直接影响合并</w:t>
            </w:r>
          </w:p>
        </w:tc>
        <w:tc>
          <w:tcPr>
            <w:tcW w:type="dxa" w:w="33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负责人批量审批本层自动草稿</w:t>
            </w:r>
          </w:p>
        </w:tc>
      </w:tr>
      <w:tr>
        <w:trPr>
          <w:cantSplit/>
        </w:trPr>
        <w:tc>
          <w:tcPr>
            <w:tcW w:type="dxa" w:w="2266"/>
            <w:vAlign w:val="top"/>
            <w:tcMar>
              <w:top w:w="65" w:type="dxa"/>
              <w:bottom w:w="65" w:type="dxa"/>
              <w:left w:w="65" w:type="dxa"/>
              <w:right w:w="65" w:type="dxa"/>
            </w:tcMar>
          </w:tcPr>
          <w:p>
            <w:pPr>
              <w:spacing w:before="30" w:after="30" w:line="252" w:lineRule="auto"/>
            </w:pPr>
            <w:r>
              <w:rPr>
                <w:rFonts w:ascii="Arial" w:hAnsi="Arial" w:eastAsia="宋体"/>
                <w:b w:val="0"/>
                <w:i w:val="0"/>
                <w:sz w:val="19"/>
              </w:rPr>
              <w:t>自动草稿已审批</w:t>
            </w:r>
          </w:p>
        </w:tc>
        <w:tc>
          <w:tcPr>
            <w:tcW w:type="dxa" w:w="3747"/>
            <w:vAlign w:val="top"/>
            <w:tcMar>
              <w:top w:w="65" w:type="dxa"/>
              <w:bottom w:w="65" w:type="dxa"/>
              <w:left w:w="65" w:type="dxa"/>
              <w:right w:w="65" w:type="dxa"/>
            </w:tcMar>
          </w:tcPr>
          <w:p>
            <w:pPr>
              <w:spacing w:before="30" w:after="30" w:line="252" w:lineRule="auto"/>
            </w:pPr>
            <w:r>
              <w:rPr>
                <w:rFonts w:ascii="Arial" w:hAnsi="Arial" w:eastAsia="宋体"/>
                <w:b w:val="0"/>
                <w:i w:val="0"/>
                <w:sz w:val="19"/>
              </w:rPr>
              <w:t>进入本层后续计算；审批本身不代替合并及签核</w:t>
            </w:r>
          </w:p>
        </w:tc>
        <w:tc>
          <w:tcPr>
            <w:tcW w:type="dxa" w:w="3392"/>
            <w:vAlign w:val="top"/>
            <w:tcMar>
              <w:top w:w="65" w:type="dxa"/>
              <w:bottom w:w="65" w:type="dxa"/>
              <w:left w:w="65" w:type="dxa"/>
              <w:right w:w="65" w:type="dxa"/>
            </w:tcMar>
          </w:tcPr>
          <w:p>
            <w:pPr>
              <w:spacing w:before="30" w:after="30" w:line="252" w:lineRule="auto"/>
            </w:pPr>
            <w:r>
              <w:rPr>
                <w:rFonts w:ascii="Arial" w:hAnsi="Arial" w:eastAsia="宋体"/>
                <w:b w:val="0"/>
                <w:i w:val="0"/>
                <w:sz w:val="19"/>
              </w:rPr>
              <w:t>计算、校验并签核本层，再上卷祖先</w:t>
            </w:r>
          </w:p>
        </w:tc>
      </w:tr>
      <w:tr>
        <w:trPr>
          <w:cantSplit/>
        </w:trPr>
        <w:tc>
          <w:tcPr>
            <w:tcW w:type="dxa" w:w="22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来源变化</w:t>
            </w:r>
          </w:p>
        </w:tc>
        <w:tc>
          <w:tcPr>
            <w:tcW w:type="dxa" w:w="37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旧匹配、旧生成源及自动抵销标记失效</w:t>
            </w:r>
          </w:p>
        </w:tc>
        <w:tc>
          <w:tcPr>
            <w:tcW w:type="dxa" w:w="33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重新生成源、匹配和新草稿，再审批与计算</w:t>
            </w:r>
          </w:p>
        </w:tc>
      </w:tr>
    </w:tbl>
    <w:p>
      <w:pPr>
        <w:spacing w:after="40"/>
      </w:pPr>
    </w:p>
    <w:p>
      <w:r>
        <w:rPr>
          <w:rFonts w:ascii="Arial" w:hAnsi="Arial" w:eastAsia="宋体"/>
          <w:b w:val="0"/>
          <w:i w:val="0"/>
        </w:rPr>
        <w:t>第一次从初始化三表例转入凭证模式，必须由负责人明确执行“确认停用本层预置交易抵销”。它只停用本层本期初始化的销售100或50，不停用天元投资权益950，不处理用户手工事项，也不删除历史快照。手工抵销与ERP自动抵销反映同一真实事项时仍需财务识别，不能认为系统会自动理解所有手工调整的经济含义。</w:t>
      </w:r>
    </w:p>
    <w:p>
      <w:r>
        <w:rPr>
          <w:rFonts w:ascii="Arial" w:hAnsi="Arial" w:eastAsia="宋体"/>
          <w:b w:val="0"/>
          <w:i w:val="0"/>
        </w:rPr>
        <w:t>相符的销售生成借收入、贷成本的自动草稿；内部应收/应付生成借应付、贷应收的草稿，并保留明确的期初与期末影响。点击“生成抵销草稿”不等于全部核对完；仍有未解决差异、相符事项漏生成或未审批时，正式计算将被阻止。负责人批量审批在同一事务中逐张校验，任一失败整批回滚；每张保留审批人、时间和说明。重复生成同一有效匹配不会重复创建抵销。</w:t>
      </w:r>
    </w:p>
    <w:p>
      <w:r>
        <w:rPr>
          <w:rFonts w:ascii="Arial" w:hAnsi="Arial" w:eastAsia="宋体"/>
          <w:b w:val="0"/>
          <w:i w:val="0"/>
        </w:rPr>
        <w:t>下层鸿旺内部事项只在鸿旺匹配和抵销，集团继续继承该下级结果与抵销血缘；鸿旺与OTHER的跨范围销售在集团匹配。集团扫描不能把鸿旺已在下层处理的事项再做一次。本页可展开差异的原始凭证，并与单体项目追溯共同定位错误，不提供强行补平或直接回写NC的入口。</w:t>
      </w:r>
    </w:p>
    <w:p>
      <w:pPr>
        <w:pStyle w:val="Heading2"/>
      </w:pPr>
      <w:bookmarkStart w:id="18" w:name="epm_18"/>
      <w:r>
        <w:rPr>
          <w:rFonts w:ascii="Arial" w:hAnsi="Arial" w:eastAsia="宋体"/>
          <w:b w:val="0"/>
          <w:i w:val="0"/>
        </w:rPr>
        <w:t>4.7 数据接入与财务三表报送</w:t>
      </w:r>
      <w:bookmarkEnd w:id="18"/>
    </w:p>
    <w:p>
      <w:r>
        <w:rPr>
          <w:rFonts w:ascii="Arial" w:hAnsi="Arial" w:eastAsia="宋体"/>
          <w:b w:val="0"/>
          <w:i w:val="0"/>
        </w:rPr>
        <w:t>数据接入提供中文源清单、下载本期完整CSV和导入。CSV表头为“法人编码,期间,数据区,项目编码,金额,月份”；数据区分别为期初资产负债、期末资产负债、累计损益、明确现金流、逐月损益和逐月现金流。一个法人的完整源必须提供模板要求的所有字段及1至当前月的月度发生额，不能只上传变更行。</w:t>
      </w:r>
    </w:p>
    <w:p>
      <w:r>
        <w:rPr>
          <w:rFonts w:ascii="Arial" w:hAnsi="Arial" w:eastAsia="宋体"/>
          <w:b w:val="0"/>
          <w:i w:val="0"/>
        </w:rPr>
        <w:t>“财务三表报送”可逐法人打开中文字段表单。期末留存收益已包含本期利润，不再重复结转。现金流为明确报送输入，系统不会用现金余额差倒挤经营现金流。服务端核对期初平衡、期末平衡、现金流勾稽、权益滚动和月度累计一致性，失败时整批不写入。</w:t>
      </w:r>
    </w:p>
    <w:p>
      <w:r>
        <w:rPr>
          <w:rFonts w:ascii="Arial" w:hAnsi="Arial" w:eastAsia="宋体"/>
          <w:b w:val="0"/>
          <w:i w:val="0"/>
        </w:rPr>
        <w:t>平衡变更助手可演示本月新增现金销售或现金费用。助手只在表单中同步填写关联字段，点击“校验并保存三表源”才真正生效。操作者仍应核对关联字段与业务含义。修改已签核依赖前，先重开对应小合并并说明原因，使相关祖先失效。</w:t>
      </w:r>
    </w:p>
    <w:p>
      <w:r>
        <w:rPr>
          <w:rFonts w:ascii="Arial" w:hAnsi="Arial" w:eastAsia="宋体"/>
          <w:b w:val="0"/>
          <w:i w:val="0"/>
        </w:rPr>
        <w:t>以上编辑和六列CSV报送用于未启用ERP账务的手工源。已有有效ERP账务或已保存ERP生成源的法人，其ERP三表作为凭证派生结果只读，服务端拒绝以手工表单或三表CSV覆盖。金额错误应回ERP核实、更正批次并重导；客商、共同号或现金分类可按有依据的核对补注处理，然后重新生成单体源。</w:t>
      </w:r>
    </w:p>
    <w:p>
      <w:pPr>
        <w:pStyle w:val="Heading2"/>
      </w:pPr>
      <w:bookmarkStart w:id="19" w:name="epm_19"/>
      <w:r>
        <w:rPr>
          <w:rFonts w:ascii="Arial" w:hAnsi="Arial" w:eastAsia="宋体"/>
          <w:b w:val="0"/>
          <w:i w:val="0"/>
        </w:rPr>
        <w:t>4.8 集团分类汇率</w:t>
      </w:r>
      <w:bookmarkEnd w:id="19"/>
    </w:p>
    <w:p>
      <w:r>
        <w:rPr>
          <w:rFonts w:ascii="Arial" w:hAnsi="Arial" w:eastAsia="宋体"/>
          <w:b w:val="0"/>
          <w:i w:val="0"/>
        </w:rPr>
        <w:t>所有报价统一为“1美元等于多少人民币”。期初汇率用于期初资产负债及现金；期末汇率用于期末资产负债；实收资本按历史汇率；各月损益用各月平均汇率；现金流用各月流量汇率。逐月发生先各自折算再累计，不能将不同时点发生额全部套一个期末率。</w:t>
      </w:r>
    </w:p>
    <w:p>
      <w:r>
        <w:rPr>
          <w:rFonts w:ascii="Arial" w:hAnsi="Arial" w:eastAsia="宋体"/>
          <w:b w:val="0"/>
          <w:i w:val="0"/>
        </w:rPr>
        <w:t>发布汇率新增不可覆盖的历史版本，旧结果保留其原汇率快照。只有实际依赖这次转换的本期结果应失效；海外美元小合并本身不因人民币展示需求而重复转换。缺少必要汇率时不能形成正式折算结果。</w:t>
      </w:r>
    </w:p>
    <w:p>
      <w:pPr>
        <w:pStyle w:val="Heading2"/>
      </w:pPr>
      <w:bookmarkStart w:id="20" w:name="epm_20"/>
      <w:r>
        <w:rPr>
          <w:rFonts w:ascii="Arial" w:hAnsi="Arial" w:eastAsia="宋体"/>
          <w:b w:val="0"/>
          <w:i w:val="0"/>
        </w:rPr>
        <w:t>4.9 分级合并、抵销与关账</w:t>
      </w:r>
      <w:bookmarkEnd w:id="20"/>
    </w:p>
    <w:p>
      <w:r>
        <w:rPr>
          <w:rFonts w:ascii="Arial" w:hAnsi="Arial" w:eastAsia="宋体"/>
          <w:b w:val="0"/>
          <w:i w:val="0"/>
        </w:rPr>
        <w:t>分级合并工作台列出各单元状态、计算前置、本层输入、会计校验及结果历史。“计算本层新版本”生成独立结果，读取直接法人源和有效已签核子结果；上级不会把下级预览递归计算后伪装为签核结果。“签核当前结果”保护该结果依赖；“重新开启及祖先”要求填写原因，使本层及引用祖先失效并解锁，保留原快照。</w:t>
      </w:r>
    </w:p>
    <w:p>
      <w:r>
        <w:rPr>
          <w:rFonts w:ascii="Arial" w:hAnsi="Arial" w:eastAsia="宋体"/>
          <w:b w:val="0"/>
          <w:i w:val="0"/>
        </w:rPr>
        <w:t>内部销售应在交易双方的最低共同合并层处理。鸿旺与鸿旺猫爬架之间的交易属于鸿旺层；鸿旺与其他境内公司的交易属于集团层。同一来源交易标识不能在下层处理后又在上层扣减。抵销可明确填逐月发生金额，累计合计必须一致；美元抵销按实际发生月份分配，才能与不同月平均汇率匹配。</w:t>
      </w:r>
    </w:p>
    <w:p>
      <w:r>
        <w:rPr>
          <w:rFonts w:ascii="Arial" w:hAnsi="Arial" w:eastAsia="宋体"/>
          <w:b w:val="0"/>
          <w:i w:val="0"/>
        </w:rPr>
        <w:t>抵销草稿须经负责人审批才能进入新结果。误建或需停用的事项通过填写原因停用，保留历史记录；停用会使有关结果失效。手工通道支持内部销售收入/成本等额抵销及期初全资投资与资本明确配对；ERP通道新增准确匹配的已结/未结销售和应收/应付余额自动草稿；不提供旧版通用财务凭证旁路或自动处理未实现利润、商誉和复杂权益事件。</w:t>
      </w:r>
    </w:p>
    <w:p>
      <w:r>
        <w:rPr>
          <w:rFonts w:ascii="Arial" w:hAnsi="Arial" w:eastAsia="宋体"/>
          <w:b w:val="0"/>
          <w:i w:val="0"/>
        </w:rPr>
        <w:t>“关账校验与签核”集中展示来自保存结果的校验及下级前置，不能靠人工勾选代替实际计算。三表差额为零仍需检查来源和版本正确，不能将任何强行平衡都视为业务正确。</w:t>
      </w:r>
    </w:p>
    <w:p>
      <w:pPr>
        <w:pStyle w:val="Heading2"/>
      </w:pPr>
      <w:bookmarkStart w:id="21" w:name="epm_21"/>
      <w:r>
        <w:rPr>
          <w:rFonts w:ascii="Arial" w:hAnsi="Arial" w:eastAsia="宋体"/>
          <w:b w:val="0"/>
          <w:i w:val="0"/>
        </w:rPr>
        <w:t>4.10 集团三张报表</w:t>
      </w:r>
      <w:bookmarkEnd w:id="21"/>
    </w:p>
    <w:p>
      <w:r>
        <w:rPr>
          <w:rFonts w:ascii="Arial" w:hAnsi="Arial" w:eastAsia="宋体"/>
          <w:b w:val="0"/>
          <w:i w:val="0"/>
        </w:rPr>
        <w:t>同一页面可切换合并利润表、合并资产负债表和合并现金流量表。每张表沿用当前保存结果的期间、币种和版本，支持金额来源或完整结果钻取及导出。资产负债表在权益中单列外币报表折算差额；现金流量表单列汇率变动对现金及现金等价物的影响，两者不能互用或都计入净利润。</w:t>
      </w:r>
    </w:p>
    <w:p>
      <w:r>
        <w:rPr>
          <w:rFonts w:ascii="Arial" w:hAnsi="Arial" w:eastAsia="宋体"/>
          <w:b w:val="0"/>
          <w:i w:val="0"/>
        </w:rPr>
        <w:t>导出文件包含公司、单元、期间、金额单位、结果版本和状态。CSV中的报表导出包含说明抬头，与用于源导入的六列完整CSV模板不同；不能把报表导出CSV直接当源导入。</w:t>
      </w:r>
    </w:p>
    <w:p>
      <w:pPr>
        <w:pStyle w:val="Heading2"/>
      </w:pPr>
      <w:bookmarkStart w:id="22" w:name="epm_22"/>
      <w:r>
        <w:rPr>
          <w:rFonts w:ascii="Arial" w:hAnsi="Arial" w:eastAsia="宋体"/>
          <w:b w:val="0"/>
          <w:i w:val="0"/>
        </w:rPr>
        <w:t>4.11 预算周期与审批</w:t>
      </w:r>
      <w:bookmarkEnd w:id="22"/>
    </w:p>
    <w:p>
      <w:r>
        <w:rPr>
          <w:rFonts w:ascii="Arial" w:hAnsi="Arial" w:eastAsia="宋体"/>
          <w:b w:val="0"/>
          <w:i w:val="0"/>
        </w:rPr>
        <w:t>预算在集团人民币口径下运行。默认活跃版本“V2 年度目标”处于编制中，年度收入目标4000；另保留“V1 基准预算”3800。版本状态依次为编制中、审核中、已审批、已锁定。法人会计可以编制和提交，集团财务负责人执行审批与锁定。</w:t>
      </w:r>
    </w:p>
    <w:p>
      <w:r>
        <w:rPr>
          <w:rFonts w:ascii="Arial" w:hAnsi="Arial" w:eastAsia="宋体"/>
          <w:b w:val="0"/>
          <w:i w:val="0"/>
        </w:rPr>
        <w:t>已提交、已审批或已锁定的预算不允许直接改层金额、驱动或明细。需要变化时，复制为新的独立草稿，或发起预算调整申请。财务合并结果签核和预算锁定是两条不同的状态链，预算变动不直接改写已签核财务金额。</w:t>
      </w:r>
    </w:p>
    <w:p>
      <w:pPr>
        <w:pStyle w:val="Heading2"/>
      </w:pPr>
      <w:bookmarkStart w:id="23" w:name="epm_23"/>
      <w:r>
        <w:rPr>
          <w:rFonts w:ascii="Arial" w:hAnsi="Arial" w:eastAsia="宋体"/>
          <w:b w:val="0"/>
          <w:i w:val="0"/>
        </w:rPr>
        <w:t>4.12 预算编制与分摊</w:t>
      </w:r>
      <w:bookmarkEnd w:id="23"/>
    </w:p>
    <w:p>
      <w:r>
        <w:rPr>
          <w:rFonts w:ascii="Arial" w:hAnsi="Arial" w:eastAsia="宋体"/>
          <w:b w:val="0"/>
          <w:i w:val="0"/>
        </w:rPr>
        <w:t>年度收入目标由基础层3400、挑战层300、管理层200、董事会层100构成。可以分别编辑各层。销量必须为整数；销量×不含税单价构成年度收入目标，超过前三层合计的部分进入董事会层，不能得到负的董事会层。</w:t>
      </w:r>
    </w:p>
    <w:p>
      <w:r>
        <w:rPr>
          <w:rFonts w:ascii="Arial" w:hAnsi="Arial" w:eastAsia="宋体"/>
          <w:b w:val="0"/>
          <w:i w:val="0"/>
        </w:rPr>
        <w:t>分摊支持均匀和季节性权重。季节性十二期权重为5%、5%、7%、8%、8%、9%、9%、9%、10%、10%、10%、10%，合计100%。分配按累计权重舍入到两位小数，再用相邻累计值差生成月金额，十二期合计等于年度目标。</w:t>
      </w:r>
    </w:p>
    <w:p>
      <w:r>
        <w:rPr>
          <w:rFonts w:ascii="Arial" w:hAnsi="Arial" w:eastAsia="宋体"/>
          <w:b w:val="0"/>
          <w:i w:val="0"/>
        </w:rPr>
        <w:t>业务类型包括销售、生产、采购、库存、人工、费用、资本、资金和三表预算口径。销售页对应四层收入目标；七类业务明细支持项目名、数量、单价、金额和说明，金额必须等于数量×单价、保留两位小数。三表预算口径展示收入目标和独立成本、费用比较基准，不表示已完成业务驱动的资产负债和现金流预算模型。</w:t>
      </w:r>
    </w:p>
    <w:p>
      <w:r>
        <w:rPr>
          <w:rFonts w:ascii="Arial" w:hAnsi="Arial" w:eastAsia="宋体"/>
          <w:b w:val="0"/>
          <w:i w:val="0"/>
        </w:rPr>
        <w:t>七类业务预算明细不会自动形成生产排程、采购单、出入库、工资、资产卡片或付款指令；其金额也不会自动写入经营分析的成本费用比较基准。</w:t>
      </w:r>
    </w:p>
    <w:p>
      <w:pPr>
        <w:pStyle w:val="Heading2"/>
      </w:pPr>
      <w:bookmarkStart w:id="24" w:name="epm_24"/>
      <w:r>
        <w:rPr>
          <w:rFonts w:ascii="Arial" w:hAnsi="Arial" w:eastAsia="宋体"/>
          <w:b w:val="0"/>
          <w:i w:val="0"/>
        </w:rPr>
        <w:t>4.13 预算调整与滚动预测</w:t>
      </w:r>
      <w:bookmarkEnd w:id="24"/>
    </w:p>
    <w:p>
      <w:r>
        <w:rPr>
          <w:rFonts w:ascii="Arial" w:hAnsi="Arial" w:eastAsia="宋体"/>
          <w:b w:val="0"/>
          <w:i w:val="0"/>
        </w:rPr>
        <w:t>调整申请记录来源版本、预算层、增量、原因和完整来源快照。申请待审批时不改原版金额；负责人批准后生成新的已审批版本，保留原来源版的金额、明细、分摊和状态。调整可正可负，但调整后层金额不能为负。退回保留原因，不能重复处理同一申请。</w:t>
      </w:r>
    </w:p>
    <w:p>
      <w:r>
        <w:rPr>
          <w:rFonts w:ascii="Arial" w:hAnsi="Arial" w:eastAsia="宋体"/>
          <w:b w:val="0"/>
          <w:i w:val="0"/>
        </w:rPr>
        <w:t>“创建滚动预测版本”把当前完整预算复制到滚动预测情景，进入编制中，再独立编辑和审批。软件不自动预测订单、销量或未来市场，也没有基于实际发生额的自动滚动算法。需要自动预测时应另行设计算法、数据与评估标准。</w:t>
      </w:r>
    </w:p>
    <w:p>
      <w:pPr>
        <w:pStyle w:val="Heading2"/>
      </w:pPr>
      <w:bookmarkStart w:id="25" w:name="epm_25"/>
      <w:r>
        <w:rPr>
          <w:rFonts w:ascii="Arial" w:hAnsi="Arial" w:eastAsia="宋体"/>
          <w:b w:val="0"/>
          <w:i w:val="0"/>
        </w:rPr>
        <w:t>4.14 版本与多情景</w:t>
      </w:r>
      <w:bookmarkEnd w:id="25"/>
    </w:p>
    <w:p>
      <w:r>
        <w:rPr>
          <w:rFonts w:ascii="Arial" w:hAnsi="Arial" w:eastAsia="宋体"/>
          <w:b w:val="0"/>
          <w:i w:val="0"/>
        </w:rPr>
        <w:t>版本清单显示名字、情景、年度目标和状态。切换的是完整服务端预算快照，不只是改变页面标签。复制保留四层、量价、分摊和业务明细，新副本可独立编制。比较窗口主要对照年度收入目标、情景与状态；不应将其描述为任意多维模型的复杂情景模拟引擎。</w:t>
      </w:r>
    </w:p>
    <w:p>
      <w:pPr>
        <w:pStyle w:val="Heading2"/>
      </w:pPr>
      <w:bookmarkStart w:id="26" w:name="epm_26"/>
      <w:r>
        <w:rPr>
          <w:rFonts w:ascii="Arial" w:hAnsi="Arial" w:eastAsia="宋体"/>
          <w:b w:val="0"/>
          <w:i w:val="0"/>
        </w:rPr>
        <w:t>4.15 经营差异与钻取</w:t>
      </w:r>
      <w:bookmarkEnd w:id="26"/>
    </w:p>
    <w:p>
      <w:r>
        <w:rPr>
          <w:rFonts w:ascii="Arial" w:hAnsi="Arial" w:eastAsia="宋体"/>
          <w:b w:val="0"/>
          <w:i w:val="0"/>
        </w:rPr>
        <w:t>集团人民币“经营差异与钻取”读取当前有效性明确的结果和活跃预算。营业收入预算按当期月份分摊累计；成本、费用、财务费用及税预算使用独立年度比较基准的期间比例。默认1—9月均匀收入预算3000，实际2650，差异-350；默认成本预算1950，费用预算150，利润预算900，对应实际成本1110、费用770、利润770。这里的差异是金额比较，不是系统已经完成经营原因自动归因。</w:t>
      </w:r>
    </w:p>
    <w:p>
      <w:r>
        <w:rPr>
          <w:rFonts w:ascii="Arial" w:hAnsi="Arial" w:eastAsia="宋体"/>
          <w:b w:val="0"/>
          <w:i w:val="0"/>
        </w:rPr>
        <w:t>切换鸿旺或海外时，页面仍可展示本层同币种实际，但不将其与集团人民币预算直接比较。法人贡献展示为合并抵销前金额，不能直接相加替代已经考虑抵销的合并结果。</w:t>
      </w:r>
    </w:p>
    <w:p>
      <w:r>
        <w:rPr>
          <w:rFonts w:ascii="Arial" w:hAnsi="Arial" w:eastAsia="宋体"/>
          <w:b w:val="0"/>
          <w:i w:val="0"/>
        </w:rPr>
        <w:t>经营说明按单元及期间保存。历史结果钻取优先使用计算时保留的源快照、分类汇率和抵销快照；当前源已经从300改为310时，旧结果仍应看到原来的300，而不是拿最新源解释历史金额。</w:t>
      </w:r>
    </w:p>
    <w:p>
      <w:pPr>
        <w:pStyle w:val="Heading2"/>
      </w:pPr>
      <w:bookmarkStart w:id="27" w:name="epm_27"/>
      <w:r>
        <w:rPr>
          <w:rFonts w:ascii="Arial" w:hAnsi="Arial" w:eastAsia="宋体"/>
          <w:b w:val="0"/>
          <w:i w:val="0"/>
        </w:rPr>
        <w:t>4.16 管理报表中心、权限、审计和系统配置</w:t>
      </w:r>
      <w:bookmarkEnd w:id="27"/>
    </w:p>
    <w:p>
      <w:r>
        <w:rPr>
          <w:rFonts w:ascii="Arial" w:hAnsi="Arial" w:eastAsia="宋体"/>
          <w:b w:val="0"/>
          <w:i w:val="0"/>
        </w:rPr>
        <w:t>管理报表中心集中进入三表、分级血缘、经营分析和财务源，导出当前保存结果完整证据。其JSON用于复核数据版本，不作为自动数据恢复功能。导出时先确认是否选中了历史失效版本及正确币种。</w:t>
      </w:r>
    </w:p>
    <w:p>
      <w:r>
        <w:rPr>
          <w:rFonts w:ascii="Arial" w:hAnsi="Arial" w:eastAsia="宋体"/>
          <w:b w:val="0"/>
          <w:i w:val="0"/>
        </w:rPr>
        <w:t>“组织权限”提供三种演示角色矩阵和切换；审计轨迹显示实际保存/审批事务的时间、角色、动作和业务对象，可导出。当前页面读取最近200条操作记录；不能将页面清单声称为无限保留、法定防篡改审计平台。</w:t>
      </w:r>
    </w:p>
    <w:p>
      <w:r>
        <w:rPr>
          <w:rFonts w:ascii="Arial" w:hAnsi="Arial" w:eastAsia="宋体"/>
          <w:b w:val="0"/>
          <w:i w:val="0"/>
        </w:rPr>
        <w:t xml:space="preserve">系统配置可保存集团名称，年度2026、简体中文、月度十二期和报表基础币种等为本版固定设定。本机环境显示真实数据目录，可打开文件夹和安全退出。新目录为 </w:t>
      </w:r>
      <w:r>
        <w:rPr>
          <w:rFonts w:ascii="Consolas" w:hAnsi="Consolas" w:eastAsia="宋体"/>
          <w:b w:val="0"/>
          <w:i w:val="0"/>
          <w:sz w:val="18"/>
        </w:rPr>
        <w:t>%LOCALAPPDATA%\TianyuanEPMVoucherDemo</w:t>
      </w:r>
      <w:r>
        <w:rPr>
          <w:rFonts w:ascii="Arial" w:hAnsi="Arial" w:eastAsia="宋体"/>
          <w:b w:val="0"/>
          <w:i w:val="0"/>
        </w:rPr>
        <w:t>，独立于旧Demo与Frappe/QEMU目录；旧数据库不会自动迁入，也不会因解压新程序而被自动删除。</w:t>
      </w:r>
    </w:p>
    <w:p>
      <w:pPr>
        <w:pStyle w:val="Heading1"/>
      </w:pPr>
      <w:bookmarkStart w:id="28" w:name="epm_28"/>
      <w:r>
        <w:rPr>
          <w:rFonts w:ascii="Arial" w:hAnsi="Arial" w:eastAsia="宋体"/>
          <w:b w:val="0"/>
          <w:i w:val="0"/>
        </w:rPr>
        <w:t>五、推荐演示组织方法</w:t>
      </w:r>
      <w:bookmarkEnd w:id="28"/>
    </w:p>
    <w:p>
      <w:pPr>
        <w:pStyle w:val="Heading2"/>
      </w:pPr>
      <w:bookmarkStart w:id="29" w:name="epm_29"/>
      <w:r>
        <w:rPr>
          <w:rFonts w:ascii="Arial" w:hAnsi="Arial" w:eastAsia="宋体"/>
          <w:b w:val="0"/>
          <w:i w:val="0"/>
        </w:rPr>
        <w:t>5.1 演示前检查</w:t>
      </w:r>
      <w:bookmarkEnd w:id="29"/>
    </w:p>
    <w:p>
      <w:r>
        <w:rPr>
          <w:rFonts w:ascii="Arial" w:hAnsi="Arial" w:eastAsia="宋体"/>
          <w:b w:val="0"/>
          <w:i w:val="0"/>
        </w:rPr>
        <w:t>演示者应确认正在运行新EXE打开的地址，不能沿用旧18480页面。保留解压后的全部文件夹，默认选2026年09期。先核对公司、合并单元、金额单位和当前结果状态；从全新演示数据目录开始才应得到以下初始案例数字。</w:t>
      </w:r>
    </w:p>
    <w:p>
      <w:r>
        <w:rPr>
          <w:rFonts w:ascii="Arial" w:hAnsi="Arial" w:eastAsia="宋体"/>
          <w:b w:val="0"/>
          <w:i w:val="0"/>
        </w:rPr>
        <w:t>本章P01—P11保留原财务/预算/治理场景，P12—P14新增ERP文件、差异和凭证链。除明确指出的承接步骤外，各例各自使用全新临时演示账套。前11例默认尚未导入ERP；已切ERP来源的法人不能再靠手工改三表绕过账务来源。用户在同一个本机目录连续做改数时，后续金额会包含之前变更，不能继续直接套初始金样。演示前应安全退出并备份整个数据目录。若要隔离新样例，可使用启动器参数创建另一个新数据目录，由实施人员指定可写路径；不要删除现有数据库来“恢复初始值”。</w:t>
      </w:r>
    </w:p>
    <w:p>
      <w:pPr>
        <w:pStyle w:val="Heading2"/>
      </w:pPr>
      <w:bookmarkStart w:id="30" w:name="epm_30"/>
      <w:r>
        <w:rPr>
          <w:rFonts w:ascii="Arial" w:hAnsi="Arial" w:eastAsia="宋体"/>
          <w:b w:val="0"/>
          <w:i w:val="0"/>
        </w:rPr>
        <w:t>5.2 初始金样总表</w:t>
      </w:r>
      <w:bookmarkEnd w:id="30"/>
    </w:p>
    <w:p>
      <w:r>
        <w:rPr>
          <w:rFonts w:ascii="Arial" w:hAnsi="Arial" w:eastAsia="宋体"/>
          <w:b w:val="0"/>
          <w:i w:val="0"/>
        </w:rPr>
        <w:t>单位：境内和集团为人民币万元；海外原币为万美元。</w:t>
      </w:r>
    </w:p>
    <w:tbl>
      <w:tblPr>
        <w:tblStyle w:val="TableGrid"/>
        <w:tblW w:type="auto" w:w="0"/>
        <w:jc w:val="center"/>
        <w:tblLayout w:type="fixed"/>
        <w:tblLook w:firstColumn="1" w:firstRow="1" w:lastColumn="0" w:lastRow="0" w:noHBand="0" w:noVBand="1" w:val="04A0"/>
      </w:tblPr>
      <w:tblGrid>
        <w:gridCol w:w="1883"/>
        <w:gridCol w:w="1883"/>
        <w:gridCol w:w="1883"/>
        <w:gridCol w:w="2025"/>
        <w:gridCol w:w="1733"/>
      </w:tblGrid>
      <w:tr>
        <w:trPr>
          <w:cantSplit/>
          <w:tblHeader w:val="true"/>
        </w:trPr>
        <w:tc>
          <w:tcPr>
            <w:tcW w:type="dxa" w:w="18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项目</w:t>
            </w:r>
          </w:p>
        </w:tc>
        <w:tc>
          <w:tcPr>
            <w:tcW w:type="dxa" w:w="18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鸿旺小合并CNY</w:t>
            </w:r>
          </w:p>
        </w:tc>
        <w:tc>
          <w:tcPr>
            <w:tcW w:type="dxa" w:w="18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海外小合并USD</w:t>
            </w:r>
          </w:p>
        </w:tc>
        <w:tc>
          <w:tcPr>
            <w:tcW w:type="dxa" w:w="20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海外折算组件CNY</w:t>
            </w:r>
          </w:p>
        </w:tc>
        <w:tc>
          <w:tcPr>
            <w:tcW w:type="dxa" w:w="173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集团最终CNY</w:t>
            </w:r>
          </w:p>
        </w:tc>
      </w:tr>
      <w:tr>
        <w:trPr>
          <w:cantSplit/>
        </w:trPr>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营业收入</w:t>
            </w:r>
          </w:p>
        </w:tc>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1400</w:t>
            </w:r>
          </w:p>
        </w:tc>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100</w:t>
            </w:r>
          </w:p>
        </w:tc>
        <w:tc>
          <w:tcPr>
            <w:tcW w:type="dxa" w:w="2025"/>
            <w:vAlign w:val="top"/>
            <w:tcMar>
              <w:top w:w="65" w:type="dxa"/>
              <w:bottom w:w="65" w:type="dxa"/>
              <w:left w:w="65" w:type="dxa"/>
              <w:right w:w="65" w:type="dxa"/>
            </w:tcMar>
          </w:tcPr>
          <w:p>
            <w:pPr>
              <w:spacing w:before="30" w:after="30" w:line="252" w:lineRule="auto"/>
            </w:pPr>
            <w:r>
              <w:rPr>
                <w:rFonts w:ascii="Arial" w:hAnsi="Arial" w:eastAsia="宋体"/>
                <w:b w:val="0"/>
                <w:i w:val="0"/>
                <w:sz w:val="18"/>
              </w:rPr>
              <w:t>700</w:t>
            </w:r>
          </w:p>
        </w:tc>
        <w:tc>
          <w:tcPr>
            <w:tcW w:type="dxa" w:w="1733"/>
            <w:vAlign w:val="top"/>
            <w:tcMar>
              <w:top w:w="65" w:type="dxa"/>
              <w:bottom w:w="65" w:type="dxa"/>
              <w:left w:w="65" w:type="dxa"/>
              <w:right w:w="65" w:type="dxa"/>
            </w:tcMar>
          </w:tcPr>
          <w:p>
            <w:pPr>
              <w:spacing w:before="30" w:after="30" w:line="252" w:lineRule="auto"/>
            </w:pPr>
            <w:r>
              <w:rPr>
                <w:rFonts w:ascii="Arial" w:hAnsi="Arial" w:eastAsia="宋体"/>
                <w:b w:val="0"/>
                <w:i w:val="0"/>
                <w:sz w:val="18"/>
              </w:rPr>
              <w:t>2650</w:t>
            </w:r>
          </w:p>
        </w:tc>
      </w:tr>
      <w:tr>
        <w:trPr>
          <w:cantSplit/>
        </w:trPr>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净利润</w:t>
            </w:r>
          </w:p>
        </w:tc>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450</w:t>
            </w:r>
          </w:p>
        </w:tc>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w:t>
            </w:r>
          </w:p>
        </w:tc>
        <w:tc>
          <w:tcPr>
            <w:tcW w:type="dxa" w:w="2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140</w:t>
            </w:r>
          </w:p>
        </w:tc>
        <w:tc>
          <w:tcPr>
            <w:tcW w:type="dxa" w:w="17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770</w:t>
            </w:r>
          </w:p>
        </w:tc>
      </w:tr>
      <w:tr>
        <w:trPr>
          <w:cantSplit/>
        </w:trPr>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期末资产</w:t>
            </w:r>
          </w:p>
        </w:tc>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650</w:t>
            </w:r>
          </w:p>
        </w:tc>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200</w:t>
            </w:r>
          </w:p>
        </w:tc>
        <w:tc>
          <w:tcPr>
            <w:tcW w:type="dxa" w:w="2025"/>
            <w:vAlign w:val="top"/>
            <w:tcMar>
              <w:top w:w="65" w:type="dxa"/>
              <w:bottom w:w="65" w:type="dxa"/>
              <w:left w:w="65" w:type="dxa"/>
              <w:right w:w="65" w:type="dxa"/>
            </w:tcMar>
          </w:tcPr>
          <w:p>
            <w:pPr>
              <w:spacing w:before="30" w:after="30" w:line="252" w:lineRule="auto"/>
            </w:pPr>
            <w:r>
              <w:rPr>
                <w:rFonts w:ascii="Arial" w:hAnsi="Arial" w:eastAsia="宋体"/>
                <w:b w:val="0"/>
                <w:i w:val="0"/>
                <w:sz w:val="18"/>
              </w:rPr>
              <w:t>1440</w:t>
            </w:r>
          </w:p>
        </w:tc>
        <w:tc>
          <w:tcPr>
            <w:tcW w:type="dxa" w:w="1733"/>
            <w:vAlign w:val="top"/>
            <w:tcMar>
              <w:top w:w="65" w:type="dxa"/>
              <w:bottom w:w="65" w:type="dxa"/>
              <w:left w:w="65" w:type="dxa"/>
              <w:right w:w="65" w:type="dxa"/>
            </w:tcMar>
          </w:tcPr>
          <w:p>
            <w:pPr>
              <w:spacing w:before="30" w:after="30" w:line="252" w:lineRule="auto"/>
            </w:pPr>
            <w:r>
              <w:rPr>
                <w:rFonts w:ascii="Arial" w:hAnsi="Arial" w:eastAsia="宋体"/>
                <w:b w:val="0"/>
                <w:i w:val="0"/>
                <w:sz w:val="18"/>
              </w:rPr>
              <w:t>2370</w:t>
            </w:r>
          </w:p>
        </w:tc>
      </w:tr>
      <w:tr>
        <w:trPr>
          <w:cantSplit/>
        </w:trPr>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期末负债</w:t>
            </w:r>
          </w:p>
        </w:tc>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w:t>
            </w:r>
          </w:p>
        </w:tc>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80</w:t>
            </w:r>
          </w:p>
        </w:tc>
        <w:tc>
          <w:tcPr>
            <w:tcW w:type="dxa" w:w="2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576</w:t>
            </w:r>
          </w:p>
        </w:tc>
        <w:tc>
          <w:tcPr>
            <w:tcW w:type="dxa" w:w="17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576</w:t>
            </w:r>
          </w:p>
        </w:tc>
      </w:tr>
      <w:tr>
        <w:trPr>
          <w:cantSplit/>
        </w:trPr>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外币报表折算差额</w:t>
            </w:r>
          </w:p>
        </w:tc>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0</w:t>
            </w:r>
          </w:p>
        </w:tc>
        <w:tc>
          <w:tcPr>
            <w:tcW w:type="dxa" w:w="1883"/>
            <w:vAlign w:val="top"/>
            <w:tcMar>
              <w:top w:w="65" w:type="dxa"/>
              <w:bottom w:w="65" w:type="dxa"/>
              <w:left w:w="65" w:type="dxa"/>
              <w:right w:w="65" w:type="dxa"/>
            </w:tcMar>
          </w:tcPr>
          <w:p>
            <w:pPr>
              <w:spacing w:before="30" w:after="30" w:line="252" w:lineRule="auto"/>
            </w:pPr>
            <w:r>
              <w:rPr>
                <w:rFonts w:ascii="Arial" w:hAnsi="Arial" w:eastAsia="宋体"/>
                <w:b w:val="0"/>
                <w:i w:val="0"/>
                <w:sz w:val="18"/>
              </w:rPr>
              <w:t>0</w:t>
            </w:r>
          </w:p>
        </w:tc>
        <w:tc>
          <w:tcPr>
            <w:tcW w:type="dxa" w:w="2025"/>
            <w:vAlign w:val="top"/>
            <w:tcMar>
              <w:top w:w="65" w:type="dxa"/>
              <w:bottom w:w="65" w:type="dxa"/>
              <w:left w:w="65" w:type="dxa"/>
              <w:right w:w="65" w:type="dxa"/>
            </w:tcMar>
          </w:tcPr>
          <w:p>
            <w:pPr>
              <w:spacing w:before="30" w:after="30" w:line="252" w:lineRule="auto"/>
            </w:pPr>
            <w:r>
              <w:rPr>
                <w:rFonts w:ascii="Arial" w:hAnsi="Arial" w:eastAsia="宋体"/>
                <w:b w:val="0"/>
                <w:i w:val="0"/>
                <w:sz w:val="18"/>
              </w:rPr>
              <w:t>74</w:t>
            </w:r>
          </w:p>
        </w:tc>
        <w:tc>
          <w:tcPr>
            <w:tcW w:type="dxa" w:w="1733"/>
            <w:vAlign w:val="top"/>
            <w:tcMar>
              <w:top w:w="65" w:type="dxa"/>
              <w:bottom w:w="65" w:type="dxa"/>
              <w:left w:w="65" w:type="dxa"/>
              <w:right w:w="65" w:type="dxa"/>
            </w:tcMar>
          </w:tcPr>
          <w:p>
            <w:pPr>
              <w:spacing w:before="30" w:after="30" w:line="252" w:lineRule="auto"/>
            </w:pPr>
            <w:r>
              <w:rPr>
                <w:rFonts w:ascii="Arial" w:hAnsi="Arial" w:eastAsia="宋体"/>
                <w:b w:val="0"/>
                <w:i w:val="0"/>
                <w:sz w:val="18"/>
              </w:rPr>
              <w:t>74</w:t>
            </w:r>
          </w:p>
        </w:tc>
      </w:tr>
      <w:tr>
        <w:trPr>
          <w:cantSplit/>
        </w:trPr>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现金汇率影响</w:t>
            </w:r>
          </w:p>
        </w:tc>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w:t>
            </w:r>
          </w:p>
        </w:tc>
        <w:tc>
          <w:tcPr>
            <w:tcW w:type="dxa" w:w="18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w:t>
            </w:r>
          </w:p>
        </w:tc>
        <w:tc>
          <w:tcPr>
            <w:tcW w:type="dxa" w:w="2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90</w:t>
            </w:r>
          </w:p>
        </w:tc>
        <w:tc>
          <w:tcPr>
            <w:tcW w:type="dxa" w:w="17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90</w:t>
            </w:r>
          </w:p>
        </w:tc>
      </w:tr>
    </w:tbl>
    <w:p>
      <w:pPr>
        <w:spacing w:after="40"/>
      </w:pPr>
    </w:p>
    <w:p>
      <w:r>
        <w:rPr>
          <w:rFonts w:ascii="Arial" w:hAnsi="Arial" w:eastAsia="宋体"/>
          <w:b w:val="0"/>
          <w:i w:val="0"/>
        </w:rPr>
        <w:t>集团完整权益为资本950、留存收益770、CTA74，合计1794；</w:t>
      </w:r>
      <w:r>
        <w:rPr>
          <w:rFonts w:ascii="Consolas" w:hAnsi="Consolas" w:eastAsia="宋体"/>
          <w:b w:val="0"/>
          <w:i w:val="0"/>
          <w:sz w:val="18"/>
        </w:rPr>
        <w:t>2370＝576＋950＋770＋74</w:t>
      </w:r>
      <w:r>
        <w:rPr>
          <w:rFonts w:ascii="Arial" w:hAnsi="Arial" w:eastAsia="宋体"/>
          <w:b w:val="0"/>
          <w:i w:val="0"/>
        </w:rPr>
        <w:t>。现金流为期初950＋经营770＋投资0＋筹资560＋现金汇率影响90＝期末2370。</w:t>
      </w:r>
    </w:p>
    <w:p>
      <w:pPr>
        <w:pStyle w:val="Heading2"/>
      </w:pPr>
      <w:bookmarkStart w:id="31" w:name="epm_31"/>
      <w:r>
        <w:rPr>
          <w:rFonts w:ascii="Arial" w:hAnsi="Arial" w:eastAsia="宋体"/>
          <w:b w:val="0"/>
          <w:i w:val="0"/>
        </w:rPr>
        <w:t>5.3 案例P01：从初始三层结果解释集团收入</w:t>
      </w:r>
      <w:bookmarkEnd w:id="31"/>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全新09期、尚未导入ERP的账套，观察初始化三表演示结果。它们由同一计算流程生成签核，但无ERP原凭证血缘；需要凭证链请执行P12。</w:t>
      </w:r>
    </w:p>
    <w:p>
      <w:pPr>
        <w:ind w:left="283" w:hanging="198"/>
      </w:pPr>
      <w:r>
        <w:rPr>
          <w:rFonts w:ascii="Arial" w:hAnsi="Arial" w:eastAsia="宋体"/>
        </w:rPr>
        <w:t xml:space="preserve">1. </w:t>
      </w:r>
      <w:r>
        <w:rPr>
          <w:rFonts w:ascii="Arial" w:hAnsi="Arial" w:eastAsia="宋体"/>
          <w:b w:val="0"/>
          <w:i w:val="0"/>
        </w:rPr>
        <w:t>进入“集团组织与持股”，辨认鸿旺三家独立法人、海外两家美元法人及集团直接成员。</w:t>
      </w:r>
    </w:p>
    <w:p>
      <w:pPr>
        <w:ind w:left="283" w:hanging="198"/>
      </w:pPr>
      <w:r>
        <w:rPr>
          <w:rFonts w:ascii="Arial" w:hAnsi="Arial" w:eastAsia="宋体"/>
        </w:rPr>
        <w:t xml:space="preserve">2. </w:t>
      </w:r>
      <w:r>
        <w:rPr>
          <w:rFonts w:ascii="Arial" w:hAnsi="Arial" w:eastAsia="宋体"/>
          <w:b w:val="0"/>
          <w:i w:val="0"/>
        </w:rPr>
        <w:t>在“持股与企业合并”确认天元100%持股示例，不把鸿旺管理树当作真实母子股权。</w:t>
      </w:r>
    </w:p>
    <w:p>
      <w:pPr>
        <w:ind w:left="283" w:hanging="198"/>
      </w:pPr>
      <w:r>
        <w:rPr>
          <w:rFonts w:ascii="Arial" w:hAnsi="Arial" w:eastAsia="宋体"/>
        </w:rPr>
        <w:t xml:space="preserve">3. </w:t>
      </w:r>
      <w:r>
        <w:rPr>
          <w:rFonts w:ascii="Arial" w:hAnsi="Arial" w:eastAsia="宋体"/>
          <w:b w:val="0"/>
          <w:i w:val="0"/>
        </w:rPr>
        <w:t>选择“鸿旺小合并”，查看三家源收入1000、300、200与本层内部销售抵销100，结果为1400。</w:t>
      </w:r>
    </w:p>
    <w:p>
      <w:pPr>
        <w:ind w:left="283" w:hanging="198"/>
      </w:pPr>
      <w:r>
        <w:rPr>
          <w:rFonts w:ascii="Arial" w:hAnsi="Arial" w:eastAsia="宋体"/>
        </w:rPr>
        <w:t xml:space="preserve">4. </w:t>
      </w:r>
      <w:r>
        <w:rPr>
          <w:rFonts w:ascii="Arial" w:hAnsi="Arial" w:eastAsia="宋体"/>
          <w:b w:val="0"/>
          <w:i w:val="0"/>
        </w:rPr>
        <w:t>选择“海外小合并”，确认收入100、利润20、期末现金及资产200、负债80、资本100、留存20，单位万美元。</w:t>
      </w:r>
    </w:p>
    <w:p>
      <w:pPr>
        <w:ind w:left="283" w:hanging="198"/>
      </w:pPr>
      <w:r>
        <w:rPr>
          <w:rFonts w:ascii="Arial" w:hAnsi="Arial" w:eastAsia="宋体"/>
        </w:rPr>
        <w:t xml:space="preserve">5. </w:t>
      </w:r>
      <w:r>
        <w:rPr>
          <w:rFonts w:ascii="Arial" w:hAnsi="Arial" w:eastAsia="宋体"/>
          <w:b w:val="0"/>
          <w:i w:val="0"/>
        </w:rPr>
        <w:t>选择集团，进入“分级合并与结果”，核对输入含两个下级结果的ID/版本，另有天元本部和其他境内公司。</w:t>
      </w:r>
    </w:p>
    <w:p>
      <w:pPr>
        <w:ind w:left="283" w:hanging="198"/>
      </w:pPr>
      <w:r>
        <w:rPr>
          <w:rFonts w:ascii="Arial" w:hAnsi="Arial" w:eastAsia="宋体"/>
        </w:rPr>
        <w:t xml:space="preserve">6. </w:t>
      </w:r>
      <w:r>
        <w:rPr>
          <w:rFonts w:ascii="Arial" w:hAnsi="Arial" w:eastAsia="宋体"/>
          <w:b w:val="0"/>
          <w:i w:val="0"/>
        </w:rPr>
        <w:t>查看集团收入：鸿旺1400＋其他境内600－集团层跨范围抵销50＋海外折算700＝2650。</w:t>
      </w:r>
    </w:p>
    <w:p>
      <w:pPr>
        <w:ind w:left="283" w:hanging="198"/>
      </w:pPr>
      <w:r>
        <w:rPr>
          <w:rFonts w:ascii="Arial" w:hAnsi="Arial" w:eastAsia="宋体"/>
        </w:rPr>
        <w:t xml:space="preserve">7. </w:t>
      </w:r>
      <w:r>
        <w:rPr>
          <w:rFonts w:ascii="Arial" w:hAnsi="Arial" w:eastAsia="宋体"/>
          <w:b w:val="0"/>
          <w:i w:val="0"/>
        </w:rPr>
        <w:t>打开三张报表和完整结果，核对集团资产负债与现金勾稽，检查下级抵销只继承一次。</w:t>
      </w:r>
    </w:p>
    <w:p>
      <w:r>
        <w:rPr>
          <w:rFonts w:ascii="Arial" w:hAnsi="Arial" w:eastAsia="宋体"/>
          <w:b w:val="0"/>
          <w:i w:val="0"/>
        </w:rPr>
      </w:r>
      <w:r>
        <w:rPr>
          <w:rFonts w:ascii="Arial" w:hAnsi="Arial" w:eastAsia="宋体"/>
          <w:b/>
          <w:i w:val="0"/>
        </w:rPr>
        <w:t>通过条件：</w:t>
      </w:r>
      <w:r>
        <w:rPr>
          <w:rFonts w:ascii="Arial" w:hAnsi="Arial" w:eastAsia="宋体"/>
          <w:b w:val="0"/>
          <w:i w:val="0"/>
        </w:rPr>
        <w:t xml:space="preserve"> 集团收入2650、净利770、资产2370、负债576、CTA74、现金汇率影响90；不存在同一来源抵销编号重复。</w:t>
      </w:r>
    </w:p>
    <w:p>
      <w:pPr>
        <w:pStyle w:val="Heading2"/>
      </w:pPr>
      <w:bookmarkStart w:id="32" w:name="epm_32"/>
      <w:r>
        <w:rPr>
          <w:rFonts w:ascii="Arial" w:hAnsi="Arial" w:eastAsia="宋体"/>
          <w:b w:val="0"/>
          <w:i w:val="0"/>
        </w:rPr>
        <w:t>5.4 案例P02：鸿旺源新增现金销售10，再上卷集团</w:t>
      </w:r>
      <w:bookmarkEnd w:id="32"/>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使用全新账套；本例不承接任何其他改数案例。</w:t>
      </w:r>
    </w:p>
    <w:p>
      <w:pPr>
        <w:ind w:left="283" w:hanging="198"/>
      </w:pPr>
      <w:r>
        <w:rPr>
          <w:rFonts w:ascii="Arial" w:hAnsi="Arial" w:eastAsia="宋体"/>
        </w:rPr>
        <w:t xml:space="preserve">1. </w:t>
      </w:r>
      <w:r>
        <w:rPr>
          <w:rFonts w:ascii="Arial" w:hAnsi="Arial" w:eastAsia="宋体"/>
          <w:b w:val="0"/>
          <w:i w:val="0"/>
        </w:rPr>
        <w:t>选择鸿旺，进入“分级合并与结果”→“重新开启及祖先”，说明补记本月现金销售。鸿旺及集团结果失效，海外原币结果保持有效。</w:t>
      </w:r>
    </w:p>
    <w:p>
      <w:pPr>
        <w:ind w:left="283" w:hanging="198"/>
      </w:pPr>
      <w:r>
        <w:rPr>
          <w:rFonts w:ascii="Arial" w:hAnsi="Arial" w:eastAsia="宋体"/>
        </w:rPr>
        <w:t xml:space="preserve">2. </w:t>
      </w:r>
      <w:r>
        <w:rPr>
          <w:rFonts w:ascii="Arial" w:hAnsi="Arial" w:eastAsia="宋体"/>
          <w:b w:val="0"/>
          <w:i w:val="0"/>
        </w:rPr>
        <w:t>进入“财务三表报送”，选择“鸿旺猫爬架生产事业部”→“编辑三表”。</w:t>
      </w:r>
    </w:p>
    <w:p>
      <w:pPr>
        <w:ind w:left="283" w:hanging="198"/>
      </w:pPr>
      <w:r>
        <w:rPr>
          <w:rFonts w:ascii="Arial" w:hAnsi="Arial" w:eastAsia="宋体"/>
        </w:rPr>
        <w:t xml:space="preserve">3. </w:t>
      </w:r>
      <w:r>
        <w:rPr>
          <w:rFonts w:ascii="Arial" w:hAnsi="Arial" w:eastAsia="宋体"/>
          <w:b w:val="0"/>
          <w:i w:val="0"/>
        </w:rPr>
        <w:t>平衡变更助手选择“本月新增现金销售收入”，金额10，点击填入，核对累计收入、9月收入、期末现金、期末留存收益、累计经营现金流和9月经营现金流六项均同步增加10。</w:t>
      </w:r>
    </w:p>
    <w:p>
      <w:pPr>
        <w:ind w:left="283" w:hanging="198"/>
      </w:pPr>
      <w:r>
        <w:rPr>
          <w:rFonts w:ascii="Arial" w:hAnsi="Arial" w:eastAsia="宋体"/>
        </w:rPr>
        <w:t xml:space="preserve">4. </w:t>
      </w:r>
      <w:r>
        <w:rPr>
          <w:rFonts w:ascii="Arial" w:hAnsi="Arial" w:eastAsia="宋体"/>
          <w:b w:val="0"/>
          <w:i w:val="0"/>
        </w:rPr>
        <w:t>点击“校验并保存三表源”，核对该源版本递增。</w:t>
      </w:r>
    </w:p>
    <w:p>
      <w:pPr>
        <w:ind w:left="283" w:hanging="198"/>
      </w:pPr>
      <w:r>
        <w:rPr>
          <w:rFonts w:ascii="Arial" w:hAnsi="Arial" w:eastAsia="宋体"/>
        </w:rPr>
        <w:t xml:space="preserve">5. </w:t>
      </w:r>
      <w:r>
        <w:rPr>
          <w:rFonts w:ascii="Arial" w:hAnsi="Arial" w:eastAsia="宋体"/>
          <w:b w:val="0"/>
          <w:i w:val="0"/>
        </w:rPr>
        <w:t>回到鸿旺工作台，计算本层新版本并签核；再切集团计算、签核。</w:t>
      </w:r>
    </w:p>
    <w:p>
      <w:pPr>
        <w:ind w:left="283" w:hanging="198"/>
      </w:pPr>
      <w:r>
        <w:rPr>
          <w:rFonts w:ascii="Arial" w:hAnsi="Arial" w:eastAsia="宋体"/>
        </w:rPr>
        <w:t xml:space="preserve">6. </w:t>
      </w:r>
      <w:r>
        <w:rPr>
          <w:rFonts w:ascii="Arial" w:hAnsi="Arial" w:eastAsia="宋体"/>
          <w:b w:val="0"/>
          <w:i w:val="0"/>
        </w:rPr>
        <w:t>打开集团旧结果快照和新结果。旧猫爬架源收入仍300，新快照为310；旧结果不能被新源覆盖。</w:t>
      </w:r>
    </w:p>
    <w:tbl>
      <w:tblPr>
        <w:tblStyle w:val="TableGrid"/>
        <w:tblW w:type="auto" w:w="0"/>
        <w:jc w:val="center"/>
        <w:tblLayout w:type="fixed"/>
        <w:tblLook w:firstColumn="1" w:firstRow="1" w:lastColumn="0" w:lastRow="0" w:noHBand="0" w:noVBand="1" w:val="04A0"/>
      </w:tblPr>
      <w:tblGrid>
        <w:gridCol w:w="3456"/>
        <w:gridCol w:w="2975"/>
        <w:gridCol w:w="2975"/>
      </w:tblGrid>
      <w:tr>
        <w:trPr>
          <w:cantSplit/>
          <w:tblHeader w:val="true"/>
        </w:trPr>
        <w:tc>
          <w:tcPr>
            <w:tcW w:type="dxa" w:w="34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观察项</w:t>
            </w:r>
          </w:p>
        </w:tc>
        <w:tc>
          <w:tcPr>
            <w:tcW w:type="dxa" w:w="29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原值</w:t>
            </w:r>
          </w:p>
        </w:tc>
        <w:tc>
          <w:tcPr>
            <w:tcW w:type="dxa" w:w="29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新值</w:t>
            </w:r>
          </w:p>
        </w:tc>
      </w:tr>
      <w:tr>
        <w:trPr>
          <w:cantSplit/>
        </w:trPr>
        <w:tc>
          <w:tcPr>
            <w:tcW w:type="dxa" w:w="3456"/>
            <w:vAlign w:val="top"/>
            <w:tcMar>
              <w:top w:w="65" w:type="dxa"/>
              <w:bottom w:w="65" w:type="dxa"/>
              <w:left w:w="65" w:type="dxa"/>
              <w:right w:w="65" w:type="dxa"/>
            </w:tcMar>
          </w:tcPr>
          <w:p>
            <w:pPr>
              <w:spacing w:before="30" w:after="30" w:line="252" w:lineRule="auto"/>
            </w:pPr>
            <w:r>
              <w:rPr>
                <w:rFonts w:ascii="Arial" w:hAnsi="Arial" w:eastAsia="宋体"/>
                <w:b w:val="0"/>
                <w:i w:val="0"/>
                <w:sz w:val="19"/>
              </w:rPr>
              <w:t>鸿旺猫爬架源收入</w:t>
            </w:r>
          </w:p>
        </w:tc>
        <w:tc>
          <w:tcPr>
            <w:tcW w:type="dxa" w:w="2975"/>
            <w:vAlign w:val="top"/>
            <w:tcMar>
              <w:top w:w="65" w:type="dxa"/>
              <w:bottom w:w="65" w:type="dxa"/>
              <w:left w:w="65" w:type="dxa"/>
              <w:right w:w="65" w:type="dxa"/>
            </w:tcMar>
          </w:tcPr>
          <w:p>
            <w:pPr>
              <w:spacing w:before="30" w:after="30" w:line="252" w:lineRule="auto"/>
            </w:pPr>
            <w:r>
              <w:rPr>
                <w:rFonts w:ascii="Arial" w:hAnsi="Arial" w:eastAsia="宋体"/>
                <w:b w:val="0"/>
                <w:i w:val="0"/>
                <w:sz w:val="19"/>
              </w:rPr>
              <w:t>300</w:t>
            </w:r>
          </w:p>
        </w:tc>
        <w:tc>
          <w:tcPr>
            <w:tcW w:type="dxa" w:w="2975"/>
            <w:vAlign w:val="top"/>
            <w:tcMar>
              <w:top w:w="65" w:type="dxa"/>
              <w:bottom w:w="65" w:type="dxa"/>
              <w:left w:w="65" w:type="dxa"/>
              <w:right w:w="65" w:type="dxa"/>
            </w:tcMar>
          </w:tcPr>
          <w:p>
            <w:pPr>
              <w:spacing w:before="30" w:after="30" w:line="252" w:lineRule="auto"/>
            </w:pPr>
            <w:r>
              <w:rPr>
                <w:rFonts w:ascii="Arial" w:hAnsi="Arial" w:eastAsia="宋体"/>
                <w:b w:val="0"/>
                <w:i w:val="0"/>
                <w:sz w:val="19"/>
              </w:rPr>
              <w:t>310</w:t>
            </w:r>
          </w:p>
        </w:tc>
      </w:tr>
      <w:tr>
        <w:trPr>
          <w:cantSplit/>
        </w:trPr>
        <w:tc>
          <w:tcPr>
            <w:tcW w:type="dxa" w:w="34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鸿旺小合并收入</w:t>
            </w:r>
          </w:p>
        </w:tc>
        <w:tc>
          <w:tcPr>
            <w:tcW w:type="dxa" w:w="29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1400</w:t>
            </w:r>
          </w:p>
        </w:tc>
        <w:tc>
          <w:tcPr>
            <w:tcW w:type="dxa" w:w="29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1410</w:t>
            </w:r>
          </w:p>
        </w:tc>
      </w:tr>
      <w:tr>
        <w:trPr>
          <w:cantSplit/>
        </w:trPr>
        <w:tc>
          <w:tcPr>
            <w:tcW w:type="dxa" w:w="3456"/>
            <w:vAlign w:val="top"/>
            <w:tcMar>
              <w:top w:w="65" w:type="dxa"/>
              <w:bottom w:w="65" w:type="dxa"/>
              <w:left w:w="65" w:type="dxa"/>
              <w:right w:w="65" w:type="dxa"/>
            </w:tcMar>
          </w:tcPr>
          <w:p>
            <w:pPr>
              <w:spacing w:before="30" w:after="30" w:line="252" w:lineRule="auto"/>
            </w:pPr>
            <w:r>
              <w:rPr>
                <w:rFonts w:ascii="Arial" w:hAnsi="Arial" w:eastAsia="宋体"/>
                <w:b w:val="0"/>
                <w:i w:val="0"/>
                <w:sz w:val="19"/>
              </w:rPr>
              <w:t>鸿旺小合并净利润</w:t>
            </w:r>
          </w:p>
        </w:tc>
        <w:tc>
          <w:tcPr>
            <w:tcW w:type="dxa" w:w="2975"/>
            <w:vAlign w:val="top"/>
            <w:tcMar>
              <w:top w:w="65" w:type="dxa"/>
              <w:bottom w:w="65" w:type="dxa"/>
              <w:left w:w="65" w:type="dxa"/>
              <w:right w:w="65" w:type="dxa"/>
            </w:tcMar>
          </w:tcPr>
          <w:p>
            <w:pPr>
              <w:spacing w:before="30" w:after="30" w:line="252" w:lineRule="auto"/>
            </w:pPr>
            <w:r>
              <w:rPr>
                <w:rFonts w:ascii="Arial" w:hAnsi="Arial" w:eastAsia="宋体"/>
                <w:b w:val="0"/>
                <w:i w:val="0"/>
                <w:sz w:val="19"/>
              </w:rPr>
              <w:t>450</w:t>
            </w:r>
          </w:p>
        </w:tc>
        <w:tc>
          <w:tcPr>
            <w:tcW w:type="dxa" w:w="2975"/>
            <w:vAlign w:val="top"/>
            <w:tcMar>
              <w:top w:w="65" w:type="dxa"/>
              <w:bottom w:w="65" w:type="dxa"/>
              <w:left w:w="65" w:type="dxa"/>
              <w:right w:w="65" w:type="dxa"/>
            </w:tcMar>
          </w:tcPr>
          <w:p>
            <w:pPr>
              <w:spacing w:before="30" w:after="30" w:line="252" w:lineRule="auto"/>
            </w:pPr>
            <w:r>
              <w:rPr>
                <w:rFonts w:ascii="Arial" w:hAnsi="Arial" w:eastAsia="宋体"/>
                <w:b w:val="0"/>
                <w:i w:val="0"/>
                <w:sz w:val="19"/>
              </w:rPr>
              <w:t>460</w:t>
            </w:r>
          </w:p>
        </w:tc>
      </w:tr>
      <w:tr>
        <w:trPr>
          <w:cantSplit/>
        </w:trPr>
        <w:tc>
          <w:tcPr>
            <w:tcW w:type="dxa" w:w="34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集团营业收入</w:t>
            </w:r>
          </w:p>
        </w:tc>
        <w:tc>
          <w:tcPr>
            <w:tcW w:type="dxa" w:w="29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2650</w:t>
            </w:r>
          </w:p>
        </w:tc>
        <w:tc>
          <w:tcPr>
            <w:tcW w:type="dxa" w:w="29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2660</w:t>
            </w:r>
          </w:p>
        </w:tc>
      </w:tr>
      <w:tr>
        <w:trPr>
          <w:cantSplit/>
        </w:trPr>
        <w:tc>
          <w:tcPr>
            <w:tcW w:type="dxa" w:w="3456"/>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集团净利润</w:t>
            </w:r>
          </w:p>
        </w:tc>
        <w:tc>
          <w:tcPr>
            <w:tcW w:type="dxa" w:w="2975"/>
            <w:vAlign w:val="top"/>
            <w:tcMar>
              <w:top w:w="65" w:type="dxa"/>
              <w:bottom w:w="65" w:type="dxa"/>
              <w:left w:w="65" w:type="dxa"/>
              <w:right w:w="65" w:type="dxa"/>
            </w:tcMar>
          </w:tcPr>
          <w:p>
            <w:pPr>
              <w:spacing w:before="30" w:after="30" w:line="252" w:lineRule="auto"/>
            </w:pPr>
            <w:r>
              <w:rPr>
                <w:rFonts w:ascii="Arial" w:hAnsi="Arial" w:eastAsia="宋体"/>
                <w:b w:val="0"/>
                <w:i w:val="0"/>
                <w:sz w:val="19"/>
              </w:rPr>
              <w:t>770</w:t>
            </w:r>
          </w:p>
        </w:tc>
        <w:tc>
          <w:tcPr>
            <w:tcW w:type="dxa" w:w="2975"/>
            <w:vAlign w:val="top"/>
            <w:tcMar>
              <w:top w:w="65" w:type="dxa"/>
              <w:bottom w:w="65" w:type="dxa"/>
              <w:left w:w="65" w:type="dxa"/>
              <w:right w:w="65" w:type="dxa"/>
            </w:tcMar>
          </w:tcPr>
          <w:p>
            <w:pPr>
              <w:spacing w:before="30" w:after="30" w:line="252" w:lineRule="auto"/>
            </w:pPr>
            <w:r>
              <w:rPr>
                <w:rFonts w:ascii="Arial" w:hAnsi="Arial" w:eastAsia="宋体"/>
                <w:b w:val="0"/>
                <w:i w:val="0"/>
                <w:sz w:val="19"/>
              </w:rPr>
              <w:t>780</w:t>
            </w:r>
          </w:p>
        </w:tc>
      </w:tr>
    </w:tbl>
    <w:p>
      <w:pPr>
        <w:spacing w:after="40"/>
      </w:pPr>
    </w:p>
    <w:p>
      <w:r>
        <w:rPr>
          <w:rFonts w:ascii="Arial" w:hAnsi="Arial" w:eastAsia="宋体"/>
          <w:b w:val="0"/>
          <w:i w:val="0"/>
        </w:rPr>
      </w:r>
      <w:r>
        <w:rPr>
          <w:rFonts w:ascii="Arial" w:hAnsi="Arial" w:eastAsia="宋体"/>
          <w:b/>
          <w:i w:val="0"/>
        </w:rPr>
        <w:t>通过条件：</w:t>
      </w:r>
      <w:r>
        <w:rPr>
          <w:rFonts w:ascii="Arial" w:hAnsi="Arial" w:eastAsia="宋体"/>
          <w:b w:val="0"/>
          <w:i w:val="0"/>
        </w:rPr>
        <w:t xml:space="preserve"> 新集团准确引用新鸿旺结果ID；海外兄弟结果继续有效；历史报表和历史源快照不变。</w:t>
      </w:r>
    </w:p>
    <w:p>
      <w:pPr>
        <w:pStyle w:val="Heading2"/>
      </w:pPr>
      <w:bookmarkStart w:id="33" w:name="epm_33"/>
      <w:r>
        <w:rPr>
          <w:rFonts w:ascii="Arial" w:hAnsi="Arial" w:eastAsia="宋体"/>
          <w:b w:val="0"/>
          <w:i w:val="0"/>
        </w:rPr>
        <w:t>5.5 案例P03：仅调整期末汇率7.2→7.3</w:t>
      </w:r>
      <w:bookmarkEnd w:id="33"/>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全新账套；如果承接P02，则集团收入/利润应为2660/780，不能再期待2650/770，海外组件本例结论仍相同。</w:t>
      </w:r>
    </w:p>
    <w:p>
      <w:pPr>
        <w:ind w:left="283" w:hanging="198"/>
      </w:pPr>
      <w:r>
        <w:rPr>
          <w:rFonts w:ascii="Arial" w:hAnsi="Arial" w:eastAsia="宋体"/>
        </w:rPr>
        <w:t xml:space="preserve">1. </w:t>
      </w:r>
      <w:r>
        <w:rPr>
          <w:rFonts w:ascii="Arial" w:hAnsi="Arial" w:eastAsia="宋体"/>
          <w:b w:val="0"/>
          <w:i w:val="0"/>
        </w:rPr>
        <w:t>集团范围进入“集团分类汇率”→“发布新汇率版本”。</w:t>
      </w:r>
    </w:p>
    <w:p>
      <w:pPr>
        <w:ind w:left="283" w:hanging="198"/>
      </w:pPr>
      <w:r>
        <w:rPr>
          <w:rFonts w:ascii="Arial" w:hAnsi="Arial" w:eastAsia="宋体"/>
        </w:rPr>
        <w:t xml:space="preserve">2. </w:t>
      </w:r>
      <w:r>
        <w:rPr>
          <w:rFonts w:ascii="Arial" w:hAnsi="Arial" w:eastAsia="宋体"/>
          <w:b w:val="0"/>
          <w:i w:val="0"/>
        </w:rPr>
        <w:t>只把期末汇率7.2改为7.3，保持期初及资本历史6.5、各月平均及流量7.0不变。</w:t>
      </w:r>
    </w:p>
    <w:p>
      <w:pPr>
        <w:ind w:left="283" w:hanging="198"/>
      </w:pPr>
      <w:r>
        <w:rPr>
          <w:rFonts w:ascii="Arial" w:hAnsi="Arial" w:eastAsia="宋体"/>
        </w:rPr>
        <w:t xml:space="preserve">3. </w:t>
      </w:r>
      <w:r>
        <w:rPr>
          <w:rFonts w:ascii="Arial" w:hAnsi="Arial" w:eastAsia="宋体"/>
          <w:b w:val="0"/>
          <w:i w:val="0"/>
        </w:rPr>
        <w:t>发布后查看新汇率历史版本和集团失效状态。海外美元小合并原结果仍有效。</w:t>
      </w:r>
    </w:p>
    <w:p>
      <w:pPr>
        <w:ind w:left="283" w:hanging="198"/>
      </w:pPr>
      <w:r>
        <w:rPr>
          <w:rFonts w:ascii="Arial" w:hAnsi="Arial" w:eastAsia="宋体"/>
        </w:rPr>
        <w:t xml:space="preserve">4. </w:t>
      </w:r>
      <w:r>
        <w:rPr>
          <w:rFonts w:ascii="Arial" w:hAnsi="Arial" w:eastAsia="宋体"/>
          <w:b w:val="0"/>
          <w:i w:val="0"/>
        </w:rPr>
        <w:t>进入分级工作台，按提示重开或直接在已解锁状态计算集团新版本，校验并签核。</w:t>
      </w:r>
    </w:p>
    <w:p>
      <w:pPr>
        <w:ind w:left="283" w:hanging="198"/>
      </w:pPr>
      <w:r>
        <w:rPr>
          <w:rFonts w:ascii="Arial" w:hAnsi="Arial" w:eastAsia="宋体"/>
        </w:rPr>
        <w:t xml:space="preserve">5. </w:t>
      </w:r>
      <w:r>
        <w:rPr>
          <w:rFonts w:ascii="Arial" w:hAnsi="Arial" w:eastAsia="宋体"/>
          <w:b w:val="0"/>
          <w:i w:val="0"/>
        </w:rPr>
        <w:t>钻取原币与折算证据，对照旧版本。</w:t>
      </w:r>
    </w:p>
    <w:tbl>
      <w:tblPr>
        <w:tblStyle w:val="TableGrid"/>
        <w:tblW w:type="auto" w:w="0"/>
        <w:jc w:val="center"/>
        <w:tblLayout w:type="fixed"/>
        <w:tblLook w:firstColumn="1" w:firstRow="1" w:lastColumn="0" w:lastRow="0" w:noHBand="0" w:noVBand="1" w:val="04A0"/>
      </w:tblPr>
      <w:tblGrid>
        <w:gridCol w:w="4136"/>
        <w:gridCol w:w="2635"/>
        <w:gridCol w:w="2635"/>
      </w:tblGrid>
      <w:tr>
        <w:trPr>
          <w:cantSplit/>
          <w:tblHeader w:val="true"/>
        </w:trPr>
        <w:tc>
          <w:tcPr>
            <w:tcW w:type="dxa" w:w="41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观察项</w:t>
            </w:r>
          </w:p>
        </w:tc>
        <w:tc>
          <w:tcPr>
            <w:tcW w:type="dxa" w:w="263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期末7.2</w:t>
            </w:r>
          </w:p>
        </w:tc>
        <w:tc>
          <w:tcPr>
            <w:tcW w:type="dxa" w:w="263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期末7.3</w:t>
            </w:r>
          </w:p>
        </w:tc>
      </w:tr>
      <w:tr>
        <w:trPr>
          <w:cantSplit/>
        </w:trPr>
        <w:tc>
          <w:tcPr>
            <w:tcW w:type="dxa" w:w="4136"/>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海外折算收入</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700</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700</w:t>
            </w:r>
          </w:p>
        </w:tc>
      </w:tr>
      <w:tr>
        <w:trPr>
          <w:cantSplit/>
        </w:trPr>
        <w:tc>
          <w:tcPr>
            <w:tcW w:type="dxa" w:w="4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海外折算净利润</w:t>
            </w:r>
          </w:p>
        </w:tc>
        <w:tc>
          <w:tcPr>
            <w:tcW w:type="dxa" w:w="26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140</w:t>
            </w:r>
          </w:p>
        </w:tc>
        <w:tc>
          <w:tcPr>
            <w:tcW w:type="dxa" w:w="26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140</w:t>
            </w:r>
          </w:p>
        </w:tc>
      </w:tr>
      <w:tr>
        <w:trPr>
          <w:cantSplit/>
        </w:trPr>
        <w:tc>
          <w:tcPr>
            <w:tcW w:type="dxa" w:w="4136"/>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海外期末资产/现金</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1440</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1460</w:t>
            </w:r>
          </w:p>
        </w:tc>
      </w:tr>
      <w:tr>
        <w:trPr>
          <w:cantSplit/>
        </w:trPr>
        <w:tc>
          <w:tcPr>
            <w:tcW w:type="dxa" w:w="4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海外期末负债</w:t>
            </w:r>
          </w:p>
        </w:tc>
        <w:tc>
          <w:tcPr>
            <w:tcW w:type="dxa" w:w="26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576</w:t>
            </w:r>
          </w:p>
        </w:tc>
        <w:tc>
          <w:tcPr>
            <w:tcW w:type="dxa" w:w="26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584</w:t>
            </w:r>
          </w:p>
        </w:tc>
      </w:tr>
      <w:tr>
        <w:trPr>
          <w:cantSplit/>
        </w:trPr>
        <w:tc>
          <w:tcPr>
            <w:tcW w:type="dxa" w:w="4136"/>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海外折算差额CTA</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74</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86</w:t>
            </w:r>
          </w:p>
        </w:tc>
      </w:tr>
      <w:tr>
        <w:trPr>
          <w:cantSplit/>
        </w:trPr>
        <w:tc>
          <w:tcPr>
            <w:tcW w:type="dxa" w:w="4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海外现金汇率影响</w:t>
            </w:r>
          </w:p>
        </w:tc>
        <w:tc>
          <w:tcPr>
            <w:tcW w:type="dxa" w:w="26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90</w:t>
            </w:r>
          </w:p>
        </w:tc>
        <w:tc>
          <w:tcPr>
            <w:tcW w:type="dxa" w:w="26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110</w:t>
            </w:r>
          </w:p>
        </w:tc>
      </w:tr>
      <w:tr>
        <w:trPr>
          <w:cantSplit/>
        </w:trPr>
        <w:tc>
          <w:tcPr>
            <w:tcW w:type="dxa" w:w="4136"/>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集团净利润（独立初始案例）</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770</w:t>
            </w:r>
          </w:p>
        </w:tc>
        <w:tc>
          <w:tcPr>
            <w:tcW w:type="dxa" w:w="2635"/>
            <w:vAlign w:val="top"/>
            <w:tcMar>
              <w:top w:w="65" w:type="dxa"/>
              <w:bottom w:w="65" w:type="dxa"/>
              <w:left w:w="65" w:type="dxa"/>
              <w:right w:w="65" w:type="dxa"/>
            </w:tcMar>
          </w:tcPr>
          <w:p>
            <w:pPr>
              <w:spacing w:before="30" w:after="30" w:line="252" w:lineRule="auto"/>
            </w:pPr>
            <w:r>
              <w:rPr>
                <w:rFonts w:ascii="Arial" w:hAnsi="Arial" w:eastAsia="宋体"/>
                <w:b w:val="0"/>
                <w:i w:val="0"/>
                <w:sz w:val="19"/>
              </w:rPr>
              <w:t>770</w:t>
            </w:r>
          </w:p>
        </w:tc>
      </w:tr>
    </w:tbl>
    <w:p>
      <w:pPr>
        <w:spacing w:after="40"/>
      </w:pPr>
    </w:p>
    <w:p>
      <w:r>
        <w:rPr>
          <w:rFonts w:ascii="Arial" w:hAnsi="Arial" w:eastAsia="宋体"/>
          <w:b w:val="0"/>
          <w:i w:val="0"/>
        </w:rPr>
      </w:r>
      <w:r>
        <w:rPr>
          <w:rFonts w:ascii="Arial" w:hAnsi="Arial" w:eastAsia="宋体"/>
          <w:b/>
          <w:i w:val="0"/>
        </w:rPr>
        <w:t>通过条件：</w:t>
      </w:r>
      <w:r>
        <w:rPr>
          <w:rFonts w:ascii="Arial" w:hAnsi="Arial" w:eastAsia="宋体"/>
          <w:b w:val="0"/>
          <w:i w:val="0"/>
        </w:rPr>
        <w:t xml:space="preserve"> 利润不因期末率改变；折算差额和现金汇率影响分别变化；旧结果继续保存原汇率及74/90。</w:t>
      </w:r>
    </w:p>
    <w:p>
      <w:pPr>
        <w:pStyle w:val="Heading2"/>
      </w:pPr>
      <w:bookmarkStart w:id="34" w:name="epm_34"/>
      <w:r>
        <w:rPr>
          <w:rFonts w:ascii="Arial" w:hAnsi="Arial" w:eastAsia="宋体"/>
          <w:b w:val="0"/>
          <w:i w:val="0"/>
        </w:rPr>
        <w:t>5.6 案例P04：美元完整CSV新增本月现金销售1</w:t>
      </w:r>
      <w:bookmarkEnd w:id="34"/>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全新账套，海外OS_A源以万美元报送。先重开海外及祖先。</w:t>
      </w:r>
    </w:p>
    <w:p>
      <w:pPr>
        <w:ind w:left="283" w:hanging="198"/>
      </w:pPr>
      <w:r>
        <w:rPr>
          <w:rFonts w:ascii="Arial" w:hAnsi="Arial" w:eastAsia="宋体"/>
        </w:rPr>
        <w:t xml:space="preserve">1. </w:t>
      </w:r>
      <w:r>
        <w:rPr>
          <w:rFonts w:ascii="Arial" w:hAnsi="Arial" w:eastAsia="宋体"/>
          <w:b w:val="0"/>
          <w:i w:val="0"/>
        </w:rPr>
        <w:t>下载当前期完整源CSV，保留海外公司甲的完整字段集；不能仅保留新增的六行。</w:t>
      </w:r>
    </w:p>
    <w:p>
      <w:pPr>
        <w:ind w:left="283" w:hanging="198"/>
      </w:pPr>
      <w:r>
        <w:rPr>
          <w:rFonts w:ascii="Arial" w:hAnsi="Arial" w:eastAsia="宋体"/>
        </w:rPr>
        <w:t xml:space="preserve">2. </w:t>
      </w:r>
      <w:r>
        <w:rPr>
          <w:rFonts w:ascii="Arial" w:hAnsi="Arial" w:eastAsia="宋体"/>
          <w:b w:val="0"/>
          <w:i w:val="0"/>
        </w:rPr>
        <w:t>对OS_A的六个关联字段增加1：期末现金、期末留存收益、累计收入、累计经营现金流、9月收入、9月经营现金流。其他字段保持原值。</w:t>
      </w:r>
    </w:p>
    <w:p>
      <w:pPr>
        <w:ind w:left="283" w:hanging="198"/>
      </w:pPr>
      <w:r>
        <w:rPr>
          <w:rFonts w:ascii="Arial" w:hAnsi="Arial" w:eastAsia="宋体"/>
        </w:rPr>
        <w:t xml:space="preserve">3. </w:t>
      </w:r>
      <w:r>
        <w:rPr>
          <w:rFonts w:ascii="Arial" w:hAnsi="Arial" w:eastAsia="宋体"/>
          <w:b w:val="0"/>
          <w:i w:val="0"/>
        </w:rPr>
        <w:t>确认法人编码OS01、期间2026-09、各数据区和月份正确，上传完整CSV并保存。</w:t>
      </w:r>
    </w:p>
    <w:p>
      <w:pPr>
        <w:ind w:left="283" w:hanging="198"/>
      </w:pPr>
      <w:r>
        <w:rPr>
          <w:rFonts w:ascii="Arial" w:hAnsi="Arial" w:eastAsia="宋体"/>
        </w:rPr>
        <w:t xml:space="preserve">4. </w:t>
      </w:r>
      <w:r>
        <w:rPr>
          <w:rFonts w:ascii="Arial" w:hAnsi="Arial" w:eastAsia="宋体"/>
          <w:b w:val="0"/>
          <w:i w:val="0"/>
        </w:rPr>
        <w:t>海外重新计算并签核，再切集团计算、签核。</w:t>
      </w:r>
    </w:p>
    <w:p>
      <w:pPr>
        <w:ind w:left="283" w:hanging="198"/>
      </w:pPr>
      <w:r>
        <w:rPr>
          <w:rFonts w:ascii="Arial" w:hAnsi="Arial" w:eastAsia="宋体"/>
        </w:rPr>
        <w:t xml:space="preserve">5. </w:t>
      </w:r>
      <w:r>
        <w:rPr>
          <w:rFonts w:ascii="Arial" w:hAnsi="Arial" w:eastAsia="宋体"/>
          <w:b w:val="0"/>
          <w:i w:val="0"/>
        </w:rPr>
        <w:t>检查原币与集团结果。</w:t>
      </w:r>
    </w:p>
    <w:tbl>
      <w:tblPr>
        <w:tblStyle w:val="TableGrid"/>
        <w:tblW w:type="auto" w:w="0"/>
        <w:jc w:val="center"/>
        <w:tblLayout w:type="fixed"/>
        <w:tblLook w:firstColumn="1" w:firstRow="1" w:lastColumn="0" w:lastRow="0" w:noHBand="0" w:noVBand="1" w:val="04A0"/>
      </w:tblPr>
      <w:tblGrid>
        <w:gridCol w:w="4478"/>
        <w:gridCol w:w="4928"/>
      </w:tblGrid>
      <w:tr>
        <w:trPr>
          <w:cantSplit/>
          <w:tblHeader w:val="true"/>
        </w:trPr>
        <w:tc>
          <w:tcPr>
            <w:tcW w:type="dxa" w:w="44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观察项</w:t>
            </w:r>
          </w:p>
        </w:tc>
        <w:tc>
          <w:tcPr>
            <w:tcW w:type="dxa" w:w="49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预期值</w:t>
            </w:r>
          </w:p>
        </w:tc>
      </w:tr>
      <w:tr>
        <w:trPr>
          <w:cantSplit/>
        </w:trPr>
        <w:tc>
          <w:tcPr>
            <w:tcW w:type="dxa" w:w="4478"/>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海外美元收入/利润/资产</w:t>
            </w:r>
          </w:p>
        </w:tc>
        <w:tc>
          <w:tcPr>
            <w:tcW w:type="dxa" w:w="4928"/>
            <w:vAlign w:val="top"/>
            <w:tcMar>
              <w:top w:w="65" w:type="dxa"/>
              <w:bottom w:w="65" w:type="dxa"/>
              <w:left w:w="65" w:type="dxa"/>
              <w:right w:w="65" w:type="dxa"/>
            </w:tcMar>
          </w:tcPr>
          <w:p>
            <w:pPr>
              <w:spacing w:before="30" w:after="30" w:line="252" w:lineRule="auto"/>
            </w:pPr>
            <w:r>
              <w:rPr>
                <w:rFonts w:ascii="Arial" w:hAnsi="Arial" w:eastAsia="宋体"/>
                <w:b w:val="0"/>
                <w:i w:val="0"/>
                <w:sz w:val="19"/>
              </w:rPr>
              <w:t>101 / 21 / 201</w:t>
            </w:r>
          </w:p>
        </w:tc>
      </w:tr>
      <w:tr>
        <w:trPr>
          <w:cantSplit/>
        </w:trPr>
        <w:tc>
          <w:tcPr>
            <w:tcW w:type="dxa" w:w="4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集团人民币收入</w:t>
            </w:r>
          </w:p>
        </w:tc>
        <w:tc>
          <w:tcPr>
            <w:tcW w:type="dxa" w:w="4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2657</w:t>
            </w:r>
          </w:p>
        </w:tc>
      </w:tr>
      <w:tr>
        <w:trPr>
          <w:cantSplit/>
        </w:trPr>
        <w:tc>
          <w:tcPr>
            <w:tcW w:type="dxa" w:w="4478"/>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集团人民币净利润</w:t>
            </w:r>
          </w:p>
        </w:tc>
        <w:tc>
          <w:tcPr>
            <w:tcW w:type="dxa" w:w="4928"/>
            <w:vAlign w:val="top"/>
            <w:tcMar>
              <w:top w:w="65" w:type="dxa"/>
              <w:bottom w:w="65" w:type="dxa"/>
              <w:left w:w="65" w:type="dxa"/>
              <w:right w:w="65" w:type="dxa"/>
            </w:tcMar>
          </w:tcPr>
          <w:p>
            <w:pPr>
              <w:spacing w:before="30" w:after="30" w:line="252" w:lineRule="auto"/>
            </w:pPr>
            <w:r>
              <w:rPr>
                <w:rFonts w:ascii="Arial" w:hAnsi="Arial" w:eastAsia="宋体"/>
                <w:b w:val="0"/>
                <w:i w:val="0"/>
                <w:sz w:val="19"/>
              </w:rPr>
              <w:t>777</w:t>
            </w:r>
          </w:p>
        </w:tc>
      </w:tr>
      <w:tr>
        <w:trPr>
          <w:cantSplit/>
        </w:trPr>
        <w:tc>
          <w:tcPr>
            <w:tcW w:type="dxa" w:w="4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集团人民币期末资产</w:t>
            </w:r>
          </w:p>
        </w:tc>
        <w:tc>
          <w:tcPr>
            <w:tcW w:type="dxa" w:w="4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2377.20</w:t>
            </w:r>
          </w:p>
        </w:tc>
      </w:tr>
      <w:tr>
        <w:trPr>
          <w:cantSplit/>
        </w:trPr>
        <w:tc>
          <w:tcPr>
            <w:tcW w:type="dxa" w:w="4478"/>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集团折算差额</w:t>
            </w:r>
          </w:p>
        </w:tc>
        <w:tc>
          <w:tcPr>
            <w:tcW w:type="dxa" w:w="4928"/>
            <w:vAlign w:val="top"/>
            <w:tcMar>
              <w:top w:w="65" w:type="dxa"/>
              <w:bottom w:w="65" w:type="dxa"/>
              <w:left w:w="65" w:type="dxa"/>
              <w:right w:w="65" w:type="dxa"/>
            </w:tcMar>
          </w:tcPr>
          <w:p>
            <w:pPr>
              <w:spacing w:before="30" w:after="30" w:line="252" w:lineRule="auto"/>
            </w:pPr>
            <w:r>
              <w:rPr>
                <w:rFonts w:ascii="Arial" w:hAnsi="Arial" w:eastAsia="宋体"/>
                <w:b w:val="0"/>
                <w:i w:val="0"/>
                <w:sz w:val="19"/>
              </w:rPr>
              <w:t>74.20</w:t>
            </w:r>
          </w:p>
        </w:tc>
      </w:tr>
      <w:tr>
        <w:trPr>
          <w:cantSplit/>
        </w:trPr>
        <w:tc>
          <w:tcPr>
            <w:tcW w:type="dxa" w:w="4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集团现金汇率影响</w:t>
            </w:r>
          </w:p>
        </w:tc>
        <w:tc>
          <w:tcPr>
            <w:tcW w:type="dxa" w:w="4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90.20</w:t>
            </w:r>
          </w:p>
        </w:tc>
      </w:tr>
    </w:tbl>
    <w:p>
      <w:pPr>
        <w:spacing w:after="40"/>
      </w:pPr>
    </w:p>
    <w:p>
      <w:r>
        <w:rPr>
          <w:rFonts w:ascii="Arial" w:hAnsi="Arial" w:eastAsia="宋体"/>
          <w:b w:val="0"/>
          <w:i w:val="0"/>
        </w:rPr>
        <w:t>新增1万美元收入按平均率7.0增加集团利润7万元；新增期末现金按期末率7.2增加资产7.2万元。0.2差异出现在相应折算与现金汇率口径，不能把全部变化都当成本期净利润。</w:t>
      </w:r>
    </w:p>
    <w:p>
      <w:pPr>
        <w:pStyle w:val="Heading2"/>
      </w:pPr>
      <w:bookmarkStart w:id="35" w:name="epm_35"/>
      <w:r>
        <w:rPr>
          <w:rFonts w:ascii="Arial" w:hAnsi="Arial" w:eastAsia="宋体"/>
          <w:b w:val="0"/>
          <w:i w:val="0"/>
        </w:rPr>
        <w:t>5.7 案例P05：鸿旺内部销售累计抵销100改为110</w:t>
      </w:r>
      <w:bookmarkEnd w:id="35"/>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全新账套。此例用于理解抵销金额与净利润，非模拟新增外部销售。</w:t>
      </w:r>
    </w:p>
    <w:p>
      <w:pPr>
        <w:ind w:left="283" w:hanging="198"/>
      </w:pPr>
      <w:r>
        <w:rPr>
          <w:rFonts w:ascii="Arial" w:hAnsi="Arial" w:eastAsia="宋体"/>
        </w:rPr>
        <w:t xml:space="preserve">1. </w:t>
      </w:r>
      <w:r>
        <w:rPr>
          <w:rFonts w:ascii="Arial" w:hAnsi="Arial" w:eastAsia="宋体"/>
          <w:b w:val="0"/>
          <w:i w:val="0"/>
        </w:rPr>
        <w:t>重开鸿旺及祖先，进入“内部往来核对”或“抵销与调整凭证”。</w:t>
      </w:r>
    </w:p>
    <w:p>
      <w:pPr>
        <w:ind w:left="283" w:hanging="198"/>
      </w:pPr>
      <w:r>
        <w:rPr>
          <w:rFonts w:ascii="Arial" w:hAnsi="Arial" w:eastAsia="宋体"/>
        </w:rPr>
        <w:t xml:space="preserve">2. </w:t>
      </w:r>
      <w:r>
        <w:rPr>
          <w:rFonts w:ascii="Arial" w:hAnsi="Arial" w:eastAsia="宋体"/>
          <w:b w:val="0"/>
          <w:i w:val="0"/>
        </w:rPr>
        <w:t>打开原鸿旺内部销售100的明细，记录其双方和逐月分配。当前列表没有“编辑已审批凭证”按钮，应使用“停用”填写更正原因，保留旧事项。</w:t>
      </w:r>
    </w:p>
    <w:p>
      <w:pPr>
        <w:ind w:left="283" w:hanging="198"/>
      </w:pPr>
      <w:r>
        <w:rPr>
          <w:rFonts w:ascii="Arial" w:hAnsi="Arial" w:eastAsia="宋体"/>
        </w:rPr>
        <w:t xml:space="preserve">3. </w:t>
      </w:r>
      <w:r>
        <w:rPr>
          <w:rFonts w:ascii="Arial" w:hAnsi="Arial" w:eastAsia="宋体"/>
          <w:b w:val="0"/>
          <w:i w:val="0"/>
        </w:rPr>
        <w:t xml:space="preserve">新增内部销售草稿，来源编号填写一个未使用的新值，例如 </w:t>
      </w:r>
      <w:r>
        <w:rPr>
          <w:rFonts w:ascii="Consolas" w:hAnsi="Consolas" w:eastAsia="宋体"/>
          <w:b w:val="0"/>
          <w:i w:val="0"/>
          <w:sz w:val="18"/>
        </w:rPr>
        <w:t>PRODUCT-P05-HW-110</w:t>
      </w:r>
      <w:r>
        <w:rPr>
          <w:rFonts w:ascii="Arial" w:hAnsi="Arial" w:eastAsia="宋体"/>
          <w:b w:val="0"/>
          <w:i w:val="0"/>
        </w:rPr>
        <w:t>；原来源编号即使停用也不能复用。双方仍是鸿旺单体和鸿旺猫爬架，所属层鸿旺、币种CNY、累计110。选择逐月发生，保留原1—8月金额，9月比原明细增加10，合计110。</w:t>
      </w:r>
    </w:p>
    <w:p>
      <w:pPr>
        <w:ind w:left="283" w:hanging="198"/>
      </w:pPr>
      <w:r>
        <w:rPr>
          <w:rFonts w:ascii="Arial" w:hAnsi="Arial" w:eastAsia="宋体"/>
        </w:rPr>
        <w:t xml:space="preserve">4. </w:t>
      </w:r>
      <w:r>
        <w:rPr>
          <w:rFonts w:ascii="Arial" w:hAnsi="Arial" w:eastAsia="宋体"/>
          <w:b w:val="0"/>
          <w:i w:val="0"/>
        </w:rPr>
        <w:t>保存草稿后先尝试计算，应因草稿未审批而拒绝。切负责人审批新事项，再计算并签核鸿旺；最后计算、签核集团。</w:t>
      </w:r>
    </w:p>
    <w:p>
      <w:pPr>
        <w:ind w:left="283" w:hanging="198"/>
      </w:pPr>
      <w:r>
        <w:rPr>
          <w:rFonts w:ascii="Arial" w:hAnsi="Arial" w:eastAsia="宋体"/>
        </w:rPr>
        <w:t xml:space="preserve">5. </w:t>
      </w:r>
      <w:r>
        <w:rPr>
          <w:rFonts w:ascii="Arial" w:hAnsi="Arial" w:eastAsia="宋体"/>
          <w:b w:val="0"/>
          <w:i w:val="0"/>
        </w:rPr>
        <w:t>比较旧结果和新结果，观察收入与成本同时减少10，净利润不变；集团只继承这次抵销一次。</w:t>
      </w:r>
    </w:p>
    <w:p>
      <w:r>
        <w:rPr>
          <w:rFonts w:ascii="Arial" w:hAnsi="Arial" w:eastAsia="宋体"/>
          <w:b w:val="0"/>
          <w:i w:val="0"/>
        </w:rPr>
      </w:r>
      <w:r>
        <w:rPr>
          <w:rFonts w:ascii="Arial" w:hAnsi="Arial" w:eastAsia="宋体"/>
          <w:b/>
          <w:i w:val="0"/>
        </w:rPr>
        <w:t>预期：</w:t>
      </w:r>
      <w:r>
        <w:rPr>
          <w:rFonts w:ascii="Arial" w:hAnsi="Arial" w:eastAsia="宋体"/>
          <w:b w:val="0"/>
          <w:i w:val="0"/>
        </w:rPr>
        <w:t xml:space="preserve"> 鸿旺收入1390，集团收入2640，集团净利润770。旧结果仍1400/2650/770，海外不相关原币结果保持。</w:t>
      </w:r>
    </w:p>
    <w:p>
      <w:r>
        <w:rPr>
          <w:rFonts w:ascii="Arial" w:hAnsi="Arial" w:eastAsia="宋体"/>
          <w:b w:val="0"/>
          <w:i w:val="0"/>
        </w:rPr>
        <w:t>若要新建事项，应使用唯一来源编号、正确双方和最低共同层。误建后通过“停用”填写原因处理，不能删除历史快照。内部销售金额按月分配时，累计金额须等于1至当前月金额之和。</w:t>
      </w:r>
    </w:p>
    <w:p>
      <w:pPr>
        <w:pStyle w:val="Heading2"/>
      </w:pPr>
      <w:bookmarkStart w:id="36" w:name="epm_36"/>
      <w:r>
        <w:rPr>
          <w:rFonts w:ascii="Arial" w:hAnsi="Arial" w:eastAsia="宋体"/>
          <w:b w:val="0"/>
          <w:i w:val="0"/>
        </w:rPr>
        <w:t>5.8 案例P06：把“其他境内公司”重构为新的小合并</w:t>
      </w:r>
      <w:bookmarkEnd w:id="36"/>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全新账套，展示真正动态配置，而不改变合并经济范围。</w:t>
      </w:r>
    </w:p>
    <w:p>
      <w:pPr>
        <w:ind w:left="283" w:hanging="198"/>
      </w:pPr>
      <w:r>
        <w:rPr>
          <w:rFonts w:ascii="Arial" w:hAnsi="Arial" w:eastAsia="宋体"/>
        </w:rPr>
        <w:t xml:space="preserve">1. </w:t>
      </w:r>
      <w:r>
        <w:rPr>
          <w:rFonts w:ascii="Arial" w:hAnsi="Arial" w:eastAsia="宋体"/>
          <w:b w:val="0"/>
          <w:i w:val="0"/>
        </w:rPr>
        <w:t xml:space="preserve">重开集团。在“集团组织与持股”新增管理合并单元，例如ID </w:t>
      </w:r>
      <w:r>
        <w:rPr>
          <w:rFonts w:ascii="Consolas" w:hAnsi="Consolas" w:eastAsia="宋体"/>
          <w:b w:val="0"/>
          <w:i w:val="0"/>
          <w:sz w:val="18"/>
        </w:rPr>
        <w:t>OTHER_GROUP</w:t>
      </w:r>
      <w:r>
        <w:rPr>
          <w:rFonts w:ascii="Arial" w:hAnsi="Arial" w:eastAsia="宋体"/>
          <w:b w:val="0"/>
          <w:i w:val="0"/>
        </w:rPr>
        <w:t>、名称“其他境内小合并”、报表币种CNY，成员为法人OTHER。</w:t>
      </w:r>
    </w:p>
    <w:p>
      <w:pPr>
        <w:ind w:left="283" w:hanging="198"/>
      </w:pPr>
      <w:r>
        <w:rPr>
          <w:rFonts w:ascii="Arial" w:hAnsi="Arial" w:eastAsia="宋体"/>
        </w:rPr>
        <w:t xml:space="preserve">2. </w:t>
      </w:r>
      <w:r>
        <w:rPr>
          <w:rFonts w:ascii="Arial" w:hAnsi="Arial" w:eastAsia="宋体"/>
          <w:b w:val="0"/>
          <w:i w:val="0"/>
        </w:rPr>
        <w:t>先进入新单元，计算本层并签核，应得到收入600、净利180。</w:t>
      </w:r>
    </w:p>
    <w:p>
      <w:pPr>
        <w:ind w:left="283" w:hanging="198"/>
      </w:pPr>
      <w:r>
        <w:rPr>
          <w:rFonts w:ascii="Arial" w:hAnsi="Arial" w:eastAsia="宋体"/>
        </w:rPr>
        <w:t xml:space="preserve">3. </w:t>
      </w:r>
      <w:r>
        <w:rPr>
          <w:rFonts w:ascii="Arial" w:hAnsi="Arial" w:eastAsia="宋体"/>
          <w:b w:val="0"/>
          <w:i w:val="0"/>
        </w:rPr>
        <w:t>回到集团维护成员，用新建的OTHER_GROUP子单元替换原OTHER单体；不能同时保留两者，否则重复纳入会被拒绝。</w:t>
      </w:r>
    </w:p>
    <w:p>
      <w:pPr>
        <w:ind w:left="283" w:hanging="198"/>
      </w:pPr>
      <w:r>
        <w:rPr>
          <w:rFonts w:ascii="Arial" w:hAnsi="Arial" w:eastAsia="宋体"/>
        </w:rPr>
        <w:t xml:space="preserve">4. </w:t>
      </w:r>
      <w:r>
        <w:rPr>
          <w:rFonts w:ascii="Arial" w:hAnsi="Arial" w:eastAsia="宋体"/>
          <w:b w:val="0"/>
          <w:i w:val="0"/>
        </w:rPr>
        <w:t>集团重新计算并签核，检查直接输入出现新小合并的结果ID/版本。</w:t>
      </w:r>
    </w:p>
    <w:p>
      <w:pPr>
        <w:ind w:left="283" w:hanging="198"/>
      </w:pPr>
      <w:r>
        <w:rPr>
          <w:rFonts w:ascii="Arial" w:hAnsi="Arial" w:eastAsia="宋体"/>
        </w:rPr>
        <w:t xml:space="preserve">5. </w:t>
      </w:r>
      <w:r>
        <w:rPr>
          <w:rFonts w:ascii="Arial" w:hAnsi="Arial" w:eastAsia="宋体"/>
          <w:b w:val="0"/>
          <w:i w:val="0"/>
        </w:rPr>
        <w:t>安全退出后重新运行EXE，确认新增单元、集团成员和结果仍保留。</w:t>
      </w:r>
    </w:p>
    <w:p>
      <w:r>
        <w:rPr>
          <w:rFonts w:ascii="Arial" w:hAnsi="Arial" w:eastAsia="宋体"/>
          <w:b w:val="0"/>
          <w:i w:val="0"/>
        </w:rPr>
      </w:r>
      <w:r>
        <w:rPr>
          <w:rFonts w:ascii="Arial" w:hAnsi="Arial" w:eastAsia="宋体"/>
          <w:b/>
          <w:i w:val="0"/>
        </w:rPr>
        <w:t>通过条件：</w:t>
      </w:r>
      <w:r>
        <w:rPr>
          <w:rFonts w:ascii="Arial" w:hAnsi="Arial" w:eastAsia="宋体"/>
          <w:b w:val="0"/>
          <w:i w:val="0"/>
        </w:rPr>
        <w:t xml:space="preserve"> 经济范围不变，集团收入仍2650、净利仍770；新增管理层真实保存并作为结果输入。管理重构不改变OTHER真实天元100%持股关系。</w:t>
      </w:r>
    </w:p>
    <w:p>
      <w:pPr>
        <w:pStyle w:val="Heading2"/>
      </w:pPr>
      <w:bookmarkStart w:id="37" w:name="epm_37"/>
      <w:r>
        <w:rPr>
          <w:rFonts w:ascii="Arial" w:hAnsi="Arial" w:eastAsia="宋体"/>
          <w:b w:val="0"/>
          <w:i w:val="0"/>
        </w:rPr>
        <w:t>5.9 案例P07：预算编制、量价、分摊、明细、锁定和独立调整</w:t>
      </w:r>
      <w:bookmarkEnd w:id="37"/>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全新集团人民币账套；以下预算步骤相互承接。本例中的预算数不改财务实际收入2650。</w:t>
      </w:r>
    </w:p>
    <w:p>
      <w:pPr>
        <w:ind w:left="283" w:hanging="198"/>
      </w:pPr>
      <w:r>
        <w:rPr>
          <w:rFonts w:ascii="Arial" w:hAnsi="Arial" w:eastAsia="宋体"/>
        </w:rPr>
        <w:t xml:space="preserve">1. </w:t>
      </w:r>
      <w:r>
        <w:rPr>
          <w:rFonts w:ascii="Arial" w:hAnsi="Arial" w:eastAsia="宋体"/>
          <w:b w:val="0"/>
          <w:i w:val="0"/>
        </w:rPr>
        <w:t>“预算周期与审批”复制V2为“产品案例-预算编制”，情景年度预算。初始四层3400/300/200/100，年度4000。</w:t>
      </w:r>
    </w:p>
    <w:p>
      <w:pPr>
        <w:ind w:left="283" w:hanging="198"/>
      </w:pPr>
      <w:r>
        <w:rPr>
          <w:rFonts w:ascii="Arial" w:hAnsi="Arial" w:eastAsia="宋体"/>
        </w:rPr>
        <w:t xml:space="preserve">2. </w:t>
      </w:r>
      <w:r>
        <w:rPr>
          <w:rFonts w:ascii="Arial" w:hAnsi="Arial" w:eastAsia="宋体"/>
          <w:b w:val="0"/>
          <w:i w:val="0"/>
        </w:rPr>
        <w:t>“预算编制与分摊”把董事会层由100改200，年度变4100。</w:t>
      </w:r>
    </w:p>
    <w:p>
      <w:pPr>
        <w:ind w:left="283" w:hanging="198"/>
      </w:pPr>
      <w:r>
        <w:rPr>
          <w:rFonts w:ascii="Arial" w:hAnsi="Arial" w:eastAsia="宋体"/>
        </w:rPr>
        <w:t xml:space="preserve">3. </w:t>
      </w:r>
      <w:r>
        <w:rPr>
          <w:rFonts w:ascii="Arial" w:hAnsi="Arial" w:eastAsia="宋体"/>
          <w:b w:val="0"/>
          <w:i w:val="0"/>
        </w:rPr>
        <w:t>“销售量价驱动”填年度销量1000、单价4.2万元，保存后年度为4200，前三层合计3900不变，董事会层变300。</w:t>
      </w:r>
    </w:p>
    <w:p>
      <w:pPr>
        <w:ind w:left="283" w:hanging="198"/>
      </w:pPr>
      <w:r>
        <w:rPr>
          <w:rFonts w:ascii="Arial" w:hAnsi="Arial" w:eastAsia="宋体"/>
        </w:rPr>
        <w:t xml:space="preserve">4. </w:t>
      </w:r>
      <w:r>
        <w:rPr>
          <w:rFonts w:ascii="Arial" w:hAnsi="Arial" w:eastAsia="宋体"/>
          <w:b w:val="0"/>
          <w:i w:val="0"/>
        </w:rPr>
        <w:t>选择季节性权重，预览十二期：1月210，2月210，3月294，4月336，5月336，6月378，7月378，8月378，9月420，10月420，11月420，12月420；总计4200。</w:t>
      </w:r>
    </w:p>
    <w:p>
      <w:pPr>
        <w:ind w:left="283" w:hanging="198"/>
      </w:pPr>
      <w:r>
        <w:rPr>
          <w:rFonts w:ascii="Arial" w:hAnsi="Arial" w:eastAsia="宋体"/>
        </w:rPr>
        <w:t xml:space="preserve">5. </w:t>
      </w:r>
      <w:r>
        <w:rPr>
          <w:rFonts w:ascii="Arial" w:hAnsi="Arial" w:eastAsia="宋体"/>
          <w:b w:val="0"/>
          <w:i w:val="0"/>
        </w:rPr>
        <w:t>切换生产预算，新增“猫爬架试制批次”，数量20、单价3万元、金额60万元。此为独立业务预算明细，不生成生产指令。</w:t>
      </w:r>
    </w:p>
    <w:p>
      <w:pPr>
        <w:ind w:left="283" w:hanging="198"/>
      </w:pPr>
      <w:r>
        <w:rPr>
          <w:rFonts w:ascii="Arial" w:hAnsi="Arial" w:eastAsia="宋体"/>
        </w:rPr>
        <w:t xml:space="preserve">6. </w:t>
      </w:r>
      <w:r>
        <w:rPr>
          <w:rFonts w:ascii="Arial" w:hAnsi="Arial" w:eastAsia="宋体"/>
          <w:b w:val="0"/>
          <w:i w:val="0"/>
        </w:rPr>
        <w:t>若把该金额填61，保存应被拒绝，原数据和revision不变。改回60再继续。</w:t>
      </w:r>
    </w:p>
    <w:p>
      <w:pPr>
        <w:ind w:left="283" w:hanging="198"/>
      </w:pPr>
      <w:r>
        <w:rPr>
          <w:rFonts w:ascii="Arial" w:hAnsi="Arial" w:eastAsia="宋体"/>
        </w:rPr>
        <w:t xml:space="preserve">7. </w:t>
      </w:r>
      <w:r>
        <w:rPr>
          <w:rFonts w:ascii="Arial" w:hAnsi="Arial" w:eastAsia="宋体"/>
          <w:b w:val="0"/>
          <w:i w:val="0"/>
        </w:rPr>
        <w:t>提交本版审批，负责人审核通过并锁定。锁定后直接改层金额应被拒绝。</w:t>
      </w:r>
    </w:p>
    <w:p>
      <w:pPr>
        <w:ind w:left="283" w:hanging="198"/>
      </w:pPr>
      <w:r>
        <w:rPr>
          <w:rFonts w:ascii="Arial" w:hAnsi="Arial" w:eastAsia="宋体"/>
        </w:rPr>
        <w:t xml:space="preserve">8. </w:t>
      </w:r>
      <w:r>
        <w:rPr>
          <w:rFonts w:ascii="Arial" w:hAnsi="Arial" w:eastAsia="宋体"/>
          <w:b w:val="0"/>
          <w:i w:val="0"/>
        </w:rPr>
        <w:t>发起预算调整：董事会层增量120，填写追加渠道目标原因。待审批时原版仍4200。</w:t>
      </w:r>
    </w:p>
    <w:p>
      <w:pPr>
        <w:ind w:left="283" w:hanging="198"/>
      </w:pPr>
      <w:r>
        <w:rPr>
          <w:rFonts w:ascii="Arial" w:hAnsi="Arial" w:eastAsia="宋体"/>
        </w:rPr>
        <w:t xml:space="preserve">9. </w:t>
      </w:r>
      <w:r>
        <w:rPr>
          <w:rFonts w:ascii="Arial" w:hAnsi="Arial" w:eastAsia="宋体"/>
          <w:b w:val="0"/>
          <w:i w:val="0"/>
        </w:rPr>
        <w:t>批准调整生成独立已审批新版本，年度4320，董事会层420，生产明细仍60。该独立账套下版本名称为“V4 调整批准”；若用户先创建了其他版本，序号会不同，应以实际新版本名为准。</w:t>
      </w:r>
    </w:p>
    <w:p>
      <w:pPr>
        <w:ind w:left="283" w:hanging="198"/>
      </w:pPr>
      <w:r>
        <w:rPr>
          <w:rFonts w:ascii="Arial" w:hAnsi="Arial" w:eastAsia="宋体"/>
        </w:rPr>
        <w:t xml:space="preserve">10. </w:t>
      </w:r>
      <w:r>
        <w:rPr>
          <w:rFonts w:ascii="Arial" w:hAnsi="Arial" w:eastAsia="宋体"/>
          <w:b w:val="0"/>
          <w:i w:val="0"/>
        </w:rPr>
        <w:t>切回“产品案例-预算编制”，仍为4200、已锁定，不能被新批准版覆盖。</w:t>
      </w:r>
    </w:p>
    <w:p>
      <w:pPr>
        <w:ind w:left="283" w:hanging="198"/>
      </w:pPr>
      <w:r>
        <w:rPr>
          <w:rFonts w:ascii="Arial" w:hAnsi="Arial" w:eastAsia="宋体"/>
        </w:rPr>
        <w:t xml:space="preserve">11. </w:t>
      </w:r>
      <w:r>
        <w:rPr>
          <w:rFonts w:ascii="Arial" w:hAnsi="Arial" w:eastAsia="宋体"/>
          <w:b w:val="0"/>
          <w:i w:val="0"/>
        </w:rPr>
        <w:t>在原版上“创建滚动预测版本”，完整复制4200及60明细到新情景草稿，可独立编制审批，不自动预测未来。</w:t>
      </w:r>
    </w:p>
    <w:tbl>
      <w:tblPr>
        <w:tblStyle w:val="TableGrid"/>
        <w:tblW w:type="auto" w:w="0"/>
        <w:jc w:val="center"/>
        <w:tblLayout w:type="fixed"/>
        <w:tblLook w:firstColumn="1" w:firstRow="1" w:lastColumn="0" w:lastRow="0" w:noHBand="0" w:noVBand="1" w:val="04A0"/>
      </w:tblPr>
      <w:tblGrid>
        <w:gridCol w:w="4337"/>
        <w:gridCol w:w="5069"/>
      </w:tblGrid>
      <w:tr>
        <w:trPr>
          <w:cantSplit/>
          <w:tblHeader w:val="true"/>
        </w:trPr>
        <w:tc>
          <w:tcPr>
            <w:tcW w:type="dxa" w:w="43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关键观察</w:t>
            </w:r>
          </w:p>
        </w:tc>
        <w:tc>
          <w:tcPr>
            <w:tcW w:type="dxa" w:w="50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预期</w:t>
            </w:r>
          </w:p>
        </w:tc>
      </w:tr>
      <w:tr>
        <w:trPr>
          <w:cantSplit/>
        </w:trPr>
        <w:tc>
          <w:tcPr>
            <w:tcW w:type="dxa" w:w="4337"/>
            <w:vAlign w:val="top"/>
            <w:tcMar>
              <w:top w:w="65" w:type="dxa"/>
              <w:bottom w:w="65" w:type="dxa"/>
              <w:left w:w="65" w:type="dxa"/>
              <w:right w:w="65" w:type="dxa"/>
            </w:tcMar>
          </w:tcPr>
          <w:p>
            <w:pPr>
              <w:spacing w:before="30" w:after="30" w:line="252" w:lineRule="auto"/>
            </w:pPr>
            <w:r>
              <w:rPr>
                <w:rFonts w:ascii="Arial" w:hAnsi="Arial" w:eastAsia="宋体"/>
                <w:b w:val="0"/>
                <w:i w:val="0"/>
                <w:sz w:val="19"/>
              </w:rPr>
              <w:t>年度初始 / 层调 / 量价</w:t>
            </w:r>
          </w:p>
        </w:tc>
        <w:tc>
          <w:tcPr>
            <w:tcW w:type="dxa" w:w="5069"/>
            <w:vAlign w:val="top"/>
            <w:tcMar>
              <w:top w:w="65" w:type="dxa"/>
              <w:bottom w:w="65" w:type="dxa"/>
              <w:left w:w="65" w:type="dxa"/>
              <w:right w:w="65" w:type="dxa"/>
            </w:tcMar>
          </w:tcPr>
          <w:p>
            <w:pPr>
              <w:spacing w:before="30" w:after="30" w:line="252" w:lineRule="auto"/>
            </w:pPr>
            <w:r>
              <w:rPr>
                <w:rFonts w:ascii="Arial" w:hAnsi="Arial" w:eastAsia="宋体"/>
                <w:b w:val="0"/>
                <w:i w:val="0"/>
                <w:sz w:val="19"/>
              </w:rPr>
              <w:t>4000 / 4100 / 4200</w:t>
            </w:r>
          </w:p>
        </w:tc>
      </w:tr>
      <w:tr>
        <w:trPr>
          <w:cantSplit/>
        </w:trPr>
        <w:tc>
          <w:tcPr>
            <w:tcW w:type="dxa" w:w="43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量价后的董事会层</w:t>
            </w:r>
          </w:p>
        </w:tc>
        <w:tc>
          <w:tcPr>
            <w:tcW w:type="dxa" w:w="50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300</w:t>
            </w:r>
          </w:p>
        </w:tc>
      </w:tr>
      <w:tr>
        <w:trPr>
          <w:cantSplit/>
        </w:trPr>
        <w:tc>
          <w:tcPr>
            <w:tcW w:type="dxa" w:w="4337"/>
            <w:vAlign w:val="top"/>
            <w:tcMar>
              <w:top w:w="65" w:type="dxa"/>
              <w:bottom w:w="65" w:type="dxa"/>
              <w:left w:w="65" w:type="dxa"/>
              <w:right w:w="65" w:type="dxa"/>
            </w:tcMar>
          </w:tcPr>
          <w:p>
            <w:pPr>
              <w:spacing w:before="30" w:after="30" w:line="252" w:lineRule="auto"/>
            </w:pPr>
            <w:r>
              <w:rPr>
                <w:rFonts w:ascii="Arial" w:hAnsi="Arial" w:eastAsia="宋体"/>
                <w:b w:val="0"/>
                <w:i w:val="0"/>
                <w:sz w:val="19"/>
              </w:rPr>
              <w:t>生产预算独立明细</w:t>
            </w:r>
          </w:p>
        </w:tc>
        <w:tc>
          <w:tcPr>
            <w:tcW w:type="dxa" w:w="5069"/>
            <w:vAlign w:val="top"/>
            <w:tcMar>
              <w:top w:w="65" w:type="dxa"/>
              <w:bottom w:w="65" w:type="dxa"/>
              <w:left w:w="65" w:type="dxa"/>
              <w:right w:w="65" w:type="dxa"/>
            </w:tcMar>
          </w:tcPr>
          <w:p>
            <w:pPr>
              <w:spacing w:before="30" w:after="30" w:line="252" w:lineRule="auto"/>
            </w:pPr>
            <w:r>
              <w:rPr>
                <w:rFonts w:ascii="Arial" w:hAnsi="Arial" w:eastAsia="宋体"/>
                <w:b w:val="0"/>
                <w:i w:val="0"/>
                <w:sz w:val="19"/>
              </w:rPr>
              <w:t>20×3＝60</w:t>
            </w:r>
          </w:p>
        </w:tc>
      </w:tr>
      <w:tr>
        <w:trPr>
          <w:cantSplit/>
        </w:trPr>
        <w:tc>
          <w:tcPr>
            <w:tcW w:type="dxa" w:w="43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调整待审批时原版</w:t>
            </w:r>
          </w:p>
        </w:tc>
        <w:tc>
          <w:tcPr>
            <w:tcW w:type="dxa" w:w="50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4200，不改变</w:t>
            </w:r>
          </w:p>
        </w:tc>
      </w:tr>
      <w:tr>
        <w:trPr>
          <w:cantSplit/>
        </w:trPr>
        <w:tc>
          <w:tcPr>
            <w:tcW w:type="dxa" w:w="4337"/>
            <w:vAlign w:val="top"/>
            <w:tcMar>
              <w:top w:w="65" w:type="dxa"/>
              <w:bottom w:w="65" w:type="dxa"/>
              <w:left w:w="65" w:type="dxa"/>
              <w:right w:w="65" w:type="dxa"/>
            </w:tcMar>
          </w:tcPr>
          <w:p>
            <w:pPr>
              <w:spacing w:before="30" w:after="30" w:line="252" w:lineRule="auto"/>
            </w:pPr>
            <w:r>
              <w:rPr>
                <w:rFonts w:ascii="Arial" w:hAnsi="Arial" w:eastAsia="宋体"/>
                <w:b w:val="0"/>
                <w:i w:val="0"/>
                <w:sz w:val="19"/>
              </w:rPr>
              <w:t>调整批准的新年度目标</w:t>
            </w:r>
          </w:p>
        </w:tc>
        <w:tc>
          <w:tcPr>
            <w:tcW w:type="dxa" w:w="5069"/>
            <w:vAlign w:val="top"/>
            <w:tcMar>
              <w:top w:w="65" w:type="dxa"/>
              <w:bottom w:w="65" w:type="dxa"/>
              <w:left w:w="65" w:type="dxa"/>
              <w:right w:w="65" w:type="dxa"/>
            </w:tcMar>
          </w:tcPr>
          <w:p>
            <w:pPr>
              <w:spacing w:before="30" w:after="30" w:line="252" w:lineRule="auto"/>
            </w:pPr>
            <w:r>
              <w:rPr>
                <w:rFonts w:ascii="Arial" w:hAnsi="Arial" w:eastAsia="宋体"/>
                <w:b w:val="0"/>
                <w:i w:val="0"/>
                <w:sz w:val="19"/>
              </w:rPr>
              <w:t>4320</w:t>
            </w:r>
          </w:p>
        </w:tc>
      </w:tr>
      <w:tr>
        <w:trPr>
          <w:cantSplit/>
        </w:trPr>
        <w:tc>
          <w:tcPr>
            <w:tcW w:type="dxa" w:w="43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切回原来源版</w:t>
            </w:r>
          </w:p>
        </w:tc>
        <w:tc>
          <w:tcPr>
            <w:tcW w:type="dxa" w:w="50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4200、已锁定</w:t>
            </w:r>
          </w:p>
        </w:tc>
      </w:tr>
      <w:tr>
        <w:trPr>
          <w:cantSplit/>
        </w:trPr>
        <w:tc>
          <w:tcPr>
            <w:tcW w:type="dxa" w:w="4337"/>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财务实际营业收入</w:t>
            </w:r>
          </w:p>
        </w:tc>
        <w:tc>
          <w:tcPr>
            <w:tcW w:type="dxa" w:w="5069"/>
            <w:vAlign w:val="top"/>
            <w:tcMar>
              <w:top w:w="65" w:type="dxa"/>
              <w:bottom w:w="65" w:type="dxa"/>
              <w:left w:w="65" w:type="dxa"/>
              <w:right w:w="65" w:type="dxa"/>
            </w:tcMar>
          </w:tcPr>
          <w:p>
            <w:pPr>
              <w:spacing w:before="30" w:after="30" w:line="252" w:lineRule="auto"/>
            </w:pPr>
            <w:r>
              <w:rPr>
                <w:rFonts w:ascii="Arial" w:hAnsi="Arial" w:eastAsia="宋体"/>
                <w:b w:val="0"/>
                <w:i w:val="0"/>
                <w:sz w:val="19"/>
              </w:rPr>
              <w:t>始终2650，预算操作不改写财务结果</w:t>
            </w:r>
          </w:p>
        </w:tc>
      </w:tr>
    </w:tbl>
    <w:p>
      <w:pPr>
        <w:spacing w:after="40"/>
      </w:pPr>
    </w:p>
    <w:p>
      <w:pPr>
        <w:pStyle w:val="Heading2"/>
      </w:pPr>
      <w:bookmarkStart w:id="38" w:name="epm_38"/>
      <w:r>
        <w:rPr>
          <w:rFonts w:ascii="Arial" w:hAnsi="Arial" w:eastAsia="宋体"/>
          <w:b w:val="0"/>
          <w:i w:val="0"/>
        </w:rPr>
        <w:t>5.10 案例P08：避免范围和币种混用</w:t>
      </w:r>
      <w:bookmarkEnd w:id="38"/>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全新账套，验证产品口径控制。</w:t>
      </w:r>
    </w:p>
    <w:p>
      <w:pPr>
        <w:ind w:left="283" w:hanging="198"/>
      </w:pPr>
      <w:r>
        <w:rPr>
          <w:rFonts w:ascii="Arial" w:hAnsi="Arial" w:eastAsia="宋体"/>
        </w:rPr>
        <w:t xml:space="preserve">1. </w:t>
      </w:r>
      <w:r>
        <w:rPr>
          <w:rFonts w:ascii="Arial" w:hAnsi="Arial" w:eastAsia="宋体"/>
          <w:b w:val="0"/>
          <w:i w:val="0"/>
        </w:rPr>
        <w:t>选择海外小合并，确认报表控件固定USD，收入100、净利20以万美元显示。</w:t>
      </w:r>
    </w:p>
    <w:p>
      <w:pPr>
        <w:ind w:left="283" w:hanging="198"/>
      </w:pPr>
      <w:r>
        <w:rPr>
          <w:rFonts w:ascii="Arial" w:hAnsi="Arial" w:eastAsia="宋体"/>
        </w:rPr>
        <w:t xml:space="preserve">2. </w:t>
      </w:r>
      <w:r>
        <w:rPr>
          <w:rFonts w:ascii="Arial" w:hAnsi="Arial" w:eastAsia="宋体"/>
          <w:b w:val="0"/>
          <w:i w:val="0"/>
        </w:rPr>
        <w:t>进入任一预算菜单，看到集团人民币口径提示。通过“切换集团人民币并继续”返回对应预算流程。</w:t>
      </w:r>
    </w:p>
    <w:p>
      <w:pPr>
        <w:ind w:left="283" w:hanging="198"/>
      </w:pPr>
      <w:r>
        <w:rPr>
          <w:rFonts w:ascii="Arial" w:hAnsi="Arial" w:eastAsia="宋体"/>
        </w:rPr>
        <w:t xml:space="preserve">3. </w:t>
      </w:r>
      <w:r>
        <w:rPr>
          <w:rFonts w:ascii="Arial" w:hAnsi="Arial" w:eastAsia="宋体"/>
          <w:b w:val="0"/>
          <w:i w:val="0"/>
        </w:rPr>
        <w:t>进入海外经营分析，可看美元实际与本层输入，但不展示集团人民币预算的虚假差异。</w:t>
      </w:r>
    </w:p>
    <w:p>
      <w:pPr>
        <w:ind w:left="283" w:hanging="198"/>
      </w:pPr>
      <w:r>
        <w:rPr>
          <w:rFonts w:ascii="Arial" w:hAnsi="Arial" w:eastAsia="宋体"/>
        </w:rPr>
        <w:t xml:space="preserve">4. </w:t>
      </w:r>
      <w:r>
        <w:rPr>
          <w:rFonts w:ascii="Arial" w:hAnsi="Arial" w:eastAsia="宋体"/>
          <w:b w:val="0"/>
          <w:i w:val="0"/>
        </w:rPr>
        <w:t>选择鸿旺，虽然也是CNY，其范围仍不同于集团，因此也不直接做集团预算比较。</w:t>
      </w:r>
    </w:p>
    <w:p>
      <w:pPr>
        <w:ind w:left="283" w:hanging="198"/>
      </w:pPr>
      <w:r>
        <w:rPr>
          <w:rFonts w:ascii="Arial" w:hAnsi="Arial" w:eastAsia="宋体"/>
        </w:rPr>
        <w:t xml:space="preserve">5. </w:t>
      </w:r>
      <w:r>
        <w:rPr>
          <w:rFonts w:ascii="Arial" w:hAnsi="Arial" w:eastAsia="宋体"/>
          <w:b w:val="0"/>
          <w:i w:val="0"/>
        </w:rPr>
        <w:t>选择集团人民币，经营分析才启用集团同范围预实比较。</w:t>
      </w:r>
    </w:p>
    <w:p>
      <w:r>
        <w:rPr>
          <w:rFonts w:ascii="Arial" w:hAnsi="Arial" w:eastAsia="宋体"/>
          <w:b w:val="0"/>
          <w:i w:val="0"/>
        </w:rPr>
      </w:r>
      <w:r>
        <w:rPr>
          <w:rFonts w:ascii="Arial" w:hAnsi="Arial" w:eastAsia="宋体"/>
          <w:b/>
          <w:i w:val="0"/>
        </w:rPr>
        <w:t>通过条件：</w:t>
      </w:r>
      <w:r>
        <w:rPr>
          <w:rFonts w:ascii="Arial" w:hAnsi="Arial" w:eastAsia="宋体"/>
          <w:b w:val="0"/>
          <w:i w:val="0"/>
        </w:rPr>
        <w:t xml:space="preserve"> 错误指定海外USD范围为CNY的接口请求被拒绝；不能仅改变金额单位就把USD或小范围实绩与集团预算比较。</w:t>
      </w:r>
    </w:p>
    <w:p>
      <w:pPr>
        <w:pStyle w:val="Heading2"/>
      </w:pPr>
      <w:bookmarkStart w:id="39" w:name="epm_39"/>
      <w:r>
        <w:rPr>
          <w:rFonts w:ascii="Arial" w:hAnsi="Arial" w:eastAsia="宋体"/>
          <w:b w:val="0"/>
          <w:i w:val="0"/>
        </w:rPr>
        <w:t>5.11 案例P09：只读、整批导入失败、版本冲突与审计</w:t>
      </w:r>
      <w:bookmarkEnd w:id="39"/>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全新账套；本例以拒绝行为与历史记录为重点。</w:t>
      </w:r>
    </w:p>
    <w:p>
      <w:pPr>
        <w:ind w:left="283" w:hanging="198"/>
      </w:pPr>
      <w:r>
        <w:rPr>
          <w:rFonts w:ascii="Arial" w:hAnsi="Arial" w:eastAsia="宋体"/>
        </w:rPr>
        <w:t xml:space="preserve">1. </w:t>
      </w:r>
      <w:r>
        <w:rPr>
          <w:rFonts w:ascii="Arial" w:hAnsi="Arial" w:eastAsia="宋体"/>
          <w:b w:val="0"/>
          <w:i w:val="0"/>
        </w:rPr>
        <w:t>切换审计只读，查看报表和来源；尝试重开或保存时服务端拒绝，不能形成假成功。</w:t>
      </w:r>
    </w:p>
    <w:p>
      <w:pPr>
        <w:ind w:left="283" w:hanging="198"/>
      </w:pPr>
      <w:r>
        <w:rPr>
          <w:rFonts w:ascii="Arial" w:hAnsi="Arial" w:eastAsia="宋体"/>
        </w:rPr>
        <w:t xml:space="preserve">2. </w:t>
      </w:r>
      <w:r>
        <w:rPr>
          <w:rFonts w:ascii="Arial" w:hAnsi="Arial" w:eastAsia="宋体"/>
          <w:b w:val="0"/>
          <w:i w:val="0"/>
        </w:rPr>
        <w:t>切回负责人并重开鸿旺。下载猫爬架完整源，先正常导入一次，记录源版本与业务版本。</w:t>
      </w:r>
    </w:p>
    <w:p>
      <w:pPr>
        <w:ind w:left="283" w:hanging="198"/>
      </w:pPr>
      <w:r>
        <w:rPr>
          <w:rFonts w:ascii="Arial" w:hAnsi="Arial" w:eastAsia="宋体"/>
        </w:rPr>
        <w:t xml:space="preserve">3. </w:t>
      </w:r>
      <w:r>
        <w:rPr>
          <w:rFonts w:ascii="Arial" w:hAnsi="Arial" w:eastAsia="宋体"/>
          <w:b w:val="0"/>
          <w:i w:val="0"/>
        </w:rPr>
        <w:t>只改CSV期末现金一项加1，导致三表不平衡，再导入。预期整批拒绝，源版本和业务版本不变。</w:t>
      </w:r>
    </w:p>
    <w:p>
      <w:pPr>
        <w:ind w:left="283" w:hanging="198"/>
      </w:pPr>
      <w:r>
        <w:rPr>
          <w:rFonts w:ascii="Arial" w:hAnsi="Arial" w:eastAsia="宋体"/>
        </w:rPr>
        <w:t xml:space="preserve">4. </w:t>
      </w:r>
      <w:r>
        <w:rPr>
          <w:rFonts w:ascii="Arial" w:hAnsi="Arial" w:eastAsia="宋体"/>
          <w:b w:val="0"/>
          <w:i w:val="0"/>
        </w:rPr>
        <w:t>错期间、未知字段、重复区/项目/月等也应整批拒绝。</w:t>
      </w:r>
    </w:p>
    <w:p>
      <w:pPr>
        <w:ind w:left="283" w:hanging="198"/>
      </w:pPr>
      <w:r>
        <w:rPr>
          <w:rFonts w:ascii="Arial" w:hAnsi="Arial" w:eastAsia="宋体"/>
        </w:rPr>
        <w:t xml:space="preserve">5. </w:t>
      </w:r>
      <w:r>
        <w:rPr>
          <w:rFonts w:ascii="Arial" w:hAnsi="Arial" w:eastAsia="宋体"/>
          <w:b w:val="0"/>
          <w:i w:val="0"/>
        </w:rPr>
        <w:t>两个窗口先后保存时，后提交的旧revision不能覆盖新数据，应提示已由其他操作更新，重新读取核对后保存。</w:t>
      </w:r>
    </w:p>
    <w:p>
      <w:pPr>
        <w:ind w:left="283" w:hanging="198"/>
      </w:pPr>
      <w:r>
        <w:rPr>
          <w:rFonts w:ascii="Arial" w:hAnsi="Arial" w:eastAsia="宋体"/>
        </w:rPr>
        <w:t xml:space="preserve">6. </w:t>
      </w:r>
      <w:r>
        <w:rPr>
          <w:rFonts w:ascii="Arial" w:hAnsi="Arial" w:eastAsia="宋体"/>
          <w:b w:val="0"/>
          <w:i w:val="0"/>
        </w:rPr>
        <w:t>在审计轨迹查看成功保存的角色、动作与对象。导出轨迹用于评审；不能把最近200条页面记录视为无限、不可篡改的生产审计档案。</w:t>
      </w:r>
    </w:p>
    <w:p>
      <w:pPr>
        <w:pStyle w:val="Heading2"/>
      </w:pPr>
      <w:bookmarkStart w:id="40" w:name="epm_40"/>
      <w:r>
        <w:rPr>
          <w:rFonts w:ascii="Arial" w:hAnsi="Arial" w:eastAsia="宋体"/>
          <w:b w:val="0"/>
          <w:i w:val="0"/>
        </w:rPr>
        <w:t>5.12 案例P10：下级失效时禁止先算上级</w:t>
      </w:r>
      <w:bookmarkEnd w:id="40"/>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全新账套，强调审批依赖而不改金额。</w:t>
      </w:r>
    </w:p>
    <w:p>
      <w:pPr>
        <w:ind w:left="283" w:hanging="198"/>
      </w:pPr>
      <w:r>
        <w:rPr>
          <w:rFonts w:ascii="Arial" w:hAnsi="Arial" w:eastAsia="宋体"/>
        </w:rPr>
        <w:t xml:space="preserve">1. </w:t>
      </w:r>
      <w:r>
        <w:rPr>
          <w:rFonts w:ascii="Arial" w:hAnsi="Arial" w:eastAsia="宋体"/>
          <w:b w:val="0"/>
          <w:i w:val="0"/>
        </w:rPr>
        <w:t>记录初始集团结果ID，重开鸿旺及祖先。</w:t>
      </w:r>
    </w:p>
    <w:p>
      <w:pPr>
        <w:ind w:left="283" w:hanging="198"/>
      </w:pPr>
      <w:r>
        <w:rPr>
          <w:rFonts w:ascii="Arial" w:hAnsi="Arial" w:eastAsia="宋体"/>
        </w:rPr>
        <w:t xml:space="preserve">2. </w:t>
      </w:r>
      <w:r>
        <w:rPr>
          <w:rFonts w:ascii="Arial" w:hAnsi="Arial" w:eastAsia="宋体"/>
          <w:b w:val="0"/>
          <w:i w:val="0"/>
        </w:rPr>
        <w:t>直接切集团点击计算，应因鸿旺没有当前有效已签核结果而拒绝；拒绝不增加业务revision。</w:t>
      </w:r>
    </w:p>
    <w:p>
      <w:pPr>
        <w:ind w:left="283" w:hanging="198"/>
      </w:pPr>
      <w:r>
        <w:rPr>
          <w:rFonts w:ascii="Arial" w:hAnsi="Arial" w:eastAsia="宋体"/>
        </w:rPr>
        <w:t xml:space="preserve">3. </w:t>
      </w:r>
      <w:r>
        <w:rPr>
          <w:rFonts w:ascii="Arial" w:hAnsi="Arial" w:eastAsia="宋体"/>
          <w:b w:val="0"/>
          <w:i w:val="0"/>
        </w:rPr>
        <w:t>查看海外兄弟结果，仍是原有效版本。</w:t>
      </w:r>
    </w:p>
    <w:p>
      <w:pPr>
        <w:ind w:left="283" w:hanging="198"/>
      </w:pPr>
      <w:r>
        <w:rPr>
          <w:rFonts w:ascii="Arial" w:hAnsi="Arial" w:eastAsia="宋体"/>
        </w:rPr>
        <w:t xml:space="preserve">4. </w:t>
      </w:r>
      <w:r>
        <w:rPr>
          <w:rFonts w:ascii="Arial" w:hAnsi="Arial" w:eastAsia="宋体"/>
          <w:b w:val="0"/>
          <w:i w:val="0"/>
        </w:rPr>
        <w:t>回鸿旺计算并签核，再切集团计算并签核。</w:t>
      </w:r>
    </w:p>
    <w:p>
      <w:pPr>
        <w:ind w:left="283" w:hanging="198"/>
      </w:pPr>
      <w:r>
        <w:rPr>
          <w:rFonts w:ascii="Arial" w:hAnsi="Arial" w:eastAsia="宋体"/>
        </w:rPr>
        <w:t xml:space="preserve">5. </w:t>
      </w:r>
      <w:r>
        <w:rPr>
          <w:rFonts w:ascii="Arial" w:hAnsi="Arial" w:eastAsia="宋体"/>
          <w:b w:val="0"/>
          <w:i w:val="0"/>
        </w:rPr>
        <w:t>新集团输入必须引用新的鸿旺结果ID，旧集团快照金额保持原值。</w:t>
      </w:r>
    </w:p>
    <w:p>
      <w:r>
        <w:rPr>
          <w:rFonts w:ascii="Arial" w:hAnsi="Arial" w:eastAsia="宋体"/>
          <w:b w:val="0"/>
          <w:i w:val="0"/>
        </w:rPr>
      </w:r>
      <w:r>
        <w:rPr>
          <w:rFonts w:ascii="Arial" w:hAnsi="Arial" w:eastAsia="宋体"/>
          <w:b/>
          <w:i w:val="0"/>
        </w:rPr>
        <w:t>通过条件：</w:t>
      </w:r>
      <w:r>
        <w:rPr>
          <w:rFonts w:ascii="Arial" w:hAnsi="Arial" w:eastAsia="宋体"/>
          <w:b w:val="0"/>
          <w:i w:val="0"/>
        </w:rPr>
        <w:t xml:space="preserve"> 集团无法绕过下级审批；重新计算虽然金额相同，结果版本、输入引用和审批记录仍有明确变化。</w:t>
      </w:r>
    </w:p>
    <w:p>
      <w:pPr>
        <w:pStyle w:val="Heading2"/>
      </w:pPr>
      <w:bookmarkStart w:id="41" w:name="epm_41"/>
      <w:r>
        <w:rPr>
          <w:rFonts w:ascii="Arial" w:hAnsi="Arial" w:eastAsia="宋体"/>
          <w:b w:val="0"/>
          <w:i w:val="0"/>
        </w:rPr>
        <w:t>5.13 案例P11：错误树、重复交易和错误层拒绝</w:t>
      </w:r>
      <w:bookmarkEnd w:id="41"/>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全新账套，负责人先重开有关范围。</w:t>
      </w:r>
    </w:p>
    <w:p>
      <w:r>
        <w:rPr>
          <w:rFonts w:ascii="Arial" w:hAnsi="Arial" w:eastAsia="宋体"/>
          <w:b w:val="0"/>
          <w:i w:val="0"/>
        </w:rPr>
        <w:t>依次尝试在集团已含鸿旺子结果时再次加入HW_CAT单体、把集团加入自身下级、添加未知成员、重复直接成员，保存应拒绝且原配置不变。再尝试把HW与OTHER之间的内部销售放入HW_GROUP，系统要求在集团最低共同层处理。再次使用已存在的交易sourceId新建抵销也应拒绝，避免二次扣减。</w:t>
      </w:r>
    </w:p>
    <w:p>
      <w:r>
        <w:rPr>
          <w:rFonts w:ascii="Arial" w:hAnsi="Arial" w:eastAsia="宋体"/>
          <w:b w:val="0"/>
          <w:i w:val="0"/>
        </w:rPr>
        <w:t>拒绝提示反映业务规则，操作者应修正配置而不是关闭校验或用别的来源编号绕过同一笔真实交易。本例没有模拟所有生产内部交易政策，只验证本版明确支持的全资普通内部销售与期初投资抵销边界。</w:t>
      </w:r>
    </w:p>
    <w:p>
      <w:pPr>
        <w:pStyle w:val="Heading2"/>
      </w:pPr>
      <w:bookmarkStart w:id="42" w:name="epm_42"/>
      <w:r>
        <w:rPr>
          <w:rFonts w:ascii="Arial" w:hAnsi="Arial" w:eastAsia="宋体"/>
          <w:b w:val="0"/>
          <w:i w:val="0"/>
        </w:rPr>
        <w:t>5.14 案例P12：实际NC48列文件→单体三表→自动抵销→小合并和大合并</w:t>
      </w:r>
      <w:bookmarkEnd w:id="42"/>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使用ERP-20261021全新数据目录、集团财务负责人角色、2026年09期。本例不使用“载入鸿旺完整凭证样例”，而是真实读取随文档提供的NC48列CSV文件。所有数据均为独立虚构样例。</w:t>
      </w:r>
    </w:p>
    <w:p>
      <w:pPr>
        <w:pStyle w:val="Heading3"/>
      </w:pPr>
      <w:bookmarkStart w:id="43" w:name="epm_43"/>
      <w:r>
        <w:rPr>
          <w:rFonts w:ascii="Arial" w:hAnsi="Arial" w:eastAsia="宋体"/>
          <w:b w:val="0"/>
          <w:i w:val="0"/>
        </w:rPr>
        <w:t>P12-A：拿到并核对完整数据清单</w:t>
      </w:r>
      <w:bookmarkEnd w:id="43"/>
    </w:p>
    <w:p>
      <w:r>
        <w:rPr>
          <w:rFonts w:ascii="Arial" w:hAnsi="Arial" w:eastAsia="宋体"/>
          <w:b w:val="0"/>
          <w:i w:val="0"/>
        </w:rPr>
        <w:t xml:space="preserve">配套目录为 </w:t>
      </w:r>
      <w:r>
        <w:rPr>
          <w:rFonts w:ascii="Consolas" w:hAnsi="Consolas" w:eastAsia="宋体"/>
          <w:b w:val="0"/>
          <w:i w:val="0"/>
          <w:sz w:val="18"/>
        </w:rPr>
        <w:t>assets/产品案例NC65</w:t>
      </w:r>
      <w:r>
        <w:rPr>
          <w:rFonts w:ascii="Arial" w:hAnsi="Arial" w:eastAsia="宋体"/>
          <w:b w:val="0"/>
          <w:i w:val="0"/>
        </w:rPr>
        <w:t>，先阅读该目录“先读我_案例数据.md”。本例共需三份导入文件和一份配置参考：</w:t>
      </w:r>
    </w:p>
    <w:tbl>
      <w:tblPr>
        <w:tblStyle w:val="TableGrid"/>
        <w:tblW w:type="auto" w:w="0"/>
        <w:jc w:val="center"/>
        <w:tblLayout w:type="fixed"/>
        <w:tblLook w:firstColumn="1" w:firstRow="1" w:lastColumn="0" w:lastRow="0" w:noHBand="0" w:noVBand="1" w:val="04A0"/>
      </w:tblPr>
      <w:tblGrid>
        <w:gridCol w:w="2694"/>
        <w:gridCol w:w="3148"/>
        <w:gridCol w:w="3565"/>
      </w:tblGrid>
      <w:tr>
        <w:trPr>
          <w:cantSplit/>
          <w:tblHeader w:val="true"/>
        </w:trPr>
        <w:tc>
          <w:tcPr>
            <w:tcW w:type="dxa" w:w="26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文件</w:t>
            </w:r>
          </w:p>
        </w:tc>
        <w:tc>
          <w:tcPr>
            <w:tcW w:type="dxa" w:w="31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内容与行数</w:t>
            </w:r>
          </w:p>
        </w:tc>
        <w:tc>
          <w:tcPr>
            <w:tcW w:type="dxa" w:w="35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导入入口</w:t>
            </w:r>
          </w:p>
        </w:tc>
      </w:tr>
      <w:tr>
        <w:trPr>
          <w:cantSplit/>
        </w:trPr>
        <w:tc>
          <w:tcPr>
            <w:tcW w:type="dxa" w:w="2694"/>
            <w:vAlign w:val="top"/>
            <w:tcMar>
              <w:top w:w="65" w:type="dxa"/>
              <w:bottom w:w="65" w:type="dxa"/>
              <w:left w:w="65" w:type="dxa"/>
              <w:right w:w="65" w:type="dxa"/>
            </w:tcMar>
          </w:tcPr>
          <w:p>
            <w:pPr>
              <w:spacing w:before="30" w:after="30" w:line="252" w:lineRule="auto"/>
            </w:pPr>
            <w:r>
              <w:rPr>
                <w:rFonts w:ascii="Arial" w:hAnsi="Arial" w:eastAsia="宋体"/>
                <w:b w:val="0"/>
                <w:i w:val="0"/>
                <w:sz w:val="19"/>
              </w:rPr>
              <w:t>01_科目映射.csv</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7法人×12科目，共84条映射</w:t>
            </w:r>
          </w:p>
        </w:tc>
        <w:tc>
          <w:tcPr>
            <w:tcW w:type="dxa" w:w="3565"/>
            <w:vAlign w:val="top"/>
            <w:tcMar>
              <w:top w:w="65" w:type="dxa"/>
              <w:bottom w:w="65" w:type="dxa"/>
              <w:left w:w="65" w:type="dxa"/>
              <w:right w:w="65" w:type="dxa"/>
            </w:tcMar>
          </w:tcPr>
          <w:p>
            <w:pPr>
              <w:spacing w:before="30" w:after="30" w:line="252" w:lineRule="auto"/>
            </w:pPr>
            <w:r>
              <w:rPr>
                <w:rFonts w:ascii="Arial" w:hAnsi="Arial" w:eastAsia="宋体"/>
                <w:b w:val="0"/>
                <w:i w:val="0"/>
                <w:sz w:val="19"/>
              </w:rPr>
              <w:t>ERP凭证与期初→科目字段映射→选择文件并导入</w:t>
            </w:r>
          </w:p>
        </w:tc>
      </w:tr>
      <w:tr>
        <w:trPr>
          <w:cantSplit/>
        </w:trPr>
        <w:tc>
          <w:tcPr>
            <w:tcW w:type="dxa" w:w="26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02_2026年初余额.csv</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7家各2条，共14条平衡期初；金额单位元</w:t>
            </w:r>
          </w:p>
        </w:tc>
        <w:tc>
          <w:tcPr>
            <w:tcW w:type="dxa" w:w="35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ERP凭证与期初→年初科目余额→选择文件并导入</w:t>
            </w:r>
          </w:p>
        </w:tc>
      </w:tr>
      <w:tr>
        <w:trPr>
          <w:cantSplit/>
        </w:trPr>
        <w:tc>
          <w:tcPr>
            <w:tcW w:type="dxa" w:w="2694"/>
            <w:vAlign w:val="top"/>
            <w:tcMar>
              <w:top w:w="65" w:type="dxa"/>
              <w:bottom w:w="65" w:type="dxa"/>
              <w:left w:w="65" w:type="dxa"/>
              <w:right w:w="65" w:type="dxa"/>
            </w:tcMar>
          </w:tcPr>
          <w:p>
            <w:pPr>
              <w:spacing w:before="30" w:after="30" w:line="252" w:lineRule="auto"/>
            </w:pPr>
            <w:r>
              <w:rPr>
                <w:rFonts w:ascii="Arial" w:hAnsi="Arial" w:eastAsia="宋体"/>
                <w:b w:val="0"/>
                <w:i w:val="0"/>
                <w:sz w:val="19"/>
              </w:rPr>
              <w:t>03_NC65_48列完整凭证.csv</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用户实际48列表头结构，24张借贷平衡凭证、48条分录</w:t>
            </w:r>
          </w:p>
        </w:tc>
        <w:tc>
          <w:tcPr>
            <w:tcW w:type="dxa" w:w="3565"/>
            <w:vAlign w:val="top"/>
            <w:tcMar>
              <w:top w:w="65" w:type="dxa"/>
              <w:bottom w:w="65" w:type="dxa"/>
              <w:left w:w="65" w:type="dxa"/>
              <w:right w:w="65" w:type="dxa"/>
            </w:tcMar>
          </w:tcPr>
          <w:p>
            <w:pPr>
              <w:spacing w:before="30" w:after="30" w:line="252" w:lineRule="auto"/>
            </w:pPr>
            <w:r>
              <w:rPr>
                <w:rFonts w:ascii="Arial" w:hAnsi="Arial" w:eastAsia="宋体"/>
                <w:b w:val="0"/>
                <w:i w:val="0"/>
                <w:sz w:val="19"/>
              </w:rPr>
              <w:t>NC6.5导出适配→导入NC6.5凭证</w:t>
            </w:r>
          </w:p>
        </w:tc>
      </w:tr>
      <w:tr>
        <w:trPr>
          <w:cantSplit/>
        </w:trPr>
        <w:tc>
          <w:tcPr>
            <w:tcW w:type="dxa" w:w="26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04_NC65适配配置_仅本案例.json</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账簿/本位币、客商及关联号解释参考，不是企业真实编码</w:t>
            </w:r>
          </w:p>
        </w:tc>
        <w:tc>
          <w:tcPr>
            <w:tcW w:type="dxa" w:w="35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按下一步在“维护NC6.5适配”表单填写，不把此JSON当凭证上传</w:t>
            </w:r>
          </w:p>
        </w:tc>
      </w:tr>
    </w:tbl>
    <w:p>
      <w:pPr>
        <w:spacing w:after="40"/>
      </w:pPr>
    </w:p>
    <w:p>
      <w:r>
        <w:rPr>
          <w:rFonts w:ascii="Arial" w:hAnsi="Arial" w:eastAsia="宋体"/>
          <w:b w:val="0"/>
          <w:i w:val="0"/>
        </w:rPr>
        <w:t>本例期初内部应收/应付余额均为零。企业实际账若期初有内部余额，需要按科目、内部对方和共同交易关联号分拆，期初借贷合计仍需逐法人平衡；不能用总账“应收100/应付100”在缺对方明细时强制抵销。天元期初为长期股权投资950和资本950，其他CNY法人期初现金/资本分别为HW100、CAT50、ELEC50、OTHER100；OS_A/OS_B各期初现金/资本50万美元。</w:t>
      </w:r>
    </w:p>
    <w:p>
      <w:pPr>
        <w:pStyle w:val="Heading3"/>
      </w:pPr>
      <w:bookmarkStart w:id="44" w:name="epm_44"/>
      <w:r>
        <w:rPr>
          <w:rFonts w:ascii="Arial" w:hAnsi="Arial" w:eastAsia="宋体"/>
          <w:b w:val="0"/>
          <w:i w:val="0"/>
        </w:rPr>
        <w:t>P12-B：重开及适配配置</w:t>
      </w:r>
      <w:bookmarkEnd w:id="44"/>
    </w:p>
    <w:p>
      <w:pPr>
        <w:ind w:left="283" w:hanging="198"/>
      </w:pPr>
      <w:r>
        <w:rPr>
          <w:rFonts w:ascii="Arial" w:hAnsi="Arial" w:eastAsia="宋体"/>
        </w:rPr>
        <w:t xml:space="preserve">1. </w:t>
      </w:r>
      <w:r>
        <w:rPr>
          <w:rFonts w:ascii="Arial" w:hAnsi="Arial" w:eastAsia="宋体"/>
          <w:b w:val="0"/>
          <w:i w:val="0"/>
        </w:rPr>
        <w:t>在“分级合并与结果”依次重开鸿旺、海外及集团，填本次NC凭证全链测试原因。操作将保留原初始化结果并解锁相关范围。</w:t>
      </w:r>
    </w:p>
    <w:p>
      <w:pPr>
        <w:ind w:left="283" w:hanging="198"/>
      </w:pPr>
      <w:r>
        <w:rPr>
          <w:rFonts w:ascii="Arial" w:hAnsi="Arial" w:eastAsia="宋体"/>
        </w:rPr>
        <w:t xml:space="preserve">2. </w:t>
      </w:r>
      <w:r>
        <w:rPr>
          <w:rFonts w:ascii="Arial" w:hAnsi="Arial" w:eastAsia="宋体"/>
          <w:b w:val="0"/>
          <w:i w:val="0"/>
        </w:rPr>
        <w:t>进入“ERP凭证与期初”→“维护NC6.5适配”。按下表增加账簿映射，必须明确本位币。</w:t>
      </w:r>
    </w:p>
    <w:tbl>
      <w:tblPr>
        <w:tblStyle w:val="TableGrid"/>
        <w:tblW w:type="auto" w:w="0"/>
        <w:jc w:val="center"/>
        <w:tblLayout w:type="fixed"/>
        <w:tblLook w:firstColumn="1" w:firstRow="1" w:lastColumn="0" w:lastRow="0" w:noHBand="0" w:noVBand="1" w:val="04A0"/>
      </w:tblPr>
      <w:tblGrid>
        <w:gridCol w:w="2627"/>
        <w:gridCol w:w="1881"/>
        <w:gridCol w:w="3140"/>
        <w:gridCol w:w="1759"/>
      </w:tblGrid>
      <w:tr>
        <w:trPr>
          <w:cantSplit/>
          <w:tblHeader w:val="true"/>
        </w:trPr>
        <w:tc>
          <w:tcPr>
            <w:tcW w:type="dxa" w:w="262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NC核算账簿</w:t>
            </w:r>
          </w:p>
        </w:tc>
        <w:tc>
          <w:tcPr>
            <w:tcW w:type="dxa" w:w="18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内部法人ID</w:t>
            </w:r>
          </w:p>
        </w:tc>
        <w:tc>
          <w:tcPr>
            <w:tcW w:type="dxa" w:w="31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法人</w:t>
            </w:r>
          </w:p>
        </w:tc>
        <w:tc>
          <w:tcPr>
            <w:tcW w:type="dxa" w:w="17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本位币</w:t>
            </w:r>
          </w:p>
        </w:tc>
      </w:tr>
      <w:tr>
        <w:trPr>
          <w:cantSplit/>
        </w:trPr>
        <w:tc>
          <w:tcPr>
            <w:tcW w:type="dxa" w:w="2627"/>
            <w:vAlign w:val="top"/>
            <w:tcMar>
              <w:top w:w="65" w:type="dxa"/>
              <w:bottom w:w="65" w:type="dxa"/>
              <w:left w:w="65" w:type="dxa"/>
              <w:right w:w="65" w:type="dxa"/>
            </w:tcMar>
          </w:tcPr>
          <w:p>
            <w:pPr>
              <w:spacing w:before="30" w:after="30" w:line="252" w:lineRule="auto"/>
            </w:pPr>
            <w:r>
              <w:rPr>
                <w:rFonts w:ascii="Arial" w:hAnsi="Arial" w:eastAsia="宋体"/>
                <w:b w:val="0"/>
                <w:i w:val="0"/>
                <w:sz w:val="18"/>
              </w:rPr>
              <w:t>TY_BOOK</w:t>
            </w:r>
          </w:p>
        </w:tc>
        <w:tc>
          <w:tcPr>
            <w:tcW w:type="dxa" w:w="1881"/>
            <w:vAlign w:val="top"/>
            <w:tcMar>
              <w:top w:w="65" w:type="dxa"/>
              <w:bottom w:w="65" w:type="dxa"/>
              <w:left w:w="65" w:type="dxa"/>
              <w:right w:w="65" w:type="dxa"/>
            </w:tcMar>
          </w:tcPr>
          <w:p>
            <w:pPr>
              <w:spacing w:before="30" w:after="30" w:line="252" w:lineRule="auto"/>
            </w:pPr>
            <w:r>
              <w:rPr>
                <w:rFonts w:ascii="Arial" w:hAnsi="Arial" w:eastAsia="宋体"/>
                <w:b w:val="0"/>
                <w:i w:val="0"/>
                <w:sz w:val="18"/>
              </w:rPr>
              <w:t>TY</w:t>
            </w:r>
          </w:p>
        </w:tc>
        <w:tc>
          <w:tcPr>
            <w:tcW w:type="dxa" w:w="3140"/>
            <w:vAlign w:val="top"/>
            <w:tcMar>
              <w:top w:w="65" w:type="dxa"/>
              <w:bottom w:w="65" w:type="dxa"/>
              <w:left w:w="65" w:type="dxa"/>
              <w:right w:w="65" w:type="dxa"/>
            </w:tcMar>
          </w:tcPr>
          <w:p>
            <w:pPr>
              <w:spacing w:before="30" w:after="30" w:line="252" w:lineRule="auto"/>
            </w:pPr>
            <w:r>
              <w:rPr>
                <w:rFonts w:ascii="Arial" w:hAnsi="Arial" w:eastAsia="宋体"/>
                <w:b w:val="0"/>
                <w:i w:val="0"/>
                <w:sz w:val="18"/>
              </w:rPr>
              <w:t>杭州天元宠物用品有限公司</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CNY</w:t>
            </w:r>
          </w:p>
        </w:tc>
      </w:tr>
      <w:tr>
        <w:trPr>
          <w:cantSplit/>
        </w:trPr>
        <w:tc>
          <w:tcPr>
            <w:tcW w:type="dxa" w:w="26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HW_BOOK</w:t>
            </w:r>
          </w:p>
        </w:tc>
        <w:tc>
          <w:tcPr>
            <w:tcW w:type="dxa" w:w="18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w:t>
            </w:r>
          </w:p>
        </w:tc>
        <w:tc>
          <w:tcPr>
            <w:tcW w:type="dxa" w:w="31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鸿旺单体</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CNY</w:t>
            </w:r>
          </w:p>
        </w:tc>
      </w:tr>
      <w:tr>
        <w:trPr>
          <w:cantSplit/>
        </w:trPr>
        <w:tc>
          <w:tcPr>
            <w:tcW w:type="dxa" w:w="2627"/>
            <w:vAlign w:val="top"/>
            <w:tcMar>
              <w:top w:w="65" w:type="dxa"/>
              <w:bottom w:w="65" w:type="dxa"/>
              <w:left w:w="65" w:type="dxa"/>
              <w:right w:w="65" w:type="dxa"/>
            </w:tcMar>
          </w:tcPr>
          <w:p>
            <w:pPr>
              <w:spacing w:before="30" w:after="30" w:line="252" w:lineRule="auto"/>
            </w:pPr>
            <w:r>
              <w:rPr>
                <w:rFonts w:ascii="Arial" w:hAnsi="Arial" w:eastAsia="宋体"/>
                <w:b w:val="0"/>
                <w:i w:val="0"/>
                <w:sz w:val="18"/>
              </w:rPr>
              <w:t>HW_CAT_BOOK</w:t>
            </w:r>
          </w:p>
        </w:tc>
        <w:tc>
          <w:tcPr>
            <w:tcW w:type="dxa" w:w="1881"/>
            <w:vAlign w:val="top"/>
            <w:tcMar>
              <w:top w:w="65" w:type="dxa"/>
              <w:bottom w:w="65" w:type="dxa"/>
              <w:left w:w="65" w:type="dxa"/>
              <w:right w:w="65" w:type="dxa"/>
            </w:tcMar>
          </w:tcPr>
          <w:p>
            <w:pPr>
              <w:spacing w:before="30" w:after="30" w:line="252" w:lineRule="auto"/>
            </w:pPr>
            <w:r>
              <w:rPr>
                <w:rFonts w:ascii="Arial" w:hAnsi="Arial" w:eastAsia="宋体"/>
                <w:b w:val="0"/>
                <w:i w:val="0"/>
                <w:sz w:val="18"/>
              </w:rPr>
              <w:t>HW_CAT</w:t>
            </w:r>
          </w:p>
        </w:tc>
        <w:tc>
          <w:tcPr>
            <w:tcW w:type="dxa" w:w="3140"/>
            <w:vAlign w:val="top"/>
            <w:tcMar>
              <w:top w:w="65" w:type="dxa"/>
              <w:bottom w:w="65" w:type="dxa"/>
              <w:left w:w="65" w:type="dxa"/>
              <w:right w:w="65" w:type="dxa"/>
            </w:tcMar>
          </w:tcPr>
          <w:p>
            <w:pPr>
              <w:spacing w:before="30" w:after="30" w:line="252" w:lineRule="auto"/>
            </w:pPr>
            <w:r>
              <w:rPr>
                <w:rFonts w:ascii="Arial" w:hAnsi="Arial" w:eastAsia="宋体"/>
                <w:b w:val="0"/>
                <w:i w:val="0"/>
                <w:sz w:val="18"/>
              </w:rPr>
              <w:t>鸿旺猫爬架生产事业部</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CNY</w:t>
            </w:r>
          </w:p>
        </w:tc>
      </w:tr>
      <w:tr>
        <w:trPr>
          <w:cantSplit/>
        </w:trPr>
        <w:tc>
          <w:tcPr>
            <w:tcW w:type="dxa" w:w="26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HW_ELEC_BOOK</w:t>
            </w:r>
          </w:p>
        </w:tc>
        <w:tc>
          <w:tcPr>
            <w:tcW w:type="dxa" w:w="18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HW_ELEC</w:t>
            </w:r>
          </w:p>
        </w:tc>
        <w:tc>
          <w:tcPr>
            <w:tcW w:type="dxa" w:w="31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杭州鸿旺宠物用品有限公司电子工厂</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CNY</w:t>
            </w:r>
          </w:p>
        </w:tc>
      </w:tr>
      <w:tr>
        <w:trPr>
          <w:cantSplit/>
        </w:trPr>
        <w:tc>
          <w:tcPr>
            <w:tcW w:type="dxa" w:w="2627"/>
            <w:vAlign w:val="top"/>
            <w:tcMar>
              <w:top w:w="65" w:type="dxa"/>
              <w:bottom w:w="65" w:type="dxa"/>
              <w:left w:w="65" w:type="dxa"/>
              <w:right w:w="65" w:type="dxa"/>
            </w:tcMar>
          </w:tcPr>
          <w:p>
            <w:pPr>
              <w:spacing w:before="30" w:after="30" w:line="252" w:lineRule="auto"/>
            </w:pPr>
            <w:r>
              <w:rPr>
                <w:rFonts w:ascii="Arial" w:hAnsi="Arial" w:eastAsia="宋体"/>
                <w:b w:val="0"/>
                <w:i w:val="0"/>
                <w:sz w:val="18"/>
              </w:rPr>
              <w:t>OTHER_BOOK</w:t>
            </w:r>
          </w:p>
        </w:tc>
        <w:tc>
          <w:tcPr>
            <w:tcW w:type="dxa" w:w="1881"/>
            <w:vAlign w:val="top"/>
            <w:tcMar>
              <w:top w:w="65" w:type="dxa"/>
              <w:bottom w:w="65" w:type="dxa"/>
              <w:left w:w="65" w:type="dxa"/>
              <w:right w:w="65" w:type="dxa"/>
            </w:tcMar>
          </w:tcPr>
          <w:p>
            <w:pPr>
              <w:spacing w:before="30" w:after="30" w:line="252" w:lineRule="auto"/>
            </w:pPr>
            <w:r>
              <w:rPr>
                <w:rFonts w:ascii="Arial" w:hAnsi="Arial" w:eastAsia="宋体"/>
                <w:b w:val="0"/>
                <w:i w:val="0"/>
                <w:sz w:val="18"/>
              </w:rPr>
              <w:t>OTHER</w:t>
            </w:r>
          </w:p>
        </w:tc>
        <w:tc>
          <w:tcPr>
            <w:tcW w:type="dxa" w:w="3140"/>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集团其他境内公司（演示）</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CNY</w:t>
            </w:r>
          </w:p>
        </w:tc>
      </w:tr>
      <w:tr>
        <w:trPr>
          <w:cantSplit/>
        </w:trPr>
        <w:tc>
          <w:tcPr>
            <w:tcW w:type="dxa" w:w="26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OS_A_BOOK</w:t>
            </w:r>
          </w:p>
        </w:tc>
        <w:tc>
          <w:tcPr>
            <w:tcW w:type="dxa" w:w="18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OS_A</w:t>
            </w:r>
          </w:p>
        </w:tc>
        <w:tc>
          <w:tcPr>
            <w:tcW w:type="dxa" w:w="31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海外公司甲（演示）</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USD</w:t>
            </w:r>
          </w:p>
        </w:tc>
      </w:tr>
      <w:tr>
        <w:trPr>
          <w:cantSplit/>
        </w:trPr>
        <w:tc>
          <w:tcPr>
            <w:tcW w:type="dxa" w:w="2627"/>
            <w:vAlign w:val="top"/>
            <w:tcMar>
              <w:top w:w="65" w:type="dxa"/>
              <w:bottom w:w="65" w:type="dxa"/>
              <w:left w:w="65" w:type="dxa"/>
              <w:right w:w="65" w:type="dxa"/>
            </w:tcMar>
          </w:tcPr>
          <w:p>
            <w:pPr>
              <w:spacing w:before="30" w:after="30" w:line="252" w:lineRule="auto"/>
            </w:pPr>
            <w:r>
              <w:rPr>
                <w:rFonts w:ascii="Arial" w:hAnsi="Arial" w:eastAsia="宋体"/>
                <w:b w:val="0"/>
                <w:i w:val="0"/>
                <w:sz w:val="18"/>
              </w:rPr>
              <w:t>OS_B_BOOK</w:t>
            </w:r>
          </w:p>
        </w:tc>
        <w:tc>
          <w:tcPr>
            <w:tcW w:type="dxa" w:w="1881"/>
            <w:vAlign w:val="top"/>
            <w:tcMar>
              <w:top w:w="65" w:type="dxa"/>
              <w:bottom w:w="65" w:type="dxa"/>
              <w:left w:w="65" w:type="dxa"/>
              <w:right w:w="65" w:type="dxa"/>
            </w:tcMar>
          </w:tcPr>
          <w:p>
            <w:pPr>
              <w:spacing w:before="30" w:after="30" w:line="252" w:lineRule="auto"/>
            </w:pPr>
            <w:r>
              <w:rPr>
                <w:rFonts w:ascii="Arial" w:hAnsi="Arial" w:eastAsia="宋体"/>
                <w:b w:val="0"/>
                <w:i w:val="0"/>
                <w:sz w:val="18"/>
              </w:rPr>
              <w:t>OS_B</w:t>
            </w:r>
          </w:p>
        </w:tc>
        <w:tc>
          <w:tcPr>
            <w:tcW w:type="dxa" w:w="3140"/>
            <w:vAlign w:val="top"/>
            <w:tcMar>
              <w:top w:w="65" w:type="dxa"/>
              <w:bottom w:w="65" w:type="dxa"/>
              <w:left w:w="65" w:type="dxa"/>
              <w:right w:w="65" w:type="dxa"/>
            </w:tcMar>
          </w:tcPr>
          <w:p>
            <w:pPr>
              <w:spacing w:before="30" w:after="30" w:line="252" w:lineRule="auto"/>
            </w:pPr>
            <w:r>
              <w:rPr>
                <w:rFonts w:ascii="Arial" w:hAnsi="Arial" w:eastAsia="宋体"/>
                <w:b w:val="0"/>
                <w:i w:val="0"/>
                <w:sz w:val="18"/>
              </w:rPr>
              <w:t>海外公司乙（演示）</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USD</w:t>
            </w:r>
          </w:p>
        </w:tc>
      </w:tr>
    </w:tbl>
    <w:p>
      <w:pPr>
        <w:spacing w:after="40"/>
      </w:pPr>
    </w:p>
    <w:p>
      <w:pPr>
        <w:ind w:left="283" w:hanging="198"/>
      </w:pPr>
      <w:r>
        <w:rPr>
          <w:rFonts w:ascii="Arial" w:hAnsi="Arial" w:eastAsia="宋体"/>
        </w:rPr>
        <w:t xml:space="preserve">3. </w:t>
      </w:r>
      <w:r>
        <w:rPr>
          <w:rFonts w:ascii="Arial" w:hAnsi="Arial" w:eastAsia="宋体"/>
          <w:b w:val="0"/>
          <w:i w:val="0"/>
        </w:rPr>
        <w:t>辅助核算选择“辅助核算1”，共同交易关联号选择“结算号”。本案例所有行都明确给客商：</w:t>
      </w:r>
      <w:r>
        <w:rPr>
          <w:rFonts w:ascii="Consolas" w:hAnsi="Consolas" w:eastAsia="宋体"/>
          <w:b w:val="0"/>
          <w:i w:val="0"/>
          <w:sz w:val="18"/>
        </w:rPr>
        <w:t>NC-TY→TY</w:t>
      </w:r>
      <w:r>
        <w:rPr>
          <w:rFonts w:ascii="Arial" w:hAnsi="Arial" w:eastAsia="宋体"/>
          <w:b w:val="0"/>
          <w:i w:val="0"/>
        </w:rPr>
        <w:t>、</w:t>
      </w:r>
      <w:r>
        <w:rPr>
          <w:rFonts w:ascii="Consolas" w:hAnsi="Consolas" w:eastAsia="宋体"/>
          <w:b w:val="0"/>
          <w:i w:val="0"/>
          <w:sz w:val="18"/>
        </w:rPr>
        <w:t>NC-HW→HW</w:t>
      </w:r>
      <w:r>
        <w:rPr>
          <w:rFonts w:ascii="Arial" w:hAnsi="Arial" w:eastAsia="宋体"/>
          <w:b w:val="0"/>
          <w:i w:val="0"/>
        </w:rPr>
        <w:t>、</w:t>
      </w:r>
      <w:r>
        <w:rPr>
          <w:rFonts w:ascii="Consolas" w:hAnsi="Consolas" w:eastAsia="宋体"/>
          <w:b w:val="0"/>
          <w:i w:val="0"/>
          <w:sz w:val="18"/>
        </w:rPr>
        <w:t>NC-HW_CAT→HW_CAT</w:t>
      </w:r>
      <w:r>
        <w:rPr>
          <w:rFonts w:ascii="Arial" w:hAnsi="Arial" w:eastAsia="宋体"/>
          <w:b w:val="0"/>
          <w:i w:val="0"/>
        </w:rPr>
        <w:t>、</w:t>
      </w:r>
      <w:r>
        <w:rPr>
          <w:rFonts w:ascii="Consolas" w:hAnsi="Consolas" w:eastAsia="宋体"/>
          <w:b w:val="0"/>
          <w:i w:val="0"/>
          <w:sz w:val="18"/>
        </w:rPr>
        <w:t>NC-HW_ELEC→HW_ELEC</w:t>
      </w:r>
      <w:r>
        <w:rPr>
          <w:rFonts w:ascii="Arial" w:hAnsi="Arial" w:eastAsia="宋体"/>
          <w:b w:val="0"/>
          <w:i w:val="0"/>
        </w:rPr>
        <w:t>、</w:t>
      </w:r>
      <w:r>
        <w:rPr>
          <w:rFonts w:ascii="Consolas" w:hAnsi="Consolas" w:eastAsia="宋体"/>
          <w:b w:val="0"/>
          <w:i w:val="0"/>
          <w:sz w:val="18"/>
        </w:rPr>
        <w:t>NC-OTHER→OTHER</w:t>
      </w:r>
      <w:r>
        <w:rPr>
          <w:rFonts w:ascii="Arial" w:hAnsi="Arial" w:eastAsia="宋体"/>
          <w:b w:val="0"/>
          <w:i w:val="0"/>
        </w:rPr>
        <w:t>、</w:t>
      </w:r>
      <w:r>
        <w:rPr>
          <w:rFonts w:ascii="Consolas" w:hAnsi="Consolas" w:eastAsia="宋体"/>
          <w:b w:val="0"/>
          <w:i w:val="0"/>
          <w:sz w:val="18"/>
        </w:rPr>
        <w:t>NC-OS_A→OS_A</w:t>
      </w:r>
      <w:r>
        <w:rPr>
          <w:rFonts w:ascii="Arial" w:hAnsi="Arial" w:eastAsia="宋体"/>
          <w:b w:val="0"/>
          <w:i w:val="0"/>
        </w:rPr>
        <w:t>、</w:t>
      </w:r>
      <w:r>
        <w:rPr>
          <w:rFonts w:ascii="Consolas" w:hAnsi="Consolas" w:eastAsia="宋体"/>
          <w:b w:val="0"/>
          <w:i w:val="0"/>
          <w:sz w:val="18"/>
        </w:rPr>
        <w:t>NC-OS_B→OS_B</w:t>
      </w:r>
      <w:r>
        <w:rPr>
          <w:rFonts w:ascii="Arial" w:hAnsi="Arial" w:eastAsia="宋体"/>
          <w:b w:val="0"/>
          <w:i w:val="0"/>
        </w:rPr>
        <w:t xml:space="preserve">，以及 </w:t>
      </w:r>
      <w:r>
        <w:rPr>
          <w:rFonts w:ascii="Consolas" w:hAnsi="Consolas" w:eastAsia="宋体"/>
          <w:b w:val="0"/>
          <w:i w:val="0"/>
          <w:sz w:val="18"/>
        </w:rPr>
        <w:t>NC-EXTERNAL→EXTERNAL（明确外部）</w:t>
      </w:r>
      <w:r>
        <w:rPr>
          <w:rFonts w:ascii="Arial" w:hAnsi="Arial" w:eastAsia="宋体"/>
          <w:b w:val="0"/>
          <w:i w:val="0"/>
        </w:rPr>
        <w:t>。这些是本例代码，不是系统对企业实际代码的猜测。</w:t>
      </w:r>
    </w:p>
    <w:p>
      <w:pPr>
        <w:ind w:left="283" w:hanging="198"/>
      </w:pPr>
      <w:r>
        <w:rPr>
          <w:rFonts w:ascii="Arial" w:hAnsi="Arial" w:eastAsia="宋体"/>
        </w:rPr>
        <w:t xml:space="preserve">4. </w:t>
      </w:r>
      <w:r>
        <w:rPr>
          <w:rFonts w:ascii="Arial" w:hAnsi="Arial" w:eastAsia="宋体"/>
          <w:b w:val="0"/>
          <w:i w:val="0"/>
        </w:rPr>
        <w:t>保存适配。若实际NC内部客商位于其他辅助列，可多选对应列，并按真实编码配置；如一个凭证出现多个不同客商或共同号，不应期待系统自动挑一个。</w:t>
      </w:r>
    </w:p>
    <w:p>
      <w:pPr>
        <w:pStyle w:val="Heading3"/>
      </w:pPr>
      <w:bookmarkStart w:id="45" w:name="epm_45"/>
      <w:r>
        <w:rPr>
          <w:rFonts w:ascii="Arial" w:hAnsi="Arial" w:eastAsia="宋体"/>
          <w:b w:val="0"/>
          <w:i w:val="0"/>
        </w:rPr>
        <w:t>P12-C：真实文件导入并生成单体</w:t>
      </w:r>
      <w:bookmarkEnd w:id="45"/>
    </w:p>
    <w:p>
      <w:pPr>
        <w:ind w:left="283" w:hanging="198"/>
      </w:pPr>
      <w:r>
        <w:rPr>
          <w:rFonts w:ascii="Arial" w:hAnsi="Arial" w:eastAsia="宋体"/>
        </w:rPr>
        <w:t xml:space="preserve">1. </w:t>
      </w:r>
      <w:r>
        <w:rPr>
          <w:rFonts w:ascii="Arial" w:hAnsi="Arial" w:eastAsia="宋体"/>
          <w:b w:val="0"/>
          <w:i w:val="0"/>
        </w:rPr>
        <w:t>依次导入01科目映射、02年初余额，金额单位元。</w:t>
      </w:r>
    </w:p>
    <w:p>
      <w:pPr>
        <w:ind w:left="283" w:hanging="198"/>
      </w:pPr>
      <w:r>
        <w:rPr>
          <w:rFonts w:ascii="Arial" w:hAnsi="Arial" w:eastAsia="宋体"/>
        </w:rPr>
        <w:t xml:space="preserve">2. </w:t>
      </w:r>
      <w:r>
        <w:rPr>
          <w:rFonts w:ascii="Arial" w:hAnsi="Arial" w:eastAsia="宋体"/>
          <w:b w:val="0"/>
          <w:i w:val="0"/>
        </w:rPr>
        <w:t>选择03文件使用“导入NC6.5凭证”，确认只含已记账业务凭证。检查导入成功批次及48分录；此操作不调用在线NC接口，也不触发sample_load。</w:t>
      </w:r>
    </w:p>
    <w:p>
      <w:pPr>
        <w:ind w:left="283" w:hanging="198"/>
      </w:pPr>
      <w:r>
        <w:rPr>
          <w:rFonts w:ascii="Arial" w:hAnsi="Arial" w:eastAsia="宋体"/>
        </w:rPr>
        <w:t xml:space="preserve">3. </w:t>
      </w:r>
      <w:r>
        <w:rPr>
          <w:rFonts w:ascii="Arial" w:hAnsi="Arial" w:eastAsia="宋体"/>
          <w:b w:val="0"/>
          <w:i w:val="0"/>
        </w:rPr>
        <w:t>“法人凭证与三表”点击“生成全部已导入法人”，生成7家当前账务源。选择鸿旺三家分别核对：</w:t>
      </w:r>
    </w:p>
    <w:tbl>
      <w:tblPr>
        <w:tblStyle w:val="TableGrid"/>
        <w:tblW w:type="auto" w:w="0"/>
        <w:jc w:val="center"/>
        <w:tblLayout w:type="fixed"/>
        <w:tblLook w:firstColumn="1" w:firstRow="1" w:lastColumn="0" w:lastRow="0" w:noHBand="0" w:noVBand="1" w:val="04A0"/>
      </w:tblPr>
      <w:tblGrid>
        <w:gridCol w:w="1711"/>
        <w:gridCol w:w="1283"/>
        <w:gridCol w:w="1283"/>
        <w:gridCol w:w="1283"/>
        <w:gridCol w:w="1283"/>
        <w:gridCol w:w="1283"/>
        <w:gridCol w:w="1283"/>
      </w:tblGrid>
      <w:tr>
        <w:trPr>
          <w:cantSplit/>
          <w:tblHeader w:val="true"/>
        </w:trPr>
        <w:tc>
          <w:tcPr>
            <w:tcW w:type="dxa" w:w="171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6"/>
              </w:rPr>
              <w:t>法人</w:t>
            </w:r>
          </w:p>
        </w:tc>
        <w:tc>
          <w:tcPr>
            <w:tcW w:type="dxa" w:w="12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6"/>
              </w:rPr>
              <w:t>收入</w:t>
            </w:r>
          </w:p>
        </w:tc>
        <w:tc>
          <w:tcPr>
            <w:tcW w:type="dxa" w:w="12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6"/>
              </w:rPr>
              <w:t>净利润</w:t>
            </w:r>
          </w:p>
        </w:tc>
        <w:tc>
          <w:tcPr>
            <w:tcW w:type="dxa" w:w="12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6"/>
              </w:rPr>
              <w:t>期末现金</w:t>
            </w:r>
          </w:p>
        </w:tc>
        <w:tc>
          <w:tcPr>
            <w:tcW w:type="dxa" w:w="12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6"/>
              </w:rPr>
              <w:t>内部应收</w:t>
            </w:r>
          </w:p>
        </w:tc>
        <w:tc>
          <w:tcPr>
            <w:tcW w:type="dxa" w:w="12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6"/>
              </w:rPr>
              <w:t>内部应付</w:t>
            </w:r>
          </w:p>
        </w:tc>
        <w:tc>
          <w:tcPr>
            <w:tcW w:type="dxa" w:w="12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6"/>
              </w:rPr>
              <w:t>资产合计</w:t>
            </w:r>
          </w:p>
        </w:tc>
      </w:tr>
      <w:tr>
        <w:trPr>
          <w:cantSplit/>
        </w:trPr>
        <w:tc>
          <w:tcPr>
            <w:tcW w:type="dxa" w:w="1711"/>
            <w:vAlign w:val="top"/>
            <w:tcMar>
              <w:top w:w="65" w:type="dxa"/>
              <w:bottom w:w="65" w:type="dxa"/>
              <w:left w:w="65" w:type="dxa"/>
              <w:right w:w="65" w:type="dxa"/>
            </w:tcMar>
          </w:tcPr>
          <w:p>
            <w:pPr>
              <w:spacing w:before="30" w:after="30" w:line="252" w:lineRule="auto"/>
            </w:pPr>
            <w:r>
              <w:rPr>
                <w:rFonts w:ascii="Arial" w:hAnsi="Arial" w:eastAsia="宋体"/>
                <w:b w:val="0"/>
                <w:i w:val="0"/>
                <w:sz w:val="16"/>
              </w:rPr>
              <w:t>鸿旺单体</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1000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300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380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20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400</w:t>
            </w:r>
          </w:p>
        </w:tc>
      </w:tr>
      <w:tr>
        <w:trPr>
          <w:cantSplit/>
        </w:trPr>
        <w:tc>
          <w:tcPr>
            <w:tcW w:type="dxa" w:w="17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6"/>
              </w:rPr>
              <w:t>鸿旺猫爬架生产事业部</w:t>
            </w:r>
          </w:p>
        </w:tc>
        <w:tc>
          <w:tcPr>
            <w:tcW w:type="dxa" w:w="12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6"/>
              </w:rPr>
              <w:t>300</w:t>
            </w:r>
          </w:p>
        </w:tc>
        <w:tc>
          <w:tcPr>
            <w:tcW w:type="dxa" w:w="12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6"/>
              </w:rPr>
              <w:t>90</w:t>
            </w:r>
          </w:p>
        </w:tc>
        <w:tc>
          <w:tcPr>
            <w:tcW w:type="dxa" w:w="12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6"/>
              </w:rPr>
              <w:t>140</w:t>
            </w:r>
          </w:p>
        </w:tc>
        <w:tc>
          <w:tcPr>
            <w:tcW w:type="dxa" w:w="12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6"/>
              </w:rPr>
              <w:t>0</w:t>
            </w:r>
          </w:p>
        </w:tc>
        <w:tc>
          <w:tcPr>
            <w:tcW w:type="dxa" w:w="12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6"/>
              </w:rPr>
              <w:t>0</w:t>
            </w:r>
          </w:p>
        </w:tc>
        <w:tc>
          <w:tcPr>
            <w:tcW w:type="dxa" w:w="12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6"/>
              </w:rPr>
              <w:t>140</w:t>
            </w:r>
          </w:p>
        </w:tc>
      </w:tr>
      <w:tr>
        <w:trPr>
          <w:cantSplit/>
        </w:trPr>
        <w:tc>
          <w:tcPr>
            <w:tcW w:type="dxa" w:w="1711"/>
            <w:vAlign w:val="top"/>
            <w:tcMar>
              <w:top w:w="65" w:type="dxa"/>
              <w:bottom w:w="65" w:type="dxa"/>
              <w:left w:w="65" w:type="dxa"/>
              <w:right w:w="65" w:type="dxa"/>
            </w:tcMar>
          </w:tcPr>
          <w:p>
            <w:pPr>
              <w:spacing w:before="30" w:after="30" w:line="252" w:lineRule="auto"/>
            </w:pPr>
            <w:r>
              <w:rPr>
                <w:rFonts w:ascii="Arial" w:hAnsi="Arial" w:eastAsia="宋体"/>
                <w:b w:val="0"/>
                <w:i w:val="0"/>
                <w:sz w:val="16"/>
              </w:rPr>
              <w:t>鸿旺电子工厂法人</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200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60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130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20</w:t>
            </w:r>
          </w:p>
        </w:tc>
        <w:tc>
          <w:tcPr>
            <w:tcW w:type="dxa" w:w="1283"/>
            <w:vAlign w:val="top"/>
            <w:tcMar>
              <w:top w:w="65" w:type="dxa"/>
              <w:bottom w:w="65" w:type="dxa"/>
              <w:left w:w="65" w:type="dxa"/>
              <w:right w:w="65" w:type="dxa"/>
            </w:tcMar>
          </w:tcPr>
          <w:p>
            <w:pPr>
              <w:spacing w:before="30" w:after="30" w:line="252" w:lineRule="auto"/>
            </w:pPr>
            <w:r>
              <w:rPr>
                <w:rFonts w:ascii="Arial" w:hAnsi="Arial" w:eastAsia="宋体"/>
                <w:b w:val="0"/>
                <w:i w:val="0"/>
                <w:sz w:val="16"/>
              </w:rPr>
              <w:t>130</w:t>
            </w:r>
          </w:p>
        </w:tc>
      </w:tr>
    </w:tbl>
    <w:p>
      <w:pPr>
        <w:spacing w:after="40"/>
      </w:pPr>
    </w:p>
    <w:p>
      <w:pPr>
        <w:ind w:left="283" w:hanging="198"/>
      </w:pPr>
      <w:r>
        <w:rPr>
          <w:rFonts w:ascii="Arial" w:hAnsi="Arial" w:eastAsia="宋体"/>
        </w:rPr>
        <w:t xml:space="preserve">4. </w:t>
      </w:r>
      <w:r>
        <w:rPr>
          <w:rFonts w:ascii="Arial" w:hAnsi="Arial" w:eastAsia="宋体"/>
          <w:b w:val="0"/>
          <w:i w:val="0"/>
        </w:rPr>
        <w:t>点鸿旺“营业收入→追溯原始凭证”，金额1000万元仅归因收入科目6001原行。展开同凭证借贷进行核对，不将现金或应收借方重复视为收入。查看原批次、账簿、凭证号、文件行号和48列原值。</w:t>
      </w:r>
    </w:p>
    <w:p>
      <w:pPr>
        <w:pStyle w:val="Heading3"/>
      </w:pPr>
      <w:bookmarkStart w:id="46" w:name="epm_46"/>
      <w:r>
        <w:rPr>
          <w:rFonts w:ascii="Arial" w:hAnsi="Arial" w:eastAsia="宋体"/>
          <w:b w:val="0"/>
          <w:i w:val="0"/>
        </w:rPr>
        <w:t>P12-D：鸿旺准确匹配与经理审批</w:t>
      </w:r>
      <w:bookmarkEnd w:id="46"/>
    </w:p>
    <w:p>
      <w:pPr>
        <w:ind w:left="283" w:hanging="198"/>
      </w:pPr>
      <w:r>
        <w:rPr>
          <w:rFonts w:ascii="Arial" w:hAnsi="Arial" w:eastAsia="宋体"/>
        </w:rPr>
        <w:t xml:space="preserve">1. </w:t>
      </w:r>
      <w:r>
        <w:rPr>
          <w:rFonts w:ascii="Arial" w:hAnsi="Arial" w:eastAsia="宋体"/>
          <w:b w:val="0"/>
          <w:i w:val="0"/>
        </w:rPr>
        <w:t>选择鸿旺，进入“内部交易匹配与差异”。负责人先执行“确认停用本层预置交易抵销”，说明采用NC原凭证匹配。原初始化销售抵销100停用，历史保留；投资权益950和用户手工事项不动。</w:t>
      </w:r>
    </w:p>
    <w:p>
      <w:pPr>
        <w:ind w:left="283" w:hanging="198"/>
      </w:pPr>
      <w:r>
        <w:rPr>
          <w:rFonts w:ascii="Arial" w:hAnsi="Arial" w:eastAsia="宋体"/>
        </w:rPr>
        <w:t xml:space="preserve">2. </w:t>
      </w:r>
      <w:r>
        <w:rPr>
          <w:rFonts w:ascii="Arial" w:hAnsi="Arial" w:eastAsia="宋体"/>
          <w:b w:val="0"/>
          <w:i w:val="0"/>
        </w:rPr>
        <w:t>运行匹配。本案例应有3项准确匹配，无未核清差异：</w:t>
      </w:r>
    </w:p>
    <w:tbl>
      <w:tblPr>
        <w:tblStyle w:val="TableGrid"/>
        <w:tblW w:type="auto" w:w="0"/>
        <w:jc w:val="center"/>
        <w:tblLayout w:type="fixed"/>
        <w:tblLook w:firstColumn="1" w:firstRow="1" w:lastColumn="0" w:lastRow="0" w:noHBand="0" w:noVBand="1" w:val="04A0"/>
      </w:tblPr>
      <w:tblGrid>
        <w:gridCol w:w="1727"/>
        <w:gridCol w:w="2104"/>
        <w:gridCol w:w="1983"/>
        <w:gridCol w:w="1487"/>
        <w:gridCol w:w="2104"/>
      </w:tblGrid>
      <w:tr>
        <w:trPr>
          <w:cantSplit/>
          <w:tblHeader w:val="true"/>
        </w:trPr>
        <w:tc>
          <w:tcPr>
            <w:tcW w:type="dxa" w:w="172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事项</w:t>
            </w:r>
          </w:p>
        </w:tc>
        <w:tc>
          <w:tcPr>
            <w:tcW w:type="dxa" w:w="21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共同关联号</w:t>
            </w:r>
          </w:p>
        </w:tc>
        <w:tc>
          <w:tcPr>
            <w:tcW w:type="dxa" w:w="19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双方</w:t>
            </w:r>
          </w:p>
        </w:tc>
        <w:tc>
          <w:tcPr>
            <w:tcW w:type="dxa" w:w="148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金额</w:t>
            </w:r>
          </w:p>
        </w:tc>
        <w:tc>
          <w:tcPr>
            <w:tcW w:type="dxa" w:w="21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自动抵销效果</w:t>
            </w:r>
          </w:p>
        </w:tc>
      </w:tr>
      <w:tr>
        <w:trPr>
          <w:cantSplit/>
        </w:trPr>
        <w:tc>
          <w:tcPr>
            <w:tcW w:type="dxa" w:w="1727"/>
            <w:vAlign w:val="top"/>
            <w:tcMar>
              <w:top w:w="65" w:type="dxa"/>
              <w:bottom w:w="65" w:type="dxa"/>
              <w:left w:w="65" w:type="dxa"/>
              <w:right w:w="65" w:type="dxa"/>
            </w:tcMar>
          </w:tcPr>
          <w:p>
            <w:pPr>
              <w:spacing w:before="30" w:after="30" w:line="252" w:lineRule="auto"/>
            </w:pPr>
            <w:r>
              <w:rPr>
                <w:rFonts w:ascii="Arial" w:hAnsi="Arial" w:eastAsia="宋体"/>
                <w:b w:val="0"/>
                <w:i w:val="0"/>
                <w:sz w:val="18"/>
              </w:rPr>
              <w:t>已结算内部销售</w:t>
            </w:r>
          </w:p>
        </w:tc>
        <w:tc>
          <w:tcPr>
            <w:tcW w:type="dxa" w:w="2104"/>
            <w:vAlign w:val="top"/>
            <w:tcMar>
              <w:top w:w="65" w:type="dxa"/>
              <w:bottom w:w="65" w:type="dxa"/>
              <w:left w:w="65" w:type="dxa"/>
              <w:right w:w="65" w:type="dxa"/>
            </w:tcMar>
          </w:tcPr>
          <w:p>
            <w:pPr>
              <w:spacing w:before="30" w:after="30" w:line="252" w:lineRule="auto"/>
            </w:pPr>
            <w:r>
              <w:rPr>
                <w:rFonts w:ascii="Arial" w:hAnsi="Arial" w:eastAsia="宋体"/>
                <w:b w:val="0"/>
                <w:i w:val="0"/>
                <w:sz w:val="18"/>
              </w:rPr>
              <w:t>HW-CAT-001</w:t>
            </w:r>
          </w:p>
        </w:tc>
        <w:tc>
          <w:tcPr>
            <w:tcW w:type="dxa" w:w="1983"/>
            <w:vAlign w:val="top"/>
            <w:tcMar>
              <w:top w:w="65" w:type="dxa"/>
              <w:bottom w:w="65" w:type="dxa"/>
              <w:left w:w="65" w:type="dxa"/>
              <w:right w:w="65" w:type="dxa"/>
            </w:tcMar>
          </w:tcPr>
          <w:p>
            <w:pPr>
              <w:spacing w:before="30" w:after="30" w:line="252" w:lineRule="auto"/>
            </w:pPr>
            <w:r>
              <w:rPr>
                <w:rFonts w:ascii="Arial" w:hAnsi="Arial" w:eastAsia="宋体"/>
                <w:b w:val="0"/>
                <w:i w:val="0"/>
                <w:sz w:val="18"/>
              </w:rPr>
              <w:t>HW↔HW_CAT</w:t>
            </w:r>
          </w:p>
        </w:tc>
        <w:tc>
          <w:tcPr>
            <w:tcW w:type="dxa" w:w="1487"/>
            <w:vAlign w:val="top"/>
            <w:tcMar>
              <w:top w:w="65" w:type="dxa"/>
              <w:bottom w:w="65" w:type="dxa"/>
              <w:left w:w="65" w:type="dxa"/>
              <w:right w:w="65" w:type="dxa"/>
            </w:tcMar>
          </w:tcPr>
          <w:p>
            <w:pPr>
              <w:spacing w:before="30" w:after="30" w:line="252" w:lineRule="auto"/>
            </w:pPr>
            <w:r>
              <w:rPr>
                <w:rFonts w:ascii="Arial" w:hAnsi="Arial" w:eastAsia="宋体"/>
                <w:b w:val="0"/>
                <w:i w:val="0"/>
                <w:sz w:val="18"/>
              </w:rPr>
              <w:t>80</w:t>
            </w:r>
          </w:p>
        </w:tc>
        <w:tc>
          <w:tcPr>
            <w:tcW w:type="dxa" w:w="2104"/>
            <w:vAlign w:val="top"/>
            <w:tcMar>
              <w:top w:w="65" w:type="dxa"/>
              <w:bottom w:w="65" w:type="dxa"/>
              <w:left w:w="65" w:type="dxa"/>
              <w:right w:w="65" w:type="dxa"/>
            </w:tcMar>
          </w:tcPr>
          <w:p>
            <w:pPr>
              <w:spacing w:before="30" w:after="30" w:line="252" w:lineRule="auto"/>
            </w:pPr>
            <w:r>
              <w:rPr>
                <w:rFonts w:ascii="Arial" w:hAnsi="Arial" w:eastAsia="宋体"/>
                <w:b w:val="0"/>
                <w:i w:val="0"/>
                <w:sz w:val="18"/>
              </w:rPr>
              <w:t>借收入80、贷成本80</w:t>
            </w:r>
          </w:p>
        </w:tc>
      </w:tr>
      <w:tr>
        <w:trPr>
          <w:cantSplit/>
        </w:trPr>
        <w:tc>
          <w:tcPr>
            <w:tcW w:type="dxa" w:w="17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未结算内部销售</w:t>
            </w:r>
          </w:p>
        </w:tc>
        <w:tc>
          <w:tcPr>
            <w:tcW w:type="dxa" w:w="21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HW-ELEC-001</w:t>
            </w:r>
          </w:p>
        </w:tc>
        <w:tc>
          <w:tcPr>
            <w:tcW w:type="dxa" w:w="19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HW↔HW_ELEC</w:t>
            </w:r>
          </w:p>
        </w:tc>
        <w:tc>
          <w:tcPr>
            <w:tcW w:type="dxa" w:w="14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w:t>
            </w:r>
          </w:p>
        </w:tc>
        <w:tc>
          <w:tcPr>
            <w:tcW w:type="dxa" w:w="21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借收入20、贷成本20</w:t>
            </w:r>
          </w:p>
        </w:tc>
      </w:tr>
      <w:tr>
        <w:trPr>
          <w:cantSplit/>
        </w:trPr>
        <w:tc>
          <w:tcPr>
            <w:tcW w:type="dxa" w:w="1727"/>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期末内部往来余额</w:t>
            </w:r>
          </w:p>
        </w:tc>
        <w:tc>
          <w:tcPr>
            <w:tcW w:type="dxa" w:w="2104"/>
            <w:vAlign w:val="top"/>
            <w:tcMar>
              <w:top w:w="65" w:type="dxa"/>
              <w:bottom w:w="65" w:type="dxa"/>
              <w:left w:w="65" w:type="dxa"/>
              <w:right w:w="65" w:type="dxa"/>
            </w:tcMar>
          </w:tcPr>
          <w:p>
            <w:pPr>
              <w:spacing w:before="30" w:after="30" w:line="252" w:lineRule="auto"/>
            </w:pPr>
            <w:r>
              <w:rPr>
                <w:rFonts w:ascii="Arial" w:hAnsi="Arial" w:eastAsia="宋体"/>
                <w:b w:val="0"/>
                <w:i w:val="0"/>
                <w:sz w:val="18"/>
              </w:rPr>
              <w:t>HW-ELEC-001</w:t>
            </w:r>
          </w:p>
        </w:tc>
        <w:tc>
          <w:tcPr>
            <w:tcW w:type="dxa" w:w="1983"/>
            <w:vAlign w:val="top"/>
            <w:tcMar>
              <w:top w:w="65" w:type="dxa"/>
              <w:bottom w:w="65" w:type="dxa"/>
              <w:left w:w="65" w:type="dxa"/>
              <w:right w:w="65" w:type="dxa"/>
            </w:tcMar>
          </w:tcPr>
          <w:p>
            <w:pPr>
              <w:spacing w:before="30" w:after="30" w:line="252" w:lineRule="auto"/>
            </w:pPr>
            <w:r>
              <w:rPr>
                <w:rFonts w:ascii="Arial" w:hAnsi="Arial" w:eastAsia="宋体"/>
                <w:b w:val="0"/>
                <w:i w:val="0"/>
                <w:sz w:val="18"/>
              </w:rPr>
              <w:t>HW↔HW_ELEC</w:t>
            </w:r>
          </w:p>
        </w:tc>
        <w:tc>
          <w:tcPr>
            <w:tcW w:type="dxa" w:w="1487"/>
            <w:vAlign w:val="top"/>
            <w:tcMar>
              <w:top w:w="65" w:type="dxa"/>
              <w:bottom w:w="65" w:type="dxa"/>
              <w:left w:w="65" w:type="dxa"/>
              <w:right w:w="65" w:type="dxa"/>
            </w:tcMar>
          </w:tcPr>
          <w:p>
            <w:pPr>
              <w:spacing w:before="30" w:after="30" w:line="252" w:lineRule="auto"/>
            </w:pPr>
            <w:r>
              <w:rPr>
                <w:rFonts w:ascii="Arial" w:hAnsi="Arial" w:eastAsia="宋体"/>
                <w:b w:val="0"/>
                <w:i w:val="0"/>
                <w:sz w:val="18"/>
              </w:rPr>
              <w:t>20</w:t>
            </w:r>
          </w:p>
        </w:tc>
        <w:tc>
          <w:tcPr>
            <w:tcW w:type="dxa" w:w="2104"/>
            <w:vAlign w:val="top"/>
            <w:tcMar>
              <w:top w:w="65" w:type="dxa"/>
              <w:bottom w:w="65" w:type="dxa"/>
              <w:left w:w="65" w:type="dxa"/>
              <w:right w:w="65" w:type="dxa"/>
            </w:tcMar>
          </w:tcPr>
          <w:p>
            <w:pPr>
              <w:spacing w:before="30" w:after="30" w:line="252" w:lineRule="auto"/>
            </w:pPr>
            <w:r>
              <w:rPr>
                <w:rFonts w:ascii="Arial" w:hAnsi="Arial" w:eastAsia="宋体"/>
                <w:b w:val="0"/>
                <w:i w:val="0"/>
                <w:sz w:val="18"/>
              </w:rPr>
              <w:t>借应付20、贷应收20</w:t>
            </w:r>
          </w:p>
        </w:tc>
      </w:tr>
    </w:tbl>
    <w:p>
      <w:pPr>
        <w:spacing w:after="40"/>
      </w:pPr>
    </w:p>
    <w:p>
      <w:pPr>
        <w:ind w:left="283" w:hanging="198"/>
      </w:pPr>
      <w:r>
        <w:rPr>
          <w:rFonts w:ascii="Arial" w:hAnsi="Arial" w:eastAsia="宋体"/>
        </w:rPr>
        <w:t xml:space="preserve">3. </w:t>
      </w:r>
      <w:r>
        <w:rPr>
          <w:rFonts w:ascii="Arial" w:hAnsi="Arial" w:eastAsia="宋体"/>
          <w:b w:val="0"/>
          <w:i w:val="0"/>
        </w:rPr>
        <w:t>展开每项双方原凭证核对，勾选全部3项生成自动草稿。未审批时不能正式完成合并。</w:t>
      </w:r>
    </w:p>
    <w:p>
      <w:pPr>
        <w:ind w:left="283" w:hanging="198"/>
      </w:pPr>
      <w:r>
        <w:rPr>
          <w:rFonts w:ascii="Arial" w:hAnsi="Arial" w:eastAsia="宋体"/>
        </w:rPr>
        <w:t xml:space="preserve">4. </w:t>
      </w:r>
      <w:r>
        <w:rPr>
          <w:rFonts w:ascii="Arial" w:hAnsi="Arial" w:eastAsia="宋体"/>
          <w:b w:val="0"/>
          <w:i w:val="0"/>
        </w:rPr>
        <w:t>负责人点击“审批本层自动抵销草稿”，填写核对原因，确认批量审批。每张都有借贷、来源及审批记录；审批不等于已经重算或签核。</w:t>
      </w:r>
    </w:p>
    <w:p>
      <w:pPr>
        <w:ind w:left="283" w:hanging="198"/>
      </w:pPr>
      <w:r>
        <w:rPr>
          <w:rFonts w:ascii="Arial" w:hAnsi="Arial" w:eastAsia="宋体"/>
        </w:rPr>
        <w:t xml:space="preserve">5. </w:t>
      </w:r>
      <w:r>
        <w:rPr>
          <w:rFonts w:ascii="Arial" w:hAnsi="Arial" w:eastAsia="宋体"/>
          <w:b w:val="0"/>
          <w:i w:val="0"/>
        </w:rPr>
        <w:t>进入分级工作台，计算并签核鸿旺。收入1500－销售100＝1400，净利润450；三家资产合计670减内部应收20＝650，内部负债20减应付20＝0。20的应收/应付抵销不再减少收入，不能把100销售和20余额当成收入减少120。</w:t>
      </w:r>
    </w:p>
    <w:p>
      <w:pPr>
        <w:pStyle w:val="Heading3"/>
      </w:pPr>
      <w:bookmarkStart w:id="47" w:name="epm_47"/>
      <w:r>
        <w:rPr>
          <w:rFonts w:ascii="Arial" w:hAnsi="Arial" w:eastAsia="宋体"/>
          <w:b w:val="0"/>
          <w:i w:val="0"/>
        </w:rPr>
        <w:t>P12-E：海外美元、集团跨层匹配与大合并</w:t>
      </w:r>
      <w:bookmarkEnd w:id="47"/>
    </w:p>
    <w:p>
      <w:pPr>
        <w:ind w:left="283" w:hanging="198"/>
      </w:pPr>
      <w:r>
        <w:rPr>
          <w:rFonts w:ascii="Arial" w:hAnsi="Arial" w:eastAsia="宋体"/>
        </w:rPr>
        <w:t xml:space="preserve">1. </w:t>
      </w:r>
      <w:r>
        <w:rPr>
          <w:rFonts w:ascii="Arial" w:hAnsi="Arial" w:eastAsia="宋体"/>
          <w:b w:val="0"/>
          <w:i w:val="0"/>
        </w:rPr>
        <w:t>切海外，核对凭证生成的USD单体，计算并签核海外。其合并收入100、利润20、资产200、负债80，本例没有需要生成自动抵销的内部事项。</w:t>
      </w:r>
    </w:p>
    <w:p>
      <w:pPr>
        <w:ind w:left="283" w:hanging="198"/>
      </w:pPr>
      <w:r>
        <w:rPr>
          <w:rFonts w:ascii="Arial" w:hAnsi="Arial" w:eastAsia="宋体"/>
        </w:rPr>
        <w:t xml:space="preserve">2. </w:t>
      </w:r>
      <w:r>
        <w:rPr>
          <w:rFonts w:ascii="Arial" w:hAnsi="Arial" w:eastAsia="宋体"/>
          <w:b w:val="0"/>
          <w:i w:val="0"/>
        </w:rPr>
        <w:t xml:space="preserve">切集团，运行集团层匹配。仅本层HW↔OTHER、关联号 </w:t>
      </w:r>
      <w:r>
        <w:rPr>
          <w:rFonts w:ascii="Consolas" w:hAnsi="Consolas" w:eastAsia="宋体"/>
          <w:b w:val="0"/>
          <w:i w:val="0"/>
          <w:sz w:val="18"/>
        </w:rPr>
        <w:t>HW-OTHER-001</w:t>
      </w:r>
      <w:r>
        <w:rPr>
          <w:rFonts w:ascii="Arial" w:hAnsi="Arial" w:eastAsia="宋体"/>
          <w:b w:val="0"/>
          <w:i w:val="0"/>
        </w:rPr>
        <w:t xml:space="preserve"> 的已结算销售50形成1项自动销售匹配；鸿旺内部3项已在下层处理，由子结果继承。</w:t>
      </w:r>
    </w:p>
    <w:p>
      <w:pPr>
        <w:ind w:left="283" w:hanging="198"/>
      </w:pPr>
      <w:r>
        <w:rPr>
          <w:rFonts w:ascii="Arial" w:hAnsi="Arial" w:eastAsia="宋体"/>
        </w:rPr>
        <w:t xml:space="preserve">3. </w:t>
      </w:r>
      <w:r>
        <w:rPr>
          <w:rFonts w:ascii="Arial" w:hAnsi="Arial" w:eastAsia="宋体"/>
          <w:b w:val="0"/>
          <w:i w:val="0"/>
        </w:rPr>
        <w:t>负责人明确停用集团层初始化销售50，生成本层自动草稿，批量审批。不要停用投资权益950。</w:t>
      </w:r>
    </w:p>
    <w:p>
      <w:pPr>
        <w:ind w:left="283" w:hanging="198"/>
      </w:pPr>
      <w:r>
        <w:rPr>
          <w:rFonts w:ascii="Arial" w:hAnsi="Arial" w:eastAsia="宋体"/>
        </w:rPr>
        <w:t xml:space="preserve">4. </w:t>
      </w:r>
      <w:r>
        <w:rPr>
          <w:rFonts w:ascii="Arial" w:hAnsi="Arial" w:eastAsia="宋体"/>
          <w:b w:val="0"/>
          <w:i w:val="0"/>
        </w:rPr>
        <w:t>计算集团并签核，确认引用刚才鸿旺和海外的新结果版本。</w:t>
      </w:r>
    </w:p>
    <w:p>
      <w:pPr>
        <w:ind w:left="283" w:hanging="198"/>
      </w:pPr>
      <w:r>
        <w:rPr>
          <w:rFonts w:ascii="Arial" w:hAnsi="Arial" w:eastAsia="宋体"/>
        </w:rPr>
        <w:t xml:space="preserve">5. </w:t>
      </w:r>
      <w:r>
        <w:rPr>
          <w:rFonts w:ascii="Arial" w:hAnsi="Arial" w:eastAsia="宋体"/>
          <w:b w:val="0"/>
          <w:i w:val="0"/>
        </w:rPr>
        <w:t>查看三表及原币分类折算，预期收入2650、净利770、资产2370、负债576、资本950、留存770、CTA74、现金汇率影响90；所有会计勾稽通过。</w:t>
      </w:r>
    </w:p>
    <w:p>
      <w:pPr>
        <w:ind w:left="283" w:hanging="198"/>
      </w:pPr>
      <w:r>
        <w:rPr>
          <w:rFonts w:ascii="Arial" w:hAnsi="Arial" w:eastAsia="宋体"/>
        </w:rPr>
        <w:t xml:space="preserve">6. </w:t>
      </w:r>
      <w:r>
        <w:rPr>
          <w:rFonts w:ascii="Arial" w:hAnsi="Arial" w:eastAsia="宋体"/>
          <w:b w:val="0"/>
          <w:i w:val="0"/>
        </w:rPr>
        <w:t>从集团结果钻入鸿旺结果、法人源，再点收入或应收来源，检查原始凭证链和快照；导出该结果完整证据用于复核。</w:t>
      </w:r>
    </w:p>
    <w:p>
      <w:r>
        <w:rPr>
          <w:rFonts w:ascii="Arial" w:hAnsi="Arial" w:eastAsia="宋体"/>
          <w:b w:val="0"/>
          <w:i w:val="0"/>
        </w:rPr>
      </w:r>
      <w:r>
        <w:rPr>
          <w:rFonts w:ascii="Arial" w:hAnsi="Arial" w:eastAsia="宋体"/>
          <w:b/>
          <w:i w:val="0"/>
        </w:rPr>
        <w:t>通过条件：</w:t>
      </w:r>
      <w:r>
        <w:rPr>
          <w:rFonts w:ascii="Arial" w:hAnsi="Arial" w:eastAsia="宋体"/>
          <w:b w:val="0"/>
          <w:i w:val="0"/>
        </w:rPr>
        <w:t xml:space="preserve"> 7家都由当前凭证生成，鸿旺3项/集团1项自动抵销按最低共同层生成并审批，旧示例100/50明确停用，无双扣；单体、子结果、汇率、匹配和原凭证版本可追溯。</w:t>
      </w:r>
    </w:p>
    <w:p>
      <w:pPr>
        <w:keepNext/>
        <w:jc w:val="center"/>
      </w:pPr>
      <w:r>
        <w:drawing>
          <wp:inline xmlns:a="http://schemas.openxmlformats.org/drawingml/2006/main" xmlns:pic="http://schemas.openxmlformats.org/drawingml/2006/picture">
            <wp:extent cx="5868000" cy="3850875"/>
            <wp:docPr id="3" name="Picture 3"/>
            <wp:cNvGraphicFramePr>
              <a:graphicFrameLocks noChangeAspect="1"/>
            </wp:cNvGraphicFramePr>
            <a:graphic>
              <a:graphicData uri="http://schemas.openxmlformats.org/drawingml/2006/picture">
                <pic:pic>
                  <pic:nvPicPr>
                    <pic:cNvPr id="0" name="产品ERP-03补注后鸿旺小合并.png"/>
                    <pic:cNvPicPr/>
                  </pic:nvPicPr>
                  <pic:blipFill>
                    <a:blip r:embed="rId13"/>
                    <a:stretch>
                      <a:fillRect/>
                    </a:stretch>
                  </pic:blipFill>
                  <pic:spPr>
                    <a:xfrm>
                      <a:off x="0" y="0"/>
                      <a:ext cx="5868000" cy="3850875"/>
                    </a:xfrm>
                    <a:prstGeom prst="rect"/>
                  </pic:spPr>
                </pic:pic>
              </a:graphicData>
            </a:graphic>
          </wp:inline>
        </w:drawing>
      </w:r>
    </w:p>
    <w:p>
      <w:pPr>
        <w:jc w:val="center"/>
      </w:pPr>
      <w:r>
        <w:rPr>
          <w:rFonts w:ascii="Arial" w:hAnsi="Arial" w:eastAsia="宋体"/>
          <w:color w:val="66758D"/>
          <w:sz w:val="18"/>
        </w:rPr>
        <w:t>图 3  当前ERP版独立NC原凭证核对后完成鸿旺小合并，ERP来源版本通过前置</w:t>
      </w:r>
    </w:p>
    <w:p>
      <w:r>
        <w:rPr>
          <w:rFonts w:ascii="Arial" w:hAnsi="Arial" w:eastAsia="宋体"/>
          <w:b w:val="0"/>
          <w:i w:val="0"/>
        </w:rPr>
      </w:r>
      <w:r>
        <w:rPr>
          <w:rFonts w:ascii="Arial" w:hAnsi="Arial" w:eastAsia="宋体"/>
          <w:b/>
          <w:i w:val="0"/>
        </w:rPr>
        <w:t>与内置样例区别：</w:t>
      </w:r>
      <w:r>
        <w:rPr>
          <w:rFonts w:ascii="Arial" w:hAnsi="Arial" w:eastAsia="宋体"/>
          <w:b w:val="0"/>
          <w:i w:val="0"/>
        </w:rPr>
        <w:t xml:space="preserve"> 软件“载入鸿旺完整凭证样例”使用396条原凭证行，会出现鸿旺18项、集团9项匹配。它和本节独立NC48行的80已结＋20未结/ARAP20不是同一组数据，不能混用行数、匹配数或凭证号。用户学习真实NC导入建议按本节文件链先演示。</w:t>
      </w:r>
    </w:p>
    <w:p>
      <w:pPr>
        <w:pStyle w:val="Heading2"/>
      </w:pPr>
      <w:bookmarkStart w:id="48" w:name="epm_48"/>
      <w:r>
        <w:rPr>
          <w:rFonts w:ascii="Arial" w:hAnsi="Arial" w:eastAsia="宋体"/>
          <w:b w:val="0"/>
          <w:i w:val="0"/>
        </w:rPr>
        <w:t>5.15 案例P13：关联号差异追到凭证，补充核对信息后恢复</w:t>
      </w:r>
      <w:bookmarkEnd w:id="48"/>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另开全新ERP账套，配置、科目和期初与P12相同；只导入 </w:t>
      </w:r>
      <w:r>
        <w:rPr>
          <w:rFonts w:ascii="Consolas" w:hAnsi="Consolas" w:eastAsia="宋体"/>
          <w:b w:val="0"/>
          <w:i w:val="0"/>
          <w:sz w:val="18"/>
        </w:rPr>
        <w:t>05_NC65_关联号差异演示.csv</w:t>
      </w:r>
      <w:r>
        <w:rPr>
          <w:rFonts w:ascii="Arial" w:hAnsi="Arial" w:eastAsia="宋体"/>
          <w:b w:val="0"/>
          <w:i w:val="0"/>
        </w:rPr>
        <w:t xml:space="preserve">，不要再同时导03。该文件仅把电子法人同一未结算凭证的结算号改为 </w:t>
      </w:r>
      <w:r>
        <w:rPr>
          <w:rFonts w:ascii="Consolas" w:hAnsi="Consolas" w:eastAsia="宋体"/>
          <w:b w:val="0"/>
          <w:i w:val="0"/>
          <w:sz w:val="18"/>
        </w:rPr>
        <w:t>HW-ELEC-001-TYPO</w:t>
      </w:r>
      <w:r>
        <w:rPr>
          <w:rFonts w:ascii="Arial" w:hAnsi="Arial" w:eastAsia="宋体"/>
          <w:b w:val="0"/>
          <w:i w:val="0"/>
        </w:rPr>
        <w:t>，借贷金额仍然正确和平衡。</w:t>
      </w:r>
    </w:p>
    <w:p>
      <w:pPr>
        <w:ind w:left="283" w:hanging="198"/>
      </w:pPr>
      <w:r>
        <w:rPr>
          <w:rFonts w:ascii="Arial" w:hAnsi="Arial" w:eastAsia="宋体"/>
        </w:rPr>
        <w:t xml:space="preserve">1. </w:t>
      </w:r>
      <w:r>
        <w:rPr>
          <w:rFonts w:ascii="Arial" w:hAnsi="Arial" w:eastAsia="宋体"/>
          <w:b w:val="0"/>
          <w:i w:val="0"/>
        </w:rPr>
        <w:t>生成法人三表，单体会计勾稽可通过；再运行鸿旺内部交易匹配。共同编号不一致导致销售和应收/应付不能配对，本案例出现4项“缺少对方对应凭证或期初辅助余额”的差异（unpaired）。</w:t>
      </w:r>
    </w:p>
    <w:p>
      <w:pPr>
        <w:ind w:left="283" w:hanging="198"/>
      </w:pPr>
      <w:r>
        <w:rPr>
          <w:rFonts w:ascii="Arial" w:hAnsi="Arial" w:eastAsia="宋体"/>
        </w:rPr>
        <w:t xml:space="preserve">2. </w:t>
      </w:r>
      <w:r>
        <w:rPr>
          <w:rFonts w:ascii="Arial" w:hAnsi="Arial" w:eastAsia="宋体"/>
          <w:b w:val="0"/>
          <w:i w:val="0"/>
        </w:rPr>
        <w:t>点击差异详情，沿原凭证找到电子法人两个相关分录，核对其批次、文件行、账户和结算号，并与HW对应业务凭证确认实际为同一业务。</w:t>
      </w:r>
    </w:p>
    <w:p>
      <w:pPr>
        <w:ind w:left="283" w:hanging="198"/>
      </w:pPr>
      <w:r>
        <w:rPr>
          <w:rFonts w:ascii="Arial" w:hAnsi="Arial" w:eastAsia="宋体"/>
        </w:rPr>
        <w:t xml:space="preserve">3. </w:t>
      </w:r>
      <w:r>
        <w:rPr>
          <w:rFonts w:ascii="Arial" w:hAnsi="Arial" w:eastAsia="宋体"/>
          <w:b w:val="0"/>
          <w:i w:val="0"/>
        </w:rPr>
        <w:t>尝试直接计算鸿旺，应被未解决差异/前置阻止。系统不会因为金额刚好相同就自动补配，也不会编一张差额凭证。</w:t>
      </w:r>
    </w:p>
    <w:p>
      <w:pPr>
        <w:ind w:left="283" w:hanging="198"/>
      </w:pPr>
      <w:r>
        <w:rPr>
          <w:rFonts w:ascii="Arial" w:hAnsi="Arial" w:eastAsia="宋体"/>
        </w:rPr>
        <w:t xml:space="preserve">4. </w:t>
      </w:r>
      <w:r>
        <w:rPr>
          <w:rFonts w:ascii="Arial" w:hAnsi="Arial" w:eastAsia="宋体"/>
          <w:b w:val="0"/>
          <w:i w:val="0"/>
        </w:rPr>
        <w:t xml:space="preserve">在当前有效电子法人原凭证行点击“补充核对信息”，勾选更新双方共同交易关联号，填 </w:t>
      </w:r>
      <w:r>
        <w:rPr>
          <w:rFonts w:ascii="Consolas" w:hAnsi="Consolas" w:eastAsia="宋体"/>
          <w:b w:val="0"/>
          <w:i w:val="0"/>
          <w:sz w:val="18"/>
        </w:rPr>
        <w:t>HW-ELEC-001</w:t>
      </w:r>
      <w:r>
        <w:rPr>
          <w:rFonts w:ascii="Arial" w:hAnsi="Arial" w:eastAsia="宋体"/>
          <w:b w:val="0"/>
          <w:i w:val="0"/>
        </w:rPr>
        <w:t>，填写依据并保存。对该凭证另一相关行做同样核对；界面单行操作与后台允许明确多行的补注均要保存逐行记录。</w:t>
      </w:r>
    </w:p>
    <w:p>
      <w:pPr>
        <w:ind w:left="283" w:hanging="198"/>
      </w:pPr>
      <w:r>
        <w:rPr>
          <w:rFonts w:ascii="Arial" w:hAnsi="Arial" w:eastAsia="宋体"/>
        </w:rPr>
        <w:t xml:space="preserve">5. </w:t>
      </w:r>
      <w:r>
        <w:rPr>
          <w:rFonts w:ascii="Arial" w:hAnsi="Arial" w:eastAsia="宋体"/>
          <w:b w:val="0"/>
          <w:i w:val="0"/>
        </w:rPr>
        <w:t>本次只改规范化共同号，不改原NC的结算号、日期、科目、借贷、账簿、批次或原文件行号。展开原始NC字段仍见TYPO；补注历史显示修改前、修改后、角色、时间和原因。</w:t>
      </w:r>
    </w:p>
    <w:p>
      <w:pPr>
        <w:ind w:left="283" w:hanging="198"/>
      </w:pPr>
      <w:r>
        <w:rPr>
          <w:rFonts w:ascii="Arial" w:hAnsi="Arial" w:eastAsia="宋体"/>
        </w:rPr>
        <w:t xml:space="preserve">6. </w:t>
      </w:r>
      <w:r>
        <w:rPr>
          <w:rFonts w:ascii="Arial" w:hAnsi="Arial" w:eastAsia="宋体"/>
          <w:b w:val="0"/>
          <w:i w:val="0"/>
        </w:rPr>
        <w:t>原生成源、匹配和相关自动抵销会失效。重新生成法人源，重新匹配应恢复为P12的3项准确匹配；再按P12明确模式转换、生成、经理批审、逐层计算签核。</w:t>
      </w:r>
    </w:p>
    <w:p>
      <w:pPr>
        <w:ind w:left="283" w:hanging="198"/>
      </w:pPr>
      <w:r>
        <w:rPr>
          <w:rFonts w:ascii="Arial" w:hAnsi="Arial" w:eastAsia="宋体"/>
        </w:rPr>
        <w:t xml:space="preserve">7. </w:t>
      </w:r>
      <w:r>
        <w:rPr>
          <w:rFonts w:ascii="Arial" w:hAnsi="Arial" w:eastAsia="宋体"/>
          <w:b w:val="0"/>
          <w:i w:val="0"/>
        </w:rPr>
        <w:t>集团重新得到2650/770/2370/74/90。此处的规范化核对信息应能在结果的账务来源快照中说明，不能悄悄改原文件。</w:t>
      </w:r>
    </w:p>
    <w:p>
      <w:r>
        <w:rPr>
          <w:rFonts w:ascii="Arial" w:hAnsi="Arial" w:eastAsia="宋体"/>
          <w:b w:val="0"/>
          <w:i w:val="0"/>
        </w:rPr>
        <w:t>同一入口也可在已核实依据后补充内部/明确外部客商，或在映射为现金的原行补充经营/投资/筹资现金分类。不能在非现金行填现金分类，不能将未知客商随意设为外部；原金额错误不允许靠补注修改。</w:t>
      </w:r>
    </w:p>
    <w:p>
      <w:pPr>
        <w:pStyle w:val="Heading2"/>
      </w:pPr>
      <w:bookmarkStart w:id="49" w:name="epm_49"/>
      <w:r>
        <w:rPr>
          <w:rFonts w:ascii="Arial" w:hAnsi="Arial" w:eastAsia="宋体"/>
          <w:b w:val="0"/>
          <w:i w:val="0"/>
        </w:rPr>
        <w:t>5.16 案例P14：双方80/79金额差，必须更正源账并重导</w:t>
      </w:r>
      <w:bookmarkEnd w:id="49"/>
    </w:p>
    <w:p>
      <w:r>
        <w:rPr>
          <w:rFonts w:ascii="Arial" w:hAnsi="Arial" w:eastAsia="宋体"/>
          <w:b w:val="0"/>
          <w:i w:val="0"/>
        </w:rPr>
      </w:r>
      <w:r>
        <w:rPr>
          <w:rFonts w:ascii="Arial" w:hAnsi="Arial" w:eastAsia="宋体"/>
          <w:b/>
          <w:i w:val="0"/>
        </w:rPr>
        <w:t>目标与起点：</w:t>
      </w:r>
      <w:r>
        <w:rPr>
          <w:rFonts w:ascii="Arial" w:hAnsi="Arial" w:eastAsia="宋体"/>
          <w:b w:val="0"/>
          <w:i w:val="0"/>
        </w:rPr>
        <w:t xml:space="preserve"> 全新ERP账套，使用P12配置与01/02文件，但只导 </w:t>
      </w:r>
      <w:r>
        <w:rPr>
          <w:rFonts w:ascii="Consolas" w:hAnsi="Consolas" w:eastAsia="宋体"/>
          <w:b w:val="0"/>
          <w:i w:val="0"/>
          <w:sz w:val="18"/>
        </w:rPr>
        <w:t>06_NC65_金额差异1万元.csv</w:t>
      </w:r>
      <w:r>
        <w:rPr>
          <w:rFonts w:ascii="Arial" w:hAnsi="Arial" w:eastAsia="宋体"/>
          <w:b w:val="0"/>
          <w:i w:val="0"/>
        </w:rPr>
        <w:t>。该文件把CAT的内部采购凭证借成本/贷现金同时由80改79，保持单张凭证借贷平；HW对应销售仍80，双方共同号仍相同。</w:t>
      </w:r>
    </w:p>
    <w:p>
      <w:pPr>
        <w:ind w:left="283" w:hanging="198"/>
      </w:pPr>
      <w:r>
        <w:rPr>
          <w:rFonts w:ascii="Arial" w:hAnsi="Arial" w:eastAsia="宋体"/>
        </w:rPr>
        <w:t xml:space="preserve">1. </w:t>
      </w:r>
      <w:r>
        <w:rPr>
          <w:rFonts w:ascii="Arial" w:hAnsi="Arial" w:eastAsia="宋体"/>
          <w:b w:val="0"/>
          <w:i w:val="0"/>
        </w:rPr>
        <w:t xml:space="preserve">生成三表后运行鸿旺匹配，预期出现 </w:t>
      </w:r>
      <w:r>
        <w:rPr>
          <w:rFonts w:ascii="Consolas" w:hAnsi="Consolas" w:eastAsia="宋体"/>
          <w:b w:val="0"/>
          <w:i w:val="0"/>
          <w:sz w:val="18"/>
        </w:rPr>
        <w:t>amount_mismatch</w:t>
      </w:r>
      <w:r>
        <w:rPr>
          <w:rFonts w:ascii="Arial" w:hAnsi="Arial" w:eastAsia="宋体"/>
          <w:b w:val="0"/>
          <w:i w:val="0"/>
        </w:rPr>
        <w:t>，金额差1万元，附双方原凭证引用。单体平衡不代表内部双方业务一致。</w:t>
      </w:r>
    </w:p>
    <w:p>
      <w:pPr>
        <w:ind w:left="283" w:hanging="198"/>
      </w:pPr>
      <w:r>
        <w:rPr>
          <w:rFonts w:ascii="Arial" w:hAnsi="Arial" w:eastAsia="宋体"/>
        </w:rPr>
        <w:t xml:space="preserve">2. </w:t>
      </w:r>
      <w:r>
        <w:rPr>
          <w:rFonts w:ascii="Arial" w:hAnsi="Arial" w:eastAsia="宋体"/>
          <w:b w:val="0"/>
          <w:i w:val="0"/>
        </w:rPr>
        <w:t>展开差异，核对卖方80和买方79的本币金额、共同号、科目及日期。未核清不能正式计算。</w:t>
      </w:r>
    </w:p>
    <w:p>
      <w:pPr>
        <w:ind w:left="283" w:hanging="198"/>
      </w:pPr>
      <w:r>
        <w:rPr>
          <w:rFonts w:ascii="Arial" w:hAnsi="Arial" w:eastAsia="宋体"/>
        </w:rPr>
        <w:t xml:space="preserve">3. </w:t>
      </w:r>
      <w:r>
        <w:rPr>
          <w:rFonts w:ascii="Arial" w:hAnsi="Arial" w:eastAsia="宋体"/>
          <w:b w:val="0"/>
          <w:i w:val="0"/>
        </w:rPr>
        <w:t>“补充核对信息”不提供修改借贷金额、科目或日期的字段；即使绕过界面提交金额字段，服务端也应拒绝且不增加revision。不能用新关联号掩盖真实金额差。</w:t>
      </w:r>
    </w:p>
    <w:p>
      <w:pPr>
        <w:ind w:left="283" w:hanging="198"/>
      </w:pPr>
      <w:r>
        <w:rPr>
          <w:rFonts w:ascii="Arial" w:hAnsi="Arial" w:eastAsia="宋体"/>
        </w:rPr>
        <w:t xml:space="preserve">4. </w:t>
      </w:r>
      <w:r>
        <w:rPr>
          <w:rFonts w:ascii="Arial" w:hAnsi="Arial" w:eastAsia="宋体"/>
          <w:b w:val="0"/>
          <w:i w:val="0"/>
        </w:rPr>
        <w:t>回ERP核实并更正真实业务，导出正确文件。由负责人取消错误凭证批次，填写原因，保留旧行和审计，再导入本例正确03文件。</w:t>
      </w:r>
    </w:p>
    <w:p>
      <w:pPr>
        <w:ind w:left="283" w:hanging="198"/>
      </w:pPr>
      <w:r>
        <w:rPr>
          <w:rFonts w:ascii="Arial" w:hAnsi="Arial" w:eastAsia="宋体"/>
        </w:rPr>
        <w:t xml:space="preserve">5. </w:t>
      </w:r>
      <w:r>
        <w:rPr>
          <w:rFonts w:ascii="Arial" w:hAnsi="Arial" w:eastAsia="宋体"/>
          <w:b w:val="0"/>
          <w:i w:val="0"/>
        </w:rPr>
        <w:t>重新生成源、匹配、自动草稿、经理审批，并按鸿旺→海外→集团逐层计算签核。预期回到2650/770，旧错误批次仍可查。</w:t>
      </w:r>
    </w:p>
    <w:p>
      <w:pPr>
        <w:keepNext/>
        <w:jc w:val="center"/>
      </w:pPr>
      <w:r>
        <w:drawing>
          <wp:inline xmlns:a="http://schemas.openxmlformats.org/drawingml/2006/main" xmlns:pic="http://schemas.openxmlformats.org/drawingml/2006/picture">
            <wp:extent cx="5868000" cy="3850875"/>
            <wp:docPr id="4" name="Picture 4"/>
            <wp:cNvGraphicFramePr>
              <a:graphicFrameLocks noChangeAspect="1"/>
            </wp:cNvGraphicFramePr>
            <a:graphic>
              <a:graphicData uri="http://schemas.openxmlformats.org/drawingml/2006/picture">
                <pic:pic>
                  <pic:nvPicPr>
                    <pic:cNvPr id="0" name="产品ERP-04金额差异原凭证.png"/>
                    <pic:cNvPicPr/>
                  </pic:nvPicPr>
                  <pic:blipFill>
                    <a:blip r:embed="rId14"/>
                    <a:stretch>
                      <a:fillRect/>
                    </a:stretch>
                  </pic:blipFill>
                  <pic:spPr>
                    <a:xfrm>
                      <a:off x="0" y="0"/>
                      <a:ext cx="5868000" cy="3850875"/>
                    </a:xfrm>
                    <a:prstGeom prst="rect"/>
                  </pic:spPr>
                </pic:pic>
              </a:graphicData>
            </a:graphic>
          </wp:inline>
        </w:drawing>
      </w:r>
    </w:p>
    <w:p>
      <w:pPr>
        <w:jc w:val="center"/>
      </w:pPr>
      <w:r>
        <w:rPr>
          <w:rFonts w:ascii="Arial" w:hAnsi="Arial" w:eastAsia="宋体"/>
          <w:color w:val="66758D"/>
          <w:sz w:val="18"/>
        </w:rPr>
        <w:t>图 4  本版NC独立文件金额差异：卖方800000元、买方790000元，保留双方原行</w:t>
      </w:r>
    </w:p>
    <w:p>
      <w:r>
        <w:rPr>
          <w:rFonts w:ascii="Arial" w:hAnsi="Arial" w:eastAsia="宋体"/>
          <w:b w:val="0"/>
          <w:i w:val="0"/>
        </w:rPr>
        <w:t>本例区分可补充的解释信息和应回源账更正的金额。实际业务如果是时间性差异或应计调整，应按企业会计政策设计调整依据和后续版本，不能将演示操作当作生产会计准则。</w:t>
      </w:r>
    </w:p>
    <w:p>
      <w:pPr>
        <w:pStyle w:val="Heading1"/>
      </w:pPr>
      <w:bookmarkStart w:id="50" w:name="epm_50"/>
      <w:r>
        <w:rPr>
          <w:rFonts w:ascii="Arial" w:hAnsi="Arial" w:eastAsia="宋体"/>
          <w:b w:val="0"/>
          <w:i w:val="0"/>
        </w:rPr>
        <w:t>六、结果追溯与产品联动解释</w:t>
      </w:r>
      <w:bookmarkEnd w:id="50"/>
    </w:p>
    <w:p>
      <w:pPr>
        <w:pStyle w:val="Heading2"/>
      </w:pPr>
      <w:bookmarkStart w:id="51" w:name="epm_51"/>
      <w:r>
        <w:rPr>
          <w:rFonts w:ascii="Arial" w:hAnsi="Arial" w:eastAsia="宋体"/>
          <w:b w:val="0"/>
          <w:i w:val="0"/>
        </w:rPr>
        <w:t>6.1 从一个集团报表数查到输入</w:t>
      </w:r>
      <w:bookmarkEnd w:id="51"/>
    </w:p>
    <w:p>
      <w:r>
        <w:rPr>
          <w:rFonts w:ascii="Arial" w:hAnsi="Arial" w:eastAsia="宋体"/>
          <w:b w:val="0"/>
          <w:i w:val="0"/>
        </w:rPr>
        <w:t>从首页或三表点击“查看版本与来源”，先识别单元、月份、币种、版本、来源与有效状态；再看直接输入：法人本位币源和下级已签核结果分开列示。进入下级结果后，可继续到法人源版本。结果还保留计算时的单位成员、源、分类汇率、抵销与真实持股快照，以解释历史输入。</w:t>
      </w:r>
    </w:p>
    <w:p>
      <w:r>
        <w:rPr>
          <w:rFonts w:ascii="Arial" w:hAnsi="Arial" w:eastAsia="宋体"/>
          <w:b w:val="0"/>
          <w:i w:val="0"/>
        </w:rPr>
        <w:t>“法人贡献”是合并抵销前口径。集团收入应按输入、转换与本层/继承抵销一起解释，不能把各法人贡献直接求和当成最终结果。美元原始输入和已经折算的人民币组件也不能再相加或重复折算。</w:t>
      </w:r>
    </w:p>
    <w:p>
      <w:pPr>
        <w:pStyle w:val="Heading2"/>
      </w:pPr>
      <w:bookmarkStart w:id="52" w:name="epm_52"/>
      <w:r>
        <w:rPr>
          <w:rFonts w:ascii="Arial" w:hAnsi="Arial" w:eastAsia="宋体"/>
          <w:b w:val="0"/>
          <w:i w:val="0"/>
        </w:rPr>
        <w:t>6.2 哪些变化影响哪些结果</w:t>
      </w:r>
      <w:bookmarkEnd w:id="52"/>
    </w:p>
    <w:tbl>
      <w:tblPr>
        <w:tblStyle w:val="TableGrid"/>
        <w:tblW w:type="auto" w:w="0"/>
        <w:jc w:val="center"/>
        <w:tblLayout w:type="fixed"/>
        <w:tblLook w:firstColumn="1" w:firstRow="1" w:lastColumn="0" w:lastRow="0" w:noHBand="0" w:noVBand="1" w:val="04A0"/>
      </w:tblPr>
      <w:tblGrid>
        <w:gridCol w:w="2368"/>
        <w:gridCol w:w="2275"/>
        <w:gridCol w:w="1877"/>
        <w:gridCol w:w="2885"/>
      </w:tblGrid>
      <w:tr>
        <w:trPr>
          <w:cantSplit/>
          <w:tblHeader w:val="true"/>
        </w:trPr>
        <w:tc>
          <w:tcPr>
            <w:tcW w:type="dxa" w:w="23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业务变化</w:t>
            </w:r>
          </w:p>
        </w:tc>
        <w:tc>
          <w:tcPr>
            <w:tcW w:type="dxa" w:w="22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直接影响</w:t>
            </w:r>
          </w:p>
        </w:tc>
        <w:tc>
          <w:tcPr>
            <w:tcW w:type="dxa" w:w="18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上层影响</w:t>
            </w:r>
          </w:p>
        </w:tc>
        <w:tc>
          <w:tcPr>
            <w:tcW w:type="dxa" w:w="28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不应发生的行为</w:t>
            </w:r>
          </w:p>
        </w:tc>
      </w:tr>
      <w:tr>
        <w:trPr>
          <w:cantSplit/>
        </w:trPr>
        <w:tc>
          <w:tcPr>
            <w:tcW w:type="dxa" w:w="2368"/>
            <w:vAlign w:val="top"/>
            <w:tcMar>
              <w:top w:w="65" w:type="dxa"/>
              <w:bottom w:w="65" w:type="dxa"/>
              <w:left w:w="65" w:type="dxa"/>
              <w:right w:w="65" w:type="dxa"/>
            </w:tcMar>
          </w:tcPr>
          <w:p>
            <w:pPr>
              <w:spacing w:before="30" w:after="30" w:line="252" w:lineRule="auto"/>
            </w:pPr>
            <w:r>
              <w:rPr>
                <w:rFonts w:ascii="Arial" w:hAnsi="Arial" w:eastAsia="宋体"/>
                <w:b w:val="0"/>
                <w:i w:val="0"/>
                <w:sz w:val="18"/>
              </w:rPr>
              <w:t>HW_CAT本期源变化</w:t>
            </w:r>
          </w:p>
        </w:tc>
        <w:tc>
          <w:tcPr>
            <w:tcW w:type="dxa" w:w="2275"/>
            <w:vAlign w:val="top"/>
            <w:tcMar>
              <w:top w:w="65" w:type="dxa"/>
              <w:bottom w:w="65" w:type="dxa"/>
              <w:left w:w="65" w:type="dxa"/>
              <w:right w:w="65" w:type="dxa"/>
            </w:tcMar>
          </w:tcPr>
          <w:p>
            <w:pPr>
              <w:spacing w:before="30" w:after="30" w:line="252" w:lineRule="auto"/>
            </w:pPr>
            <w:r>
              <w:rPr>
                <w:rFonts w:ascii="Arial" w:hAnsi="Arial" w:eastAsia="宋体"/>
                <w:b w:val="0"/>
                <w:i w:val="0"/>
                <w:sz w:val="18"/>
              </w:rPr>
              <w:t>鸿旺结果失效</w:t>
            </w:r>
          </w:p>
        </w:tc>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集团引用链失效</w:t>
            </w:r>
          </w:p>
        </w:tc>
        <w:tc>
          <w:tcPr>
            <w:tcW w:type="dxa" w:w="2885"/>
            <w:vAlign w:val="top"/>
            <w:tcMar>
              <w:top w:w="65" w:type="dxa"/>
              <w:bottom w:w="65" w:type="dxa"/>
              <w:left w:w="65" w:type="dxa"/>
              <w:right w:w="65" w:type="dxa"/>
            </w:tcMar>
          </w:tcPr>
          <w:p>
            <w:pPr>
              <w:spacing w:before="30" w:after="30" w:line="252" w:lineRule="auto"/>
            </w:pPr>
            <w:r>
              <w:rPr>
                <w:rFonts w:ascii="Arial" w:hAnsi="Arial" w:eastAsia="宋体"/>
                <w:b w:val="0"/>
                <w:i w:val="0"/>
                <w:sz w:val="18"/>
              </w:rPr>
              <w:t>悄悄改写原集团已签核金额</w:t>
            </w:r>
          </w:p>
        </w:tc>
      </w:tr>
      <w:tr>
        <w:trPr>
          <w:cantSplit/>
        </w:trPr>
        <w:tc>
          <w:tcPr>
            <w:tcW w:type="dxa" w:w="23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鸿旺内部销售抵销变化</w:t>
            </w:r>
          </w:p>
        </w:tc>
        <w:tc>
          <w:tcPr>
            <w:tcW w:type="dxa" w:w="22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鸿旺需审批、重算</w:t>
            </w:r>
          </w:p>
        </w:tc>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集团需引用新鸿旺结果</w:t>
            </w:r>
          </w:p>
        </w:tc>
        <w:tc>
          <w:tcPr>
            <w:tcW w:type="dxa" w:w="28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下层抵销在集团再扣一次</w:t>
            </w:r>
          </w:p>
        </w:tc>
      </w:tr>
      <w:tr>
        <w:trPr>
          <w:cantSplit/>
        </w:trPr>
        <w:tc>
          <w:tcPr>
            <w:tcW w:type="dxa" w:w="2368"/>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集团跨范围销售变化</w:t>
            </w:r>
          </w:p>
        </w:tc>
        <w:tc>
          <w:tcPr>
            <w:tcW w:type="dxa" w:w="2275"/>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集团本层需审批、重算</w:t>
            </w:r>
          </w:p>
        </w:tc>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更上层存在时沿引用传播</w:t>
            </w:r>
          </w:p>
        </w:tc>
        <w:tc>
          <w:tcPr>
            <w:tcW w:type="dxa" w:w="2885"/>
            <w:vAlign w:val="top"/>
            <w:tcMar>
              <w:top w:w="65" w:type="dxa"/>
              <w:bottom w:w="65" w:type="dxa"/>
              <w:left w:w="65" w:type="dxa"/>
              <w:right w:w="65" w:type="dxa"/>
            </w:tcMar>
          </w:tcPr>
          <w:p>
            <w:pPr>
              <w:spacing w:before="30" w:after="30" w:line="252" w:lineRule="auto"/>
            </w:pPr>
            <w:r>
              <w:rPr>
                <w:rFonts w:ascii="Arial" w:hAnsi="Arial" w:eastAsia="宋体"/>
                <w:b w:val="0"/>
                <w:i w:val="0"/>
                <w:sz w:val="18"/>
              </w:rPr>
              <w:t>让鸿旺下层承担不属于其范围的交易</w:t>
            </w:r>
          </w:p>
        </w:tc>
      </w:tr>
      <w:tr>
        <w:trPr>
          <w:cantSplit/>
        </w:trPr>
        <w:tc>
          <w:tcPr>
            <w:tcW w:type="dxa" w:w="23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USD→CNY新分类率</w:t>
            </w:r>
          </w:p>
        </w:tc>
        <w:tc>
          <w:tcPr>
            <w:tcW w:type="dxa" w:w="22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使用该转换的本期结果失效</w:t>
            </w:r>
          </w:p>
        </w:tc>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依赖祖先失效</w:t>
            </w:r>
          </w:p>
        </w:tc>
        <w:tc>
          <w:tcPr>
            <w:tcW w:type="dxa" w:w="28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把未转换的海外USD原币结果也重标人民币</w:t>
            </w:r>
          </w:p>
        </w:tc>
      </w:tr>
      <w:tr>
        <w:trPr>
          <w:cantSplit/>
        </w:trPr>
        <w:tc>
          <w:tcPr>
            <w:tcW w:type="dxa" w:w="2368"/>
            <w:vAlign w:val="top"/>
            <w:tcMar>
              <w:top w:w="65" w:type="dxa"/>
              <w:bottom w:w="65" w:type="dxa"/>
              <w:left w:w="65" w:type="dxa"/>
              <w:right w:w="65" w:type="dxa"/>
            </w:tcMar>
          </w:tcPr>
          <w:p>
            <w:pPr>
              <w:spacing w:before="30" w:after="30" w:line="252" w:lineRule="auto"/>
            </w:pPr>
            <w:r>
              <w:rPr>
                <w:rFonts w:ascii="Arial" w:hAnsi="Arial" w:eastAsia="宋体"/>
                <w:b w:val="0"/>
                <w:i w:val="0"/>
                <w:sz w:val="18"/>
              </w:rPr>
              <w:t>管理成员或币种变化</w:t>
            </w:r>
          </w:p>
        </w:tc>
        <w:tc>
          <w:tcPr>
            <w:tcW w:type="dxa" w:w="2275"/>
            <w:vAlign w:val="top"/>
            <w:tcMar>
              <w:top w:w="65" w:type="dxa"/>
              <w:bottom w:w="65" w:type="dxa"/>
              <w:left w:w="65" w:type="dxa"/>
              <w:right w:w="65" w:type="dxa"/>
            </w:tcMar>
          </w:tcPr>
          <w:p>
            <w:pPr>
              <w:spacing w:before="30" w:after="30" w:line="252" w:lineRule="auto"/>
            </w:pPr>
            <w:r>
              <w:rPr>
                <w:rFonts w:ascii="Arial" w:hAnsi="Arial" w:eastAsia="宋体"/>
                <w:b w:val="0"/>
                <w:i w:val="0"/>
                <w:sz w:val="18"/>
              </w:rPr>
              <w:t>有关单元的配置依赖失效</w:t>
            </w:r>
          </w:p>
        </w:tc>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有关祖先需重算</w:t>
            </w:r>
          </w:p>
        </w:tc>
        <w:tc>
          <w:tcPr>
            <w:tcW w:type="dxa" w:w="2885"/>
            <w:vAlign w:val="top"/>
            <w:tcMar>
              <w:top w:w="65" w:type="dxa"/>
              <w:bottom w:w="65" w:type="dxa"/>
              <w:left w:w="65" w:type="dxa"/>
              <w:right w:w="65" w:type="dxa"/>
            </w:tcMar>
          </w:tcPr>
          <w:p>
            <w:pPr>
              <w:spacing w:before="30" w:after="30" w:line="252" w:lineRule="auto"/>
            </w:pPr>
            <w:r>
              <w:rPr>
                <w:rFonts w:ascii="Arial" w:hAnsi="Arial" w:eastAsia="宋体"/>
                <w:b w:val="0"/>
                <w:i w:val="0"/>
                <w:sz w:val="18"/>
              </w:rPr>
              <w:t>让历史USD快照因新配置直接变成CNY金额</w:t>
            </w:r>
          </w:p>
        </w:tc>
      </w:tr>
      <w:tr>
        <w:trPr>
          <w:cantSplit/>
        </w:trPr>
        <w:tc>
          <w:tcPr>
            <w:tcW w:type="dxa" w:w="23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ERP凭证、期初、映射或补注变化</w:t>
            </w:r>
          </w:p>
        </w:tc>
        <w:tc>
          <w:tcPr>
            <w:tcW w:type="dxa" w:w="22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原生成源、匹配及自动抵销失效</w:t>
            </w:r>
          </w:p>
        </w:tc>
        <w:tc>
          <w:tcPr>
            <w:tcW w:type="dxa" w:w="18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有关祖先需逐层重算</w:t>
            </w:r>
          </w:p>
        </w:tc>
        <w:tc>
          <w:tcPr>
            <w:tcW w:type="dxa" w:w="28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沿用旧匹配或旧源继续合并、修改历史原凭证快照</w:t>
            </w:r>
          </w:p>
        </w:tc>
      </w:tr>
      <w:tr>
        <w:trPr>
          <w:cantSplit/>
        </w:trPr>
        <w:tc>
          <w:tcPr>
            <w:tcW w:type="dxa" w:w="2368"/>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预算草稿或批准调整变化</w:t>
            </w:r>
          </w:p>
        </w:tc>
        <w:tc>
          <w:tcPr>
            <w:tcW w:type="dxa" w:w="2275"/>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当前预算版本及比较基准选择变化</w:t>
            </w:r>
          </w:p>
        </w:tc>
        <w:tc>
          <w:tcPr>
            <w:tcW w:type="dxa" w:w="1877"/>
            <w:vAlign w:val="top"/>
            <w:tcMar>
              <w:top w:w="65" w:type="dxa"/>
              <w:bottom w:w="65" w:type="dxa"/>
              <w:left w:w="65" w:type="dxa"/>
              <w:right w:w="65" w:type="dxa"/>
            </w:tcMar>
          </w:tcPr>
          <w:p>
            <w:pPr>
              <w:spacing w:before="30" w:after="30" w:line="252" w:lineRule="auto"/>
            </w:pPr>
            <w:r>
              <w:rPr>
                <w:rFonts w:ascii="Arial" w:hAnsi="Arial" w:eastAsia="宋体"/>
                <w:b w:val="0"/>
                <w:i w:val="0"/>
                <w:sz w:val="18"/>
              </w:rPr>
              <w:t>经营差异按活跃版更新</w:t>
            </w:r>
          </w:p>
        </w:tc>
        <w:tc>
          <w:tcPr>
            <w:tcW w:type="dxa" w:w="2885"/>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直接改财务签核结果，或覆盖来源锁定预算版</w:t>
            </w:r>
          </w:p>
        </w:tc>
      </w:tr>
    </w:tbl>
    <w:p>
      <w:pPr>
        <w:spacing w:after="40"/>
      </w:pPr>
    </w:p>
    <w:p>
      <w:pPr>
        <w:pStyle w:val="Heading2"/>
      </w:pPr>
      <w:bookmarkStart w:id="53" w:name="epm_53"/>
      <w:r>
        <w:rPr>
          <w:rFonts w:ascii="Arial" w:hAnsi="Arial" w:eastAsia="宋体"/>
          <w:b w:val="0"/>
          <w:i w:val="0"/>
        </w:rPr>
        <w:t>6.3 版本、签核、有效性与历史</w:t>
      </w:r>
      <w:bookmarkEnd w:id="53"/>
    </w:p>
    <w:p>
      <w:r>
        <w:rPr>
          <w:rFonts w:ascii="Arial" w:hAnsi="Arial" w:eastAsia="宋体"/>
          <w:b w:val="0"/>
          <w:i w:val="0"/>
        </w:rPr>
        <w:t>结果ID和版本表示一次保存计算。签核表示当时依赖通过检查并由负责人批准；有效性表示该结果现在是否还能用于当前引用。两者分开：一个旧结果可以仍记“已签核”，但依赖变化后有效性为失效。历史保留的价值在于复盘当时的数据与审批，不是允许继续拿它作当前结果发布。</w:t>
      </w:r>
    </w:p>
    <w:p>
      <w:r>
        <w:rPr>
          <w:rFonts w:ascii="Arial" w:hAnsi="Arial" w:eastAsia="宋体"/>
          <w:b w:val="0"/>
          <w:i w:val="0"/>
        </w:rPr>
        <w:t>预算版本也是完整快照，但与财务结果ID体系独立。预算审批和锁定，不等于财务三表已签核；财务关账也不会替预算自动审批。演示时应分别在预算审批流和分级合并工作台说明状态。</w:t>
      </w:r>
    </w:p>
    <w:p>
      <w:pPr>
        <w:pStyle w:val="Heading1"/>
      </w:pPr>
      <w:bookmarkStart w:id="54" w:name="epm_54"/>
      <w:r>
        <w:rPr>
          <w:rFonts w:ascii="Arial" w:hAnsi="Arial" w:eastAsia="宋体"/>
          <w:b w:val="0"/>
          <w:i w:val="0"/>
        </w:rPr>
        <w:t>七、运行、演示数据与文档交付</w:t>
      </w:r>
      <w:bookmarkEnd w:id="54"/>
    </w:p>
    <w:p>
      <w:pPr>
        <w:pStyle w:val="Heading2"/>
      </w:pPr>
      <w:bookmarkStart w:id="55" w:name="epm_55"/>
      <w:r>
        <w:rPr>
          <w:rFonts w:ascii="Arial" w:hAnsi="Arial" w:eastAsia="宋体"/>
          <w:b w:val="0"/>
          <w:i w:val="0"/>
        </w:rPr>
        <w:t>7.1 安装和运行体验</w:t>
      </w:r>
      <w:bookmarkEnd w:id="55"/>
    </w:p>
    <w:p>
      <w:r>
        <w:rPr>
          <w:rFonts w:ascii="Arial" w:hAnsi="Arial" w:eastAsia="宋体"/>
          <w:b w:val="0"/>
          <w:i w:val="0"/>
        </w:rPr>
        <w:t>Windows 10/11 64位完整解压运行包后，双击“天元EPM 凭证合并Demo.exe”。解释器和标准库已随包提供，用户不需要自行安装Python、Docker、WSL或虚拟机，也不需要首次下载基础环境。软件在本机启动服务并自动打开中文浏览器页面。</w:t>
      </w:r>
    </w:p>
    <w:p>
      <w:r>
        <w:rPr>
          <w:rFonts w:ascii="Arial" w:hAnsi="Arial" w:eastAsia="宋体"/>
          <w:b w:val="0"/>
          <w:i w:val="0"/>
        </w:rPr>
        <w:t xml:space="preserve">程序目录与数据目录分开。新版默认 </w:t>
      </w:r>
      <w:r>
        <w:rPr>
          <w:rFonts w:ascii="Consolas" w:hAnsi="Consolas" w:eastAsia="宋体"/>
          <w:b w:val="0"/>
          <w:i w:val="0"/>
          <w:sz w:val="18"/>
        </w:rPr>
        <w:t>%LOCALAPPDATA%\TianyuanEPMVoucherDemo</w:t>
      </w:r>
      <w:r>
        <w:rPr>
          <w:rFonts w:ascii="Arial" w:hAnsi="Arial" w:eastAsia="宋体"/>
          <w:b w:val="0"/>
          <w:i w:val="0"/>
        </w:rPr>
        <w:t xml:space="preserve">；旧多层版 </w:t>
      </w:r>
      <w:r>
        <w:rPr>
          <w:rFonts w:ascii="Consolas" w:hAnsi="Consolas" w:eastAsia="宋体"/>
          <w:b w:val="0"/>
          <w:i w:val="0"/>
          <w:sz w:val="18"/>
        </w:rPr>
        <w:t>%LOCALAPPDATA%\TianyuanEPMGroupDemo</w:t>
      </w:r>
      <w:r>
        <w:rPr>
          <w:rFonts w:ascii="Arial" w:hAnsi="Arial" w:eastAsia="宋体"/>
          <w:b w:val="0"/>
          <w:i w:val="0"/>
        </w:rPr>
        <w:t xml:space="preserve">、旧版 </w:t>
      </w:r>
      <w:r>
        <w:rPr>
          <w:rFonts w:ascii="Consolas" w:hAnsi="Consolas" w:eastAsia="宋体"/>
          <w:b w:val="0"/>
          <w:i w:val="0"/>
          <w:sz w:val="18"/>
        </w:rPr>
        <w:t>%LOCALAPPDATA%\TianyuanEPMDemo</w:t>
      </w:r>
      <w:r>
        <w:rPr>
          <w:rFonts w:ascii="Arial" w:hAnsi="Arial" w:eastAsia="宋体"/>
          <w:b w:val="0"/>
          <w:i w:val="0"/>
        </w:rPr>
        <w:t xml:space="preserve">、旧平台 </w:t>
      </w:r>
      <w:r>
        <w:rPr>
          <w:rFonts w:ascii="Consolas" w:hAnsi="Consolas" w:eastAsia="宋体"/>
          <w:b w:val="0"/>
          <w:i w:val="0"/>
          <w:sz w:val="18"/>
        </w:rPr>
        <w:t>%LOCALAPPDATA%\SelfDevelopedEPM</w:t>
      </w:r>
      <w:r>
        <w:rPr>
          <w:rFonts w:ascii="Arial" w:hAnsi="Arial" w:eastAsia="宋体"/>
          <w:b w:val="0"/>
          <w:i w:val="0"/>
        </w:rPr>
        <w:t xml:space="preserve"> 保留。新产品拒绝改写旧版或未知格式数据库，旧平台数据迁入需要另行适配。</w:t>
      </w:r>
    </w:p>
    <w:p>
      <w:r>
        <w:rPr>
          <w:rFonts w:ascii="Arial" w:hAnsi="Arial" w:eastAsia="宋体"/>
          <w:b w:val="0"/>
          <w:i w:val="0"/>
        </w:rPr>
        <w:t>完成演示时在本机环境中安全退出，再复制整个数据目录做备份。关闭浏览器标签不等于停止服务；运行中只复制一个SQLite主文件可能遗漏WAL中的已提交数据。当前结果JSON导出用于证据查看，不等同已实现的数据自动恢复或跨版本迁移。</w:t>
      </w:r>
    </w:p>
    <w:p>
      <w:pPr>
        <w:pStyle w:val="Heading2"/>
      </w:pPr>
      <w:bookmarkStart w:id="56" w:name="epm_56"/>
      <w:r>
        <w:rPr>
          <w:rFonts w:ascii="Arial" w:hAnsi="Arial" w:eastAsia="宋体"/>
          <w:b w:val="0"/>
          <w:i w:val="0"/>
        </w:rPr>
        <w:t>7.2 验证证据与适用边界</w:t>
      </w:r>
      <w:bookmarkEnd w:id="56"/>
    </w:p>
    <w:p>
      <w:r>
        <w:rPr>
          <w:rFonts w:ascii="Arial" w:hAnsi="Arial" w:eastAsia="宋体"/>
          <w:b w:val="0"/>
          <w:i w:val="0"/>
        </w:rPr>
        <w:t>本版ERP软件的HTTP、浏览器及Windows原生运行链路需按最终ERP源码和运行包独立验收。旧ML版本的HTTP10组、浏览器8组及Wine证据属于历史基线，不作为本轮ERP已通过的证据。最终发布清单记录本版实际执行结果；Wine不能替代实体Windows终端验收。</w:t>
      </w:r>
    </w:p>
    <w:p>
      <w:r>
        <w:rPr>
          <w:rFonts w:ascii="Arial" w:hAnsi="Arial" w:eastAsia="宋体"/>
          <w:b w:val="0"/>
          <w:i w:val="0"/>
        </w:rPr>
        <w:t>本轮在最终ERP基线重新执行P01—P11共11组财务、预算、分析与治理案例，并执行ERP-P12—P14共3组实际文件链路与差异核对案例，全部通过。两份产品案例证据均记录sourceUnchangedDuringRun=true，源码摘要与最终产品一致。记录列执行时间、实际金额、文件摘要与验证方法，只保留虚构金额和结论，不保留本机凭据、Cookie或数据库；这些是本轮新执行的结果，没有复用旧ML通过结论。</w:t>
      </w:r>
    </w:p>
    <w:p>
      <w:pPr>
        <w:pStyle w:val="Heading2"/>
      </w:pPr>
      <w:bookmarkStart w:id="57" w:name="epm_57"/>
      <w:r>
        <w:rPr>
          <w:rFonts w:ascii="Arial" w:hAnsi="Arial" w:eastAsia="宋体"/>
          <w:b w:val="0"/>
          <w:i w:val="0"/>
        </w:rPr>
        <w:t>7.3 每版完整交付要求</w:t>
      </w:r>
      <w:bookmarkEnd w:id="57"/>
    </w:p>
    <w:p>
      <w:r>
        <w:rPr>
          <w:rFonts w:ascii="Arial" w:hAnsi="Arial" w:eastAsia="宋体"/>
          <w:b w:val="0"/>
          <w:i w:val="0"/>
        </w:rPr>
        <w:t>后续每次升级应给出适用软件版本、日期、软件包与摘要、变更内容和迁移说明，并同步交付以下完整中文文件：</w:t>
      </w:r>
    </w:p>
    <w:tbl>
      <w:tblPr>
        <w:tblStyle w:val="TableGrid"/>
        <w:tblW w:type="auto" w:w="0"/>
        <w:jc w:val="center"/>
        <w:tblLayout w:type="fixed"/>
        <w:tblLook w:firstColumn="1" w:firstRow="1" w:lastColumn="0" w:lastRow="0" w:noHBand="0" w:noVBand="1" w:val="04A0"/>
      </w:tblPr>
      <w:tblGrid>
        <w:gridCol w:w="2287"/>
        <w:gridCol w:w="3694"/>
        <w:gridCol w:w="3424"/>
      </w:tblGrid>
      <w:tr>
        <w:trPr>
          <w:cantSplit/>
          <w:tblHeader w:val="true"/>
        </w:trPr>
        <w:tc>
          <w:tcPr>
            <w:tcW w:type="dxa" w:w="228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w:t>
            </w:r>
          </w:p>
        </w:tc>
        <w:tc>
          <w:tcPr>
            <w:tcW w:type="dxa" w:w="36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本职内容</w:t>
            </w:r>
          </w:p>
        </w:tc>
        <w:tc>
          <w:tcPr>
            <w:tcW w:type="dxa" w:w="34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本版完整覆盖要求</w:t>
            </w:r>
          </w:p>
        </w:tc>
      </w:tr>
      <w:tr>
        <w:trPr>
          <w:cantSplit/>
        </w:trPr>
        <w:tc>
          <w:tcPr>
            <w:tcW w:type="dxa" w:w="2287"/>
            <w:vAlign w:val="top"/>
            <w:tcMar>
              <w:top w:w="65" w:type="dxa"/>
              <w:bottom w:w="65" w:type="dxa"/>
              <w:left w:w="65" w:type="dxa"/>
              <w:right w:w="65" w:type="dxa"/>
            </w:tcMar>
          </w:tcPr>
          <w:p>
            <w:pPr>
              <w:spacing w:before="30" w:after="30" w:line="252" w:lineRule="auto"/>
            </w:pPr>
            <w:r>
              <w:rPr>
                <w:rFonts w:ascii="Arial" w:hAnsi="Arial" w:eastAsia="宋体"/>
                <w:b w:val="0"/>
                <w:i w:val="0"/>
                <w:sz w:val="19"/>
              </w:rPr>
              <w:t>PRD研发需求规格说明书</w:t>
            </w:r>
          </w:p>
        </w:tc>
        <w:tc>
          <w:tcPr>
            <w:tcW w:type="dxa" w:w="3694"/>
            <w:vAlign w:val="top"/>
            <w:tcMar>
              <w:top w:w="65" w:type="dxa"/>
              <w:bottom w:w="65" w:type="dxa"/>
              <w:left w:w="65" w:type="dxa"/>
              <w:right w:w="65" w:type="dxa"/>
            </w:tcMar>
          </w:tcPr>
          <w:p>
            <w:pPr>
              <w:spacing w:before="30" w:after="30" w:line="252" w:lineRule="auto"/>
            </w:pPr>
            <w:r>
              <w:rPr>
                <w:rFonts w:ascii="Arial" w:hAnsi="Arial" w:eastAsia="宋体"/>
                <w:b w:val="0"/>
                <w:i w:val="0"/>
                <w:sz w:val="19"/>
              </w:rPr>
              <w:t>目标、流程、页面、字段、校验、接口、存储、权限、验收</w:t>
            </w:r>
          </w:p>
        </w:tc>
        <w:tc>
          <w:tcPr>
            <w:tcW w:type="dxa" w:w="3424"/>
            <w:vAlign w:val="top"/>
            <w:tcMar>
              <w:top w:w="65" w:type="dxa"/>
              <w:bottom w:w="65" w:type="dxa"/>
              <w:left w:w="65" w:type="dxa"/>
              <w:right w:w="65" w:type="dxa"/>
            </w:tcMar>
          </w:tcPr>
          <w:p>
            <w:pPr>
              <w:spacing w:before="30" w:after="30" w:line="252" w:lineRule="auto"/>
            </w:pPr>
            <w:r>
              <w:rPr>
                <w:rFonts w:ascii="Arial" w:hAnsi="Arial" w:eastAsia="宋体"/>
                <w:b w:val="0"/>
                <w:i w:val="0"/>
                <w:sz w:val="19"/>
              </w:rPr>
              <w:t>24模块及本次新增规则；已实现与待研发明确区分</w:t>
            </w:r>
          </w:p>
        </w:tc>
      </w:tr>
      <w:tr>
        <w:trPr>
          <w:cantSplit/>
        </w:trPr>
        <w:tc>
          <w:tcPr>
            <w:tcW w:type="dxa" w:w="2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系统研发与交互说明书</w:t>
            </w:r>
          </w:p>
        </w:tc>
        <w:tc>
          <w:tcPr>
            <w:tcW w:type="dxa" w:w="36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架构、源码、前后端交互、计算、持久化、构建运行与验证</w:t>
            </w:r>
          </w:p>
        </w:tc>
        <w:tc>
          <w:tcPr>
            <w:tcW w:type="dxa" w:w="34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财务、预算、分析和治理全模块；与实际源码对应</w:t>
            </w:r>
          </w:p>
        </w:tc>
      </w:tr>
      <w:tr>
        <w:trPr>
          <w:cantSplit/>
        </w:trPr>
        <w:tc>
          <w:tcPr>
            <w:tcW w:type="dxa" w:w="2287"/>
            <w:vAlign w:val="top"/>
            <w:tcMar>
              <w:top w:w="65" w:type="dxa"/>
              <w:bottom w:w="65" w:type="dxa"/>
              <w:left w:w="65" w:type="dxa"/>
              <w:right w:w="65" w:type="dxa"/>
            </w:tcMar>
          </w:tcPr>
          <w:p>
            <w:pPr>
              <w:spacing w:before="30" w:after="30" w:line="252" w:lineRule="auto"/>
            </w:pPr>
            <w:r>
              <w:rPr>
                <w:rFonts w:ascii="Arial" w:hAnsi="Arial" w:eastAsia="宋体"/>
                <w:b w:val="0"/>
                <w:i w:val="0"/>
                <w:sz w:val="19"/>
              </w:rPr>
              <w:t>产品说明书</w:t>
            </w:r>
          </w:p>
        </w:tc>
        <w:tc>
          <w:tcPr>
            <w:tcW w:type="dxa" w:w="3694"/>
            <w:vAlign w:val="top"/>
            <w:tcMar>
              <w:top w:w="65" w:type="dxa"/>
              <w:bottom w:w="65" w:type="dxa"/>
              <w:left w:w="65" w:type="dxa"/>
              <w:right w:w="65" w:type="dxa"/>
            </w:tcMar>
          </w:tcPr>
          <w:p>
            <w:pPr>
              <w:spacing w:before="30" w:after="30" w:line="252" w:lineRule="auto"/>
            </w:pPr>
            <w:r>
              <w:rPr>
                <w:rFonts w:ascii="Arial" w:hAnsi="Arial" w:eastAsia="宋体"/>
                <w:b w:val="0"/>
                <w:i w:val="0"/>
                <w:sz w:val="19"/>
              </w:rPr>
              <w:t>产品范围、角色、模块联动、完整案例和验收效果</w:t>
            </w:r>
          </w:p>
        </w:tc>
        <w:tc>
          <w:tcPr>
            <w:tcW w:type="dxa" w:w="3424"/>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保留本书所有模块，更新数字、限制和演示案例</w:t>
            </w:r>
          </w:p>
        </w:tc>
      </w:tr>
      <w:tr>
        <w:trPr>
          <w:cantSplit/>
        </w:trPr>
        <w:tc>
          <w:tcPr>
            <w:tcW w:type="dxa" w:w="22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用户操作手册</w:t>
            </w:r>
          </w:p>
        </w:tc>
        <w:tc>
          <w:tcPr>
            <w:tcW w:type="dxa" w:w="36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安装、字段填写、按钮步骤、日常流程、备份与排错</w:t>
            </w:r>
          </w:p>
        </w:tc>
        <w:tc>
          <w:tcPr>
            <w:tcW w:type="dxa" w:w="34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完整中文逐模块操作，不要求用户拼接历史手册</w:t>
            </w:r>
          </w:p>
        </w:tc>
      </w:tr>
    </w:tbl>
    <w:p>
      <w:pPr>
        <w:spacing w:after="40"/>
      </w:pPr>
    </w:p>
    <w:p>
      <w:r>
        <w:rPr>
          <w:rFonts w:ascii="Arial" w:hAnsi="Arial" w:eastAsia="宋体"/>
          <w:b w:val="0"/>
          <w:i w:val="0"/>
        </w:rPr>
        <w:t>四份正文应提供可编辑Word和便于阅读的PDF，保留可维护原稿；文件版本与适用软件基线一致。本轮ERP软件升级与四份完整文档共同使用ERP-20261021基线；最终运行源码、软件包与文档的摘要由包外交付清单及release.json绑定。</w:t>
      </w:r>
    </w:p>
    <w:p>
      <w:pPr>
        <w:pStyle w:val="Heading1"/>
      </w:pPr>
      <w:bookmarkStart w:id="58" w:name="epm_58"/>
      <w:r>
        <w:rPr>
          <w:rFonts w:ascii="Arial" w:hAnsi="Arial" w:eastAsia="宋体"/>
          <w:b w:val="0"/>
          <w:i w:val="0"/>
        </w:rPr>
        <w:t>八、评审建议与后续演进</w:t>
      </w:r>
      <w:bookmarkEnd w:id="58"/>
    </w:p>
    <w:p>
      <w:r>
        <w:rPr>
          <w:rFonts w:ascii="Arial" w:hAnsi="Arial" w:eastAsia="宋体"/>
          <w:b w:val="0"/>
          <w:i w:val="0"/>
        </w:rPr>
        <w:t>产品评审建议先做P01验证三类组织对象和金额口径，再做P02/P03演示修改与版本；随后以P07检查预算独立工作流，以P08/P09验证误用防护和职责限制。所有评审使用虚构数据；企业实际数据接入前，先确认会计政策、实际工商持股、投资源台账和财务签字责任。</w:t>
      </w:r>
    </w:p>
    <w:p>
      <w:r>
        <w:rPr>
          <w:rFonts w:ascii="Arial" w:hAnsi="Arial" w:eastAsia="宋体"/>
          <w:b w:val="0"/>
          <w:i w:val="0"/>
        </w:rPr>
        <w:t>正式研发应在本版凭证链及文件适配基础上，优先补完整历史投资明细台账、权益及税项政策、内部未实现利润、真实组织权限和账号、业务预算到成本现金三表的联动、NC在线API和其他ERP适配、备份恢复。是否纳入下一版本应在对应PRD中写清字段、规则、权限和验收，不能只增加一个入口就标为功能完成。</w:t>
      </w:r>
    </w:p>
    <w:sectPr w:rsidR="00FC693F" w:rsidRPr="0006063C" w:rsidSect="00034616">
      <w:headerReference w:type="default" r:id="rId9"/>
      <w:footerReference w:type="default" r:id="rId10"/>
      <w:pgSz w:w="12240" w:h="15840"/>
      <w:pgMar w:top="1134" w:right="1417" w:bottom="1134"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TY-EPM-PROD-ERP-001  ·  D1.0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产品说明书（含演示案例）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产品说明书（含演示案例）</dc:title>
  <dc:subject>杭州天元宠物用品有限公司：中文本机EPM Demo文档</dc:subject>
  <dc:creator>自研EPM项目文档</dc:creator>
  <cp:keywords>集团财务合并,全面预算,经营分析,多层合并,PRD,全模块,ERP-20261021,D1.0</cp:keywords>
  <dc:description>generated by python-docx</dc:description>
  <cp:lastModifiedBy/>
  <cp:revision>1</cp:revision>
  <dcterms:created xsi:type="dcterms:W3CDTF">2026-10-21T02:52:06Z</dcterms:created>
  <dcterms:modified xsi:type="dcterms:W3CDTF">2026-10-21T02:52:06Z</dcterms:modified>
  <cp:category/>
</cp:coreProperties>
</file>