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20"/>
      </w:pPr>
      <w:r>
        <w:rPr>
          <w:rFonts w:ascii="Arial" w:hAnsi="Arial" w:eastAsia="宋体"/>
          <w:color w:val="4B6995"/>
          <w:sz w:val="24"/>
        </w:rPr>
        <w:t>天元 EPM  /  凭证与分级合并中文演示版</w:t>
      </w:r>
    </w:p>
    <w:p>
      <w:pPr>
        <w:spacing w:before="240" w:after="280"/>
      </w:pPr>
      <w:r>
        <w:rPr>
          <w:rFonts w:ascii="Arial" w:hAnsi="Arial" w:eastAsia="宋体"/>
          <w:b/>
          <w:color w:val="173F6E"/>
          <w:sz w:val="50"/>
        </w:rPr>
        <w:t>系统研发与交互说明书</w:t>
      </w:r>
    </w:p>
    <w:p>
      <w:r>
        <w:rPr>
          <w:rFonts w:ascii="Arial" w:hAnsi="Arial" w:eastAsia="宋体"/>
          <w:sz w:val="30"/>
        </w:rPr>
        <w:t>杭州天元宠物用品有限公司</w:t>
      </w:r>
    </w:p>
    <w:p>
      <w:r>
        <w:rPr>
          <w:rFonts w:ascii="Arial" w:hAnsi="Arial" w:eastAsia="宋体"/>
          <w:color w:val="66758D"/>
          <w:sz w:val="22"/>
        </w:rPr>
        <w:t>研发架构 · 全模块交互 · 数据与算法 · 部署交付</w:t>
      </w:r>
    </w:p>
    <w:p/>
    <w:tbl>
      <w:tblPr>
        <w:tblStyle w:val="TableGrid"/>
        <w:tblW w:type="auto" w:w="0"/>
        <w:jc w:val="center"/>
        <w:tblLayout w:type="fixed"/>
        <w:tblLook w:firstColumn="1" w:firstRow="1" w:lastColumn="0" w:lastRow="0" w:noHBand="0" w:noVBand="1" w:val="04A0"/>
      </w:tblPr>
      <w:tblGrid>
        <w:gridCol w:w="2642"/>
        <w:gridCol w:w="6764"/>
      </w:tblGrid>
      <w:tr>
        <w:trPr>
          <w:cantSplit/>
          <w:tblHeader w:val="true"/>
        </w:trPr>
        <w:tc>
          <w:tcPr>
            <w:tcW w:type="dxa" w:w="264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文档控制项</w:t>
            </w:r>
          </w:p>
        </w:tc>
        <w:tc>
          <w:tcPr>
            <w:tcW w:type="dxa" w:w="676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说明</w:t>
            </w:r>
          </w:p>
        </w:tc>
      </w:tr>
      <w:tr>
        <w:trPr>
          <w:cantSplit/>
        </w:trPr>
        <w:tc>
          <w:tcPr>
            <w:tcW w:type="dxa" w:w="2642"/>
            <w:vAlign w:val="top"/>
            <w:tcMar>
              <w:top w:w="65" w:type="dxa"/>
              <w:bottom w:w="65" w:type="dxa"/>
              <w:left w:w="65" w:type="dxa"/>
              <w:right w:w="65" w:type="dxa"/>
            </w:tcMar>
          </w:tcPr>
          <w:p>
            <w:pPr>
              <w:spacing w:before="30" w:after="30" w:line="252" w:lineRule="auto"/>
            </w:pPr>
            <w:r>
              <w:rPr>
                <w:rFonts w:ascii="Arial" w:hAnsi="Arial" w:eastAsia="宋体"/>
                <w:b w:val="0"/>
                <w:i w:val="0"/>
                <w:sz w:val="19"/>
              </w:rPr>
              <w:t>文档编号</w:t>
            </w:r>
          </w:p>
        </w:tc>
        <w:tc>
          <w:tcPr>
            <w:tcW w:type="dxa" w:w="6764"/>
            <w:vAlign w:val="top"/>
            <w:tcMar>
              <w:top w:w="65" w:type="dxa"/>
              <w:bottom w:w="65" w:type="dxa"/>
              <w:left w:w="65" w:type="dxa"/>
              <w:right w:w="65" w:type="dxa"/>
            </w:tcMar>
          </w:tcPr>
          <w:p>
            <w:pPr>
              <w:spacing w:before="30" w:after="30" w:line="252" w:lineRule="auto"/>
            </w:pPr>
            <w:r>
              <w:rPr>
                <w:rFonts w:ascii="Arial" w:hAnsi="Arial" w:eastAsia="宋体"/>
                <w:b w:val="0"/>
                <w:i w:val="0"/>
                <w:sz w:val="19"/>
              </w:rPr>
              <w:t>TY-EPM-SYS-ERP-001</w:t>
            </w:r>
          </w:p>
        </w:tc>
      </w:tr>
      <w:tr>
        <w:trPr>
          <w:cantSplit/>
        </w:trPr>
        <w:tc>
          <w:tcPr>
            <w:tcW w:type="dxa" w:w="264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文档版本 / 日期</w:t>
            </w:r>
          </w:p>
        </w:tc>
        <w:tc>
          <w:tcPr>
            <w:tcW w:type="dxa" w:w="676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D1.0 / 2026-10-21</w:t>
            </w:r>
          </w:p>
        </w:tc>
      </w:tr>
      <w:tr>
        <w:trPr>
          <w:cantSplit/>
        </w:trPr>
        <w:tc>
          <w:tcPr>
            <w:tcW w:type="dxa" w:w="2642"/>
            <w:vAlign w:val="top"/>
            <w:tcMar>
              <w:top w:w="65" w:type="dxa"/>
              <w:bottom w:w="65" w:type="dxa"/>
              <w:left w:w="65" w:type="dxa"/>
              <w:right w:w="65" w:type="dxa"/>
            </w:tcMar>
          </w:tcPr>
          <w:p>
            <w:pPr>
              <w:spacing w:before="30" w:after="30" w:line="252" w:lineRule="auto"/>
            </w:pPr>
            <w:r>
              <w:rPr>
                <w:rFonts w:ascii="Arial" w:hAnsi="Arial" w:eastAsia="宋体"/>
                <w:b w:val="0"/>
                <w:i w:val="0"/>
                <w:sz w:val="19"/>
              </w:rPr>
              <w:t>适配软件基线</w:t>
            </w:r>
          </w:p>
        </w:tc>
        <w:tc>
          <w:tcPr>
            <w:tcW w:type="dxa" w:w="6764"/>
            <w:vAlign w:val="top"/>
            <w:tcMar>
              <w:top w:w="65" w:type="dxa"/>
              <w:bottom w:w="65" w:type="dxa"/>
              <w:left w:w="65" w:type="dxa"/>
              <w:right w:w="65" w:type="dxa"/>
            </w:tcMar>
          </w:tcPr>
          <w:p>
            <w:pPr>
              <w:spacing w:before="30" w:after="30" w:line="252" w:lineRule="auto"/>
            </w:pPr>
            <w:r>
              <w:rPr>
                <w:rFonts w:ascii="Arial" w:hAnsi="Arial" w:eastAsia="宋体"/>
                <w:b w:val="0"/>
                <w:i w:val="0"/>
                <w:sz w:val="19"/>
              </w:rPr>
              <w:t>ERP-20261021 · NC6.5凭证、单体报表及分级合并Demo</w:t>
            </w:r>
          </w:p>
        </w:tc>
      </w:tr>
      <w:tr>
        <w:trPr>
          <w:cantSplit/>
        </w:trPr>
        <w:tc>
          <w:tcPr>
            <w:tcW w:type="dxa" w:w="264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适用读者</w:t>
            </w:r>
          </w:p>
        </w:tc>
        <w:tc>
          <w:tcPr>
            <w:tcW w:type="dxa" w:w="676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研发、测试、实施及技术负责人</w:t>
            </w:r>
          </w:p>
        </w:tc>
      </w:tr>
      <w:tr>
        <w:trPr>
          <w:cantSplit/>
        </w:trPr>
        <w:tc>
          <w:tcPr>
            <w:tcW w:type="dxa" w:w="2642"/>
            <w:vAlign w:val="top"/>
            <w:tcMar>
              <w:top w:w="65" w:type="dxa"/>
              <w:bottom w:w="65" w:type="dxa"/>
              <w:left w:w="65" w:type="dxa"/>
              <w:right w:w="65" w:type="dxa"/>
            </w:tcMar>
          </w:tcPr>
          <w:p>
            <w:pPr>
              <w:spacing w:before="30" w:after="30" w:line="252" w:lineRule="auto"/>
            </w:pPr>
            <w:r>
              <w:rPr>
                <w:rFonts w:ascii="Arial" w:hAnsi="Arial" w:eastAsia="宋体"/>
                <w:b w:val="0"/>
                <w:i w:val="0"/>
                <w:sz w:val="19"/>
              </w:rPr>
              <w:t>数据说明</w:t>
            </w:r>
          </w:p>
        </w:tc>
        <w:tc>
          <w:tcPr>
            <w:tcW w:type="dxa" w:w="6764"/>
            <w:vAlign w:val="top"/>
            <w:tcMar>
              <w:top w:w="65" w:type="dxa"/>
              <w:bottom w:w="65" w:type="dxa"/>
              <w:left w:w="65" w:type="dxa"/>
              <w:right w:w="65" w:type="dxa"/>
            </w:tcMar>
          </w:tcPr>
          <w:p>
            <w:pPr>
              <w:spacing w:before="30" w:after="30" w:line="252" w:lineRule="auto"/>
            </w:pPr>
            <w:r>
              <w:rPr>
                <w:rFonts w:ascii="Arial" w:hAnsi="Arial" w:eastAsia="宋体"/>
                <w:b w:val="0"/>
                <w:i w:val="0"/>
                <w:sz w:val="19"/>
              </w:rPr>
              <w:t>主公司及鸿旺相关主体名称由用户提供；其他演示主体、人员、交易和财务金额为虚构样例。</w:t>
            </w:r>
          </w:p>
        </w:tc>
      </w:tr>
    </w:tbl>
    <w:p>
      <w:pPr>
        <w:spacing w:after="40"/>
      </w:pPr>
    </w:p>
    <w:p>
      <w:pPr>
        <w:spacing w:before="200"/>
        <w:shd w:fill="F0F5FC"/>
      </w:pPr>
      <w:r>
        <w:t>本套说明依据实际交付源码、接口与验收结果整理，明确区分可操作功能、演示计算口径及后续研发建议。</w:t>
      </w:r>
    </w:p>
    <w:p>
      <w:r>
        <w:br w:type="page"/>
      </w:r>
    </w:p>
    <w:p>
      <w:pPr>
        <w:pStyle w:val="Heading1"/>
      </w:pPr>
      <w:r>
        <w:t>阅读导航</w:t>
      </w:r>
    </w:p>
    <w:p>
      <w:r>
        <w:t>点击下列章节可跳转。Word/WPS 的标题样式也可用于导航及生成自动目录。</w:t>
      </w:r>
    </w:p>
    <w:p>
      <w:pPr>
        <w:spacing w:after="80"/>
      </w:pPr>
      <w:hyperlink w:anchor="epm_1">
        <w:r>
          <w:rPr>
            <w:color w:val="245CA8"/>
            <w:rFonts w:ascii="Arial" w:eastAsia="宋体"/>
            <w:sz w:val="21"/>
          </w:rPr>
          <w:t xml:space="preserve">一、文档控制与适用基线</w:t>
        </w:r>
      </w:hyperlink>
    </w:p>
    <w:p>
      <w:pPr>
        <w:spacing w:after="80"/>
      </w:pPr>
      <w:hyperlink w:anchor="epm_5">
        <w:r>
          <w:rPr>
            <w:color w:val="245CA8"/>
            <w:rFonts w:ascii="Arial" w:eastAsia="宋体"/>
            <w:sz w:val="21"/>
          </w:rPr>
          <w:t xml:space="preserve">二、整体研发结构</w:t>
        </w:r>
      </w:hyperlink>
    </w:p>
    <w:p>
      <w:pPr>
        <w:spacing w:after="80"/>
      </w:pPr>
      <w:hyperlink w:anchor="epm_9">
        <w:r>
          <w:rPr>
            <w:color w:val="245CA8"/>
            <w:rFonts w:ascii="Arial" w:eastAsia="宋体"/>
            <w:sz w:val="21"/>
          </w:rPr>
          <w:t xml:space="preserve">三、24个业务模块如何分工</w:t>
        </w:r>
      </w:hyperlink>
    </w:p>
    <w:p>
      <w:pPr>
        <w:spacing w:after="80"/>
      </w:pPr>
      <w:hyperlink w:anchor="epm_10">
        <w:r>
          <w:rPr>
            <w:color w:val="245CA8"/>
            <w:rFonts w:ascii="Arial" w:eastAsia="宋体"/>
            <w:sz w:val="21"/>
          </w:rPr>
          <w:t xml:space="preserve">四、三种组织对象及唯一纳入规则</w:t>
        </w:r>
      </w:hyperlink>
    </w:p>
    <w:p>
      <w:pPr>
        <w:spacing w:after="80"/>
      </w:pPr>
      <w:hyperlink w:anchor="epm_14">
        <w:r>
          <w:rPr>
            <w:color w:val="245CA8"/>
            <w:rFonts w:ascii="Arial" w:eastAsia="宋体"/>
            <w:sz w:val="21"/>
          </w:rPr>
          <w:t xml:space="preserve">五、首次启动与本机会话交互</w:t>
        </w:r>
      </w:hyperlink>
    </w:p>
    <w:p>
      <w:pPr>
        <w:spacing w:after="80"/>
      </w:pPr>
      <w:hyperlink w:anchor="epm_18">
        <w:r>
          <w:rPr>
            <w:color w:val="245CA8"/>
            <w:rFonts w:ascii="Arial" w:eastAsia="宋体"/>
            <w:sz w:val="21"/>
          </w:rPr>
          <w:t xml:space="preserve">六、前后端请求协议</w:t>
        </w:r>
      </w:hyperlink>
    </w:p>
    <w:p>
      <w:pPr>
        <w:spacing w:after="80"/>
      </w:pPr>
      <w:hyperlink w:anchor="epm_24">
        <w:r>
          <w:rPr>
            <w:color w:val="245CA8"/>
            <w:rFonts w:ascii="Arial" w:eastAsia="宋体"/>
            <w:sz w:val="21"/>
          </w:rPr>
          <w:t xml:space="preserve">七、命令怎样进入事务</w:t>
        </w:r>
      </w:hyperlink>
    </w:p>
    <w:p>
      <w:pPr>
        <w:spacing w:after="80"/>
      </w:pPr>
      <w:hyperlink w:anchor="epm_28">
        <w:r>
          <w:rPr>
            <w:color w:val="245CA8"/>
            <w:rFonts w:ascii="Arial" w:eastAsia="宋体"/>
            <w:sz w:val="21"/>
          </w:rPr>
          <w:t xml:space="preserve">八、SQLite物理结构与业务JSON</w:t>
        </w:r>
      </w:hyperlink>
    </w:p>
    <w:p>
      <w:pPr>
        <w:spacing w:after="80"/>
      </w:pPr>
      <w:hyperlink w:anchor="epm_32">
        <w:r>
          <w:rPr>
            <w:color w:val="245CA8"/>
            <w:rFonts w:ascii="Arial" w:eastAsia="宋体"/>
            <w:sz w:val="21"/>
          </w:rPr>
          <w:t xml:space="preserve">九、财务源报送与导入链</w:t>
        </w:r>
      </w:hyperlink>
    </w:p>
    <w:p>
      <w:pPr>
        <w:spacing w:after="80"/>
      </w:pPr>
      <w:hyperlink w:anchor="epm_37">
        <w:r>
          <w:rPr>
            <w:color w:val="245CA8"/>
            <w:rFonts w:ascii="Arial" w:eastAsia="宋体"/>
            <w:sz w:val="21"/>
          </w:rPr>
          <w:t xml:space="preserve">十、分级合并与签核快照</w:t>
        </w:r>
      </w:hyperlink>
    </w:p>
    <w:p>
      <w:pPr>
        <w:spacing w:after="80"/>
      </w:pPr>
      <w:hyperlink w:anchor="epm_42">
        <w:r>
          <w:rPr>
            <w:color w:val="245CA8"/>
            <w:rFonts w:ascii="Arial" w:eastAsia="宋体"/>
            <w:sz w:val="21"/>
          </w:rPr>
          <w:t xml:space="preserve">十一、分层抵销与真实投资边界</w:t>
        </w:r>
      </w:hyperlink>
    </w:p>
    <w:p>
      <w:pPr>
        <w:spacing w:after="80"/>
      </w:pPr>
      <w:hyperlink w:anchor="epm_47">
        <w:r>
          <w:rPr>
            <w:color w:val="245CA8"/>
            <w:rFonts w:ascii="Arial" w:eastAsia="宋体"/>
            <w:sz w:val="21"/>
          </w:rPr>
          <w:t xml:space="preserve">十二、美元财务报表分类折算</w:t>
        </w:r>
      </w:hyperlink>
    </w:p>
    <w:p>
      <w:pPr>
        <w:spacing w:after="80"/>
      </w:pPr>
      <w:hyperlink w:anchor="epm_52">
        <w:r>
          <w:rPr>
            <w:color w:val="245CA8"/>
            <w:rFonts w:ascii="Arial" w:eastAsia="宋体"/>
            <w:sz w:val="21"/>
          </w:rPr>
          <w:t xml:space="preserve">十三、三表显示、会计校验和经营分析</w:t>
        </w:r>
      </w:hyperlink>
    </w:p>
    <w:p>
      <w:pPr>
        <w:spacing w:after="80"/>
      </w:pPr>
      <w:hyperlink w:anchor="epm_56">
        <w:r>
          <w:rPr>
            <w:color w:val="245CA8"/>
            <w:rFonts w:ascii="Arial" w:eastAsia="宋体"/>
            <w:sz w:val="21"/>
          </w:rPr>
          <w:t xml:space="preserve">十四、预算域的研发机制</w:t>
        </w:r>
      </w:hyperlink>
    </w:p>
    <w:p>
      <w:pPr>
        <w:spacing w:after="80"/>
      </w:pPr>
      <w:hyperlink w:anchor="epm_62">
        <w:r>
          <w:rPr>
            <w:color w:val="245CA8"/>
            <w:rFonts w:ascii="Arial" w:eastAsia="宋体"/>
            <w:sz w:val="21"/>
          </w:rPr>
          <w:t xml:space="preserve">十五、权限、页面安全与治理模块</w:t>
        </w:r>
      </w:hyperlink>
    </w:p>
    <w:p>
      <w:pPr>
        <w:spacing w:after="80"/>
      </w:pPr>
      <w:hyperlink w:anchor="epm_66">
        <w:r>
          <w:rPr>
            <w:color w:val="245CA8"/>
            <w:rFonts w:ascii="Arial" w:eastAsia="宋体"/>
            <w:sz w:val="21"/>
          </w:rPr>
          <w:t xml:space="preserve">十六、运行、部署、备份与排错</w:t>
        </w:r>
      </w:hyperlink>
    </w:p>
    <w:p>
      <w:pPr>
        <w:spacing w:after="80"/>
      </w:pPr>
      <w:hyperlink w:anchor="epm_72">
        <w:r>
          <w:rPr>
            <w:color w:val="245CA8"/>
            <w:rFonts w:ascii="Arial" w:eastAsia="宋体"/>
            <w:sz w:val="21"/>
          </w:rPr>
          <w:t xml:space="preserve">十七、构建、验证及交付门禁</w:t>
        </w:r>
      </w:hyperlink>
    </w:p>
    <w:p>
      <w:pPr>
        <w:spacing w:after="80"/>
      </w:pPr>
      <w:hyperlink w:anchor="epm_77">
        <w:r>
          <w:rPr>
            <w:color w:val="245CA8"/>
            <w:rFonts w:ascii="Arial" w:eastAsia="宋体"/>
            <w:sz w:val="21"/>
          </w:rPr>
          <w:t xml:space="preserve">十八、正式研发扩展与技术限制</w:t>
        </w:r>
      </w:hyperlink>
    </w:p>
    <w:p>
      <w:pPr>
        <w:spacing w:after="80"/>
      </w:pPr>
      <w:hyperlink w:anchor="epm_80">
        <w:r>
          <w:rPr>
            <w:color w:val="245CA8"/>
            <w:rFonts w:ascii="Arial" w:eastAsia="宋体"/>
            <w:sz w:val="21"/>
          </w:rPr>
          <w:t xml:space="preserve">十九、ERP凭证到账务、匹配和合并的完整实现</w:t>
        </w:r>
      </w:hyperlink>
    </w:p>
    <w:p>
      <w:pPr>
        <w:spacing w:after="80"/>
      </w:pPr>
      <w:hyperlink w:anchor="epm_97">
        <w:r>
          <w:rPr>
            <w:color w:val="245CA8"/>
            <w:rFonts w:ascii="Arial" w:eastAsia="宋体"/>
            <w:sz w:val="21"/>
          </w:rPr>
          <w:t xml:space="preserve">附录：本说明的源码与证据索引</w:t>
        </w:r>
      </w:hyperlink>
    </w:p>
    <w:p>
      <w:r>
        <w:br w:type="page"/>
      </w:r>
    </w:p>
    <w:p>
      <w:r>
        <w:rPr>
          <w:rFonts w:ascii="Arial" w:hAnsi="Arial" w:eastAsia="宋体"/>
          <w:b w:val="0"/>
          <w:i w:val="0"/>
        </w:rPr>
        <w:t>杭州天元宠物用品有限公司</w:t>
      </w:r>
    </w:p>
    <w:p>
      <w:r>
        <w:rPr>
          <w:rFonts w:ascii="Arial" w:hAnsi="Arial" w:eastAsia="宋体"/>
          <w:b w:val="0"/>
          <w:i w:val="0"/>
        </w:rPr>
        <w:t>软件基线：</w:t>
      </w:r>
      <w:r>
        <w:rPr>
          <w:rFonts w:ascii="Arial" w:hAnsi="Arial" w:eastAsia="宋体"/>
          <w:b/>
          <w:i w:val="0"/>
        </w:rPr>
        <w:t>ERP-20261021（凭证驱动分级合并中文 Demo）</w:t>
      </w:r>
      <w:r>
        <w:rPr>
          <w:rFonts w:ascii="Arial" w:hAnsi="Arial" w:eastAsia="宋体"/>
          <w:b w:val="0"/>
          <w:i w:val="0"/>
        </w:rPr>
      </w:r>
      <w:r>
        <w:br/>
      </w:r>
      <w:r>
        <w:rPr>
          <w:rFonts w:ascii="Arial" w:hAnsi="Arial" w:eastAsia="宋体"/>
          <w:b w:val="0"/>
          <w:i w:val="0"/>
        </w:rPr>
        <w:t>文档版本：</w:t>
      </w:r>
      <w:r>
        <w:rPr>
          <w:rFonts w:ascii="Arial" w:hAnsi="Arial" w:eastAsia="宋体"/>
          <w:b/>
          <w:i w:val="0"/>
        </w:rPr>
        <w:t>D1.0</w:t>
      </w:r>
      <w:r>
        <w:rPr>
          <w:rFonts w:ascii="Arial" w:hAnsi="Arial" w:eastAsia="宋体"/>
          <w:b w:val="0"/>
          <w:i w:val="0"/>
        </w:rPr>
      </w:r>
      <w:r>
        <w:br/>
      </w:r>
      <w:r>
        <w:rPr>
          <w:rFonts w:ascii="Arial" w:hAnsi="Arial" w:eastAsia="宋体"/>
          <w:b w:val="0"/>
          <w:i w:val="0"/>
        </w:rPr>
        <w:t>发布日期：</w:t>
      </w:r>
      <w:r>
        <w:rPr>
          <w:rFonts w:ascii="Arial" w:hAnsi="Arial" w:eastAsia="宋体"/>
          <w:b/>
          <w:i w:val="0"/>
        </w:rPr>
        <w:t>2026-10-21</w:t>
      </w:r>
      <w:r>
        <w:rPr>
          <w:rFonts w:ascii="Arial" w:hAnsi="Arial" w:eastAsia="宋体"/>
          <w:b w:val="0"/>
          <w:i w:val="0"/>
        </w:rPr>
      </w:r>
      <w:r>
        <w:br/>
      </w:r>
      <w:r>
        <w:rPr>
          <w:rFonts w:ascii="Arial" w:hAnsi="Arial" w:eastAsia="宋体"/>
          <w:b w:val="0"/>
          <w:i w:val="0"/>
        </w:rPr>
        <w:t>适用对象：研发负责人、前后端开发、测试、实施、财务系统负责人。</w:t>
      </w:r>
      <w:r>
        <w:br/>
      </w:r>
      <w:r>
        <w:rPr>
          <w:rFonts w:ascii="Arial" w:hAnsi="Arial" w:eastAsia="宋体"/>
          <w:b w:val="0"/>
          <w:i w:val="0"/>
        </w:rPr>
        <w:t>文档范围：集团主数据、财务报送、分级合并、外币折算、全面预算、经营分析及治理后台，共24项菜单。</w:t>
      </w:r>
    </w:p>
    <w:p>
      <w:pPr>
        <w:pStyle w:val="Heading1"/>
      </w:pPr>
      <w:bookmarkStart w:id="1" w:name="epm_1"/>
      <w:r>
        <w:rPr>
          <w:rFonts w:ascii="Arial" w:hAnsi="Arial" w:eastAsia="宋体"/>
          <w:b w:val="0"/>
          <w:i w:val="0"/>
        </w:rPr>
        <w:t>一、文档控制与适用基线</w:t>
      </w:r>
      <w:bookmarkEnd w:id="1"/>
    </w:p>
    <w:p>
      <w:pPr>
        <w:pStyle w:val="Heading2"/>
      </w:pPr>
      <w:bookmarkStart w:id="2" w:name="epm_2"/>
      <w:r>
        <w:rPr>
          <w:rFonts w:ascii="Arial" w:hAnsi="Arial" w:eastAsia="宋体"/>
          <w:b w:val="0"/>
          <w:i w:val="0"/>
        </w:rPr>
        <w:t>1.1 与本次软件交付的绑定</w:t>
      </w:r>
      <w:bookmarkEnd w:id="2"/>
    </w:p>
    <w:p>
      <w:r>
        <w:rPr>
          <w:rFonts w:ascii="Arial" w:hAnsi="Arial" w:eastAsia="宋体"/>
          <w:b w:val="0"/>
          <w:i w:val="0"/>
        </w:rPr>
        <w:t>本说明依据凭证驱动合并版实际源码、文件适配与账务契约编写。ERP-20261021是独立软件升级，保留原有21个业务模块并增加3个ERP凭证模块；不改写先前ML-20261020软件及其数据库。文档和软件分别登记版本，交付时以本版release.json、软件包SHA及本版验收记录绑定，不能沿用旧版通过结论。</w:t>
      </w:r>
    </w:p>
    <w:tbl>
      <w:tblPr>
        <w:tblStyle w:val="TableGrid"/>
        <w:tblW w:type="auto" w:w="0"/>
        <w:jc w:val="center"/>
        <w:tblLayout w:type="fixed"/>
        <w:tblLook w:firstColumn="1" w:firstRow="1" w:lastColumn="0" w:lastRow="0" w:noHBand="0" w:noVBand="1" w:val="04A0"/>
      </w:tblPr>
      <w:tblGrid>
        <w:gridCol w:w="2994"/>
        <w:gridCol w:w="6412"/>
      </w:tblGrid>
      <w:tr>
        <w:trPr>
          <w:cantSplit/>
          <w:tblHeader w:val="true"/>
        </w:trPr>
        <w:tc>
          <w:tcPr>
            <w:tcW w:type="dxa" w:w="299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项目</w:t>
            </w:r>
          </w:p>
        </w:tc>
        <w:tc>
          <w:tcPr>
            <w:tcW w:type="dxa" w:w="641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确定值</w:t>
            </w:r>
          </w:p>
        </w:tc>
      </w:tr>
      <w:tr>
        <w:trPr>
          <w:cantSplit/>
        </w:trPr>
        <w:tc>
          <w:tcPr>
            <w:tcW w:type="dxa" w:w="2994"/>
            <w:vAlign w:val="top"/>
            <w:tcMar>
              <w:top w:w="65" w:type="dxa"/>
              <w:bottom w:w="65" w:type="dxa"/>
              <w:left w:w="65" w:type="dxa"/>
              <w:right w:w="65" w:type="dxa"/>
            </w:tcMar>
          </w:tcPr>
          <w:p>
            <w:pPr>
              <w:spacing w:before="30" w:after="30" w:line="252" w:lineRule="auto"/>
            </w:pPr>
            <w:r>
              <w:rPr>
                <w:rFonts w:ascii="Arial" w:hAnsi="Arial" w:eastAsia="宋体"/>
                <w:b w:val="0"/>
                <w:i w:val="0"/>
                <w:sz w:val="19"/>
              </w:rPr>
              <w:t>公司显示名称</w:t>
            </w:r>
          </w:p>
        </w:tc>
        <w:tc>
          <w:tcPr>
            <w:tcW w:type="dxa" w:w="6412"/>
            <w:vAlign w:val="top"/>
            <w:tcMar>
              <w:top w:w="65" w:type="dxa"/>
              <w:bottom w:w="65" w:type="dxa"/>
              <w:left w:w="65" w:type="dxa"/>
              <w:right w:w="65" w:type="dxa"/>
            </w:tcMar>
          </w:tcPr>
          <w:p>
            <w:pPr>
              <w:spacing w:before="30" w:after="30" w:line="252" w:lineRule="auto"/>
            </w:pPr>
            <w:r>
              <w:rPr>
                <w:rFonts w:ascii="Arial" w:hAnsi="Arial" w:eastAsia="宋体"/>
                <w:b w:val="0"/>
                <w:i w:val="0"/>
                <w:sz w:val="19"/>
              </w:rPr>
              <w:t>杭州天元宠物用品有限公司</w:t>
            </w:r>
          </w:p>
        </w:tc>
      </w:tr>
      <w:tr>
        <w:trPr>
          <w:cantSplit/>
        </w:trPr>
        <w:tc>
          <w:tcPr>
            <w:tcW w:type="dxa" w:w="29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业务基线编号</w:t>
            </w:r>
          </w:p>
        </w:tc>
        <w:tc>
          <w:tcPr>
            <w:tcW w:type="dxa" w:w="64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ERP-20261021</w:t>
            </w:r>
          </w:p>
        </w:tc>
      </w:tr>
      <w:tr>
        <w:trPr>
          <w:cantSplit/>
        </w:trPr>
        <w:tc>
          <w:tcPr>
            <w:tcW w:type="dxa" w:w="2994"/>
            <w:vAlign w:val="top"/>
            <w:tcMar>
              <w:top w:w="65" w:type="dxa"/>
              <w:bottom w:w="65" w:type="dxa"/>
              <w:left w:w="65" w:type="dxa"/>
              <w:right w:w="65" w:type="dxa"/>
            </w:tcMar>
          </w:tcPr>
          <w:p>
            <w:pPr>
              <w:spacing w:before="30" w:after="30" w:line="252" w:lineRule="auto"/>
            </w:pPr>
            <w:r>
              <w:rPr>
                <w:rFonts w:ascii="Arial" w:hAnsi="Arial" w:eastAsia="宋体"/>
                <w:b w:val="0"/>
                <w:i w:val="0"/>
                <w:sz w:val="19"/>
              </w:rPr>
              <w:t>内部产品标识</w:t>
            </w:r>
          </w:p>
        </w:tc>
        <w:tc>
          <w:tcPr>
            <w:tcW w:type="dxa" w:w="6412"/>
            <w:vAlign w:val="top"/>
            <w:tcMar>
              <w:top w:w="65" w:type="dxa"/>
              <w:bottom w:w="65" w:type="dxa"/>
              <w:left w:w="65" w:type="dxa"/>
              <w:right w:w="65" w:type="dxa"/>
            </w:tcMar>
          </w:tcPr>
          <w:p>
            <w:pPr>
              <w:spacing w:before="30" w:after="30" w:line="252" w:lineRule="auto"/>
            </w:pPr>
            <w:r>
              <w:rPr>
                <w:rFonts w:ascii="Arial" w:hAnsi="Arial" w:eastAsia="宋体"/>
                <w:b w:val="0"/>
                <w:i w:val="0"/>
                <w:sz w:val="19"/>
              </w:rPr>
              <w:t>SelfDevelopedEPM-ERP-Demo</w:t>
            </w:r>
          </w:p>
        </w:tc>
      </w:tr>
      <w:tr>
        <w:trPr>
          <w:cantSplit/>
        </w:trPr>
        <w:tc>
          <w:tcPr>
            <w:tcW w:type="dxa" w:w="29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持久化模式版本</w:t>
            </w:r>
          </w:p>
        </w:tc>
        <w:tc>
          <w:tcPr>
            <w:tcW w:type="dxa" w:w="64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schemaVersion=3</w:t>
            </w:r>
          </w:p>
        </w:tc>
      </w:tr>
      <w:tr>
        <w:trPr>
          <w:cantSplit/>
        </w:trPr>
        <w:tc>
          <w:tcPr>
            <w:tcW w:type="dxa" w:w="2994"/>
            <w:vAlign w:val="top"/>
            <w:tcMar>
              <w:top w:w="65" w:type="dxa"/>
              <w:bottom w:w="65" w:type="dxa"/>
              <w:left w:w="65" w:type="dxa"/>
              <w:right w:w="65" w:type="dxa"/>
            </w:tcMar>
          </w:tcPr>
          <w:p>
            <w:pPr>
              <w:spacing w:before="30" w:after="30" w:line="252" w:lineRule="auto"/>
            </w:pPr>
            <w:r>
              <w:rPr>
                <w:rFonts w:ascii="Arial" w:hAnsi="Arial" w:eastAsia="宋体"/>
                <w:b w:val="0"/>
                <w:i w:val="0"/>
                <w:sz w:val="19"/>
              </w:rPr>
              <w:t>计算模型版本</w:t>
            </w:r>
          </w:p>
        </w:tc>
        <w:tc>
          <w:tcPr>
            <w:tcW w:type="dxa" w:w="6412"/>
            <w:vAlign w:val="top"/>
            <w:tcMar>
              <w:top w:w="65" w:type="dxa"/>
              <w:bottom w:w="65" w:type="dxa"/>
              <w:left w:w="65" w:type="dxa"/>
              <w:right w:w="65" w:type="dxa"/>
            </w:tcMar>
          </w:tcPr>
          <w:p>
            <w:pPr>
              <w:spacing w:before="30" w:after="30" w:line="252" w:lineRule="auto"/>
            </w:pPr>
            <w:r>
              <w:rPr>
                <w:rFonts w:ascii="Arial" w:hAnsi="Arial" w:eastAsia="宋体"/>
                <w:b w:val="0"/>
                <w:i w:val="0"/>
                <w:sz w:val="19"/>
              </w:rPr>
              <w:t>ERP-20261021</w:t>
            </w:r>
          </w:p>
        </w:tc>
      </w:tr>
      <w:tr>
        <w:trPr>
          <w:cantSplit/>
        </w:trPr>
        <w:tc>
          <w:tcPr>
            <w:tcW w:type="dxa" w:w="29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Windows ZIP</w:t>
            </w:r>
          </w:p>
        </w:tc>
        <w:tc>
          <w:tcPr>
            <w:tcW w:type="dxa" w:w="64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TianyuanEPM-ERP-Demo-Windows-x64.zip</w:t>
            </w:r>
          </w:p>
        </w:tc>
      </w:tr>
      <w:tr>
        <w:trPr>
          <w:cantSplit/>
        </w:trPr>
        <w:tc>
          <w:tcPr>
            <w:tcW w:type="dxa" w:w="2994"/>
            <w:vAlign w:val="top"/>
            <w:tcMar>
              <w:top w:w="65" w:type="dxa"/>
              <w:bottom w:w="65" w:type="dxa"/>
              <w:left w:w="65" w:type="dxa"/>
              <w:right w:w="65" w:type="dxa"/>
            </w:tcMar>
          </w:tcPr>
          <w:p>
            <w:pPr>
              <w:spacing w:before="30" w:after="30" w:line="252" w:lineRule="auto"/>
            </w:pPr>
            <w:r>
              <w:rPr>
                <w:rFonts w:ascii="Arial" w:hAnsi="Arial" w:eastAsia="宋体"/>
                <w:b w:val="0"/>
                <w:i w:val="0"/>
                <w:sz w:val="19"/>
              </w:rPr>
              <w:t>启动入口</w:t>
            </w:r>
          </w:p>
        </w:tc>
        <w:tc>
          <w:tcPr>
            <w:tcW w:type="dxa" w:w="6412"/>
            <w:vAlign w:val="top"/>
            <w:tcMar>
              <w:top w:w="65" w:type="dxa"/>
              <w:bottom w:w="65" w:type="dxa"/>
              <w:left w:w="65" w:type="dxa"/>
              <w:right w:w="65" w:type="dxa"/>
            </w:tcMar>
          </w:tcPr>
          <w:p>
            <w:pPr>
              <w:spacing w:before="30" w:after="30" w:line="252" w:lineRule="auto"/>
            </w:pPr>
            <w:r>
              <w:rPr>
                <w:rFonts w:ascii="Arial" w:hAnsi="Arial" w:eastAsia="宋体"/>
                <w:b w:val="0"/>
                <w:i w:val="0"/>
                <w:sz w:val="19"/>
              </w:rPr>
              <w:t>天元EPM 凭证合并Demo.exe</w:t>
            </w:r>
          </w:p>
        </w:tc>
      </w:tr>
      <w:tr>
        <w:trPr>
          <w:cantSplit/>
        </w:trPr>
        <w:tc>
          <w:tcPr>
            <w:tcW w:type="dxa" w:w="29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本版软件发布提交</w:t>
            </w:r>
          </w:p>
        </w:tc>
        <w:tc>
          <w:tcPr>
            <w:tcW w:type="dxa" w:w="64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见同版release.json中的softwareArtifactCommit</w:t>
            </w:r>
          </w:p>
        </w:tc>
      </w:tr>
      <w:tr>
        <w:trPr>
          <w:cantSplit/>
        </w:trPr>
        <w:tc>
          <w:tcPr>
            <w:tcW w:type="dxa" w:w="2994"/>
            <w:vAlign w:val="top"/>
            <w:tcMar>
              <w:top w:w="65" w:type="dxa"/>
              <w:bottom w:w="65" w:type="dxa"/>
              <w:left w:w="65" w:type="dxa"/>
              <w:right w:w="65" w:type="dxa"/>
            </w:tcMar>
          </w:tcPr>
          <w:p>
            <w:pPr>
              <w:spacing w:before="30" w:after="30" w:line="252" w:lineRule="auto"/>
            </w:pPr>
            <w:r>
              <w:rPr>
                <w:rFonts w:ascii="Arial" w:hAnsi="Arial" w:eastAsia="宋体"/>
                <w:b w:val="0"/>
                <w:i w:val="0"/>
                <w:sz w:val="19"/>
              </w:rPr>
              <w:t>软件ZIP SHA256</w:t>
            </w:r>
          </w:p>
        </w:tc>
        <w:tc>
          <w:tcPr>
            <w:tcW w:type="dxa" w:w="6412"/>
            <w:vAlign w:val="top"/>
            <w:tcMar>
              <w:top w:w="65" w:type="dxa"/>
              <w:bottom w:w="65" w:type="dxa"/>
              <w:left w:w="65" w:type="dxa"/>
              <w:right w:w="65" w:type="dxa"/>
            </w:tcMar>
          </w:tcPr>
          <w:p>
            <w:pPr>
              <w:spacing w:before="30" w:after="30" w:line="252" w:lineRule="auto"/>
            </w:pPr>
            <w:r>
              <w:rPr>
                <w:rFonts w:ascii="Arial" w:hAnsi="Arial" w:eastAsia="宋体"/>
                <w:b w:val="0"/>
                <w:i w:val="0"/>
                <w:sz w:val="19"/>
              </w:rPr>
              <w:t>见同版release.json中的softwareZipSha256及发布校验文件</w:t>
            </w:r>
          </w:p>
        </w:tc>
      </w:tr>
      <w:tr>
        <w:trPr>
          <w:cantSplit/>
        </w:trPr>
        <w:tc>
          <w:tcPr>
            <w:tcW w:type="dxa" w:w="29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前端/后端来源摘要</w:t>
            </w:r>
          </w:p>
        </w:tc>
        <w:tc>
          <w:tcPr>
            <w:tcW w:type="dxa" w:w="64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见同版源码SHA清单与原生运行验证记录；不得套用ML旧摘要</w:t>
            </w:r>
          </w:p>
        </w:tc>
      </w:tr>
      <w:tr>
        <w:trPr>
          <w:cantSplit/>
        </w:trPr>
        <w:tc>
          <w:tcPr>
            <w:tcW w:type="dxa" w:w="2994"/>
            <w:vAlign w:val="top"/>
            <w:tcMar>
              <w:top w:w="65" w:type="dxa"/>
              <w:bottom w:w="65" w:type="dxa"/>
              <w:left w:w="65" w:type="dxa"/>
              <w:right w:w="65" w:type="dxa"/>
            </w:tcMar>
          </w:tcPr>
          <w:p>
            <w:pPr>
              <w:spacing w:before="30" w:after="30" w:line="252" w:lineRule="auto"/>
            </w:pPr>
            <w:r>
              <w:rPr>
                <w:rFonts w:ascii="Arial" w:hAnsi="Arial" w:eastAsia="宋体"/>
                <w:b w:val="0"/>
                <w:i w:val="0"/>
                <w:sz w:val="19"/>
              </w:rPr>
              <w:t>默认数据目录</w:t>
            </w:r>
          </w:p>
        </w:tc>
        <w:tc>
          <w:tcPr>
            <w:tcW w:type="dxa" w:w="6412"/>
            <w:vAlign w:val="top"/>
            <w:tcMar>
              <w:top w:w="65" w:type="dxa"/>
              <w:bottom w:w="65" w:type="dxa"/>
              <w:left w:w="65" w:type="dxa"/>
              <w:right w:w="65" w:type="dxa"/>
            </w:tcMar>
          </w:tcPr>
          <w:p>
            <w:pPr>
              <w:spacing w:before="30" w:after="30" w:line="252" w:lineRule="auto"/>
            </w:pPr>
            <w:r>
              <w:rPr>
                <w:rFonts w:ascii="Arial" w:hAnsi="Arial" w:eastAsia="宋体"/>
                <w:b w:val="0"/>
                <w:i w:val="0"/>
                <w:sz w:val="19"/>
              </w:rPr>
              <w:t>%LOCALAPPDATA%\TianyuanEPMVoucherDemo</w:t>
            </w:r>
          </w:p>
        </w:tc>
      </w:tr>
    </w:tbl>
    <w:p>
      <w:pPr>
        <w:spacing w:after="40"/>
      </w:pPr>
    </w:p>
    <w:p>
      <w:r>
        <w:rPr>
          <w:rFonts w:ascii="Arial" w:hAnsi="Arial" w:eastAsia="宋体"/>
          <w:b w:val="0"/>
          <w:i w:val="0"/>
        </w:rPr>
        <w:t>软件包内的源码、实际运行目录及验证记录是定位问题的依据。本说明中的金额均为虚构演示数据。鸿旺相关法人名称和互不重叠的报表关系来自用户确认，其他法人及财务数值用于验证。</w:t>
      </w:r>
    </w:p>
    <w:p>
      <w:pPr>
        <w:pStyle w:val="Heading2"/>
      </w:pPr>
      <w:bookmarkStart w:id="3" w:name="epm_3"/>
      <w:r>
        <w:rPr>
          <w:rFonts w:ascii="Arial" w:hAnsi="Arial" w:eastAsia="宋体"/>
          <w:b w:val="0"/>
          <w:i w:val="0"/>
        </w:rPr>
        <w:t>1.2 四份文档的分工</w:t>
      </w:r>
      <w:bookmarkEnd w:id="3"/>
    </w:p>
    <w:tbl>
      <w:tblPr>
        <w:tblStyle w:val="TableGrid"/>
        <w:tblW w:type="auto" w:w="0"/>
        <w:jc w:val="center"/>
        <w:tblLayout w:type="fixed"/>
        <w:tblLook w:firstColumn="1" w:firstRow="1" w:lastColumn="0" w:lastRow="0" w:noHBand="0" w:noVBand="1" w:val="04A0"/>
      </w:tblPr>
      <w:tblGrid>
        <w:gridCol w:w="3597"/>
        <w:gridCol w:w="5809"/>
      </w:tblGrid>
      <w:tr>
        <w:trPr>
          <w:cantSplit/>
          <w:tblHeader w:val="true"/>
        </w:trPr>
        <w:tc>
          <w:tcPr>
            <w:tcW w:type="dxa" w:w="359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文档</w:t>
            </w:r>
          </w:p>
        </w:tc>
        <w:tc>
          <w:tcPr>
            <w:tcW w:type="dxa" w:w="580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回答的问题</w:t>
            </w:r>
          </w:p>
        </w:tc>
      </w:tr>
      <w:tr>
        <w:trPr>
          <w:cantSplit/>
        </w:trPr>
        <w:tc>
          <w:tcPr>
            <w:tcW w:type="dxa" w:w="3597"/>
            <w:vAlign w:val="top"/>
            <w:tcMar>
              <w:top w:w="65" w:type="dxa"/>
              <w:bottom w:w="65" w:type="dxa"/>
              <w:left w:w="65" w:type="dxa"/>
              <w:right w:w="65" w:type="dxa"/>
            </w:tcMar>
          </w:tcPr>
          <w:p>
            <w:pPr>
              <w:spacing w:before="30" w:after="30" w:line="252" w:lineRule="auto"/>
            </w:pPr>
            <w:r>
              <w:rPr>
                <w:rFonts w:ascii="Arial" w:hAnsi="Arial" w:eastAsia="宋体"/>
                <w:b w:val="0"/>
                <w:i w:val="0"/>
                <w:sz w:val="19"/>
              </w:rPr>
              <w:t>PRD研发需求规格说明书</w:t>
            </w:r>
          </w:p>
        </w:tc>
        <w:tc>
          <w:tcPr>
            <w:tcW w:type="dxa" w:w="5809"/>
            <w:vAlign w:val="top"/>
            <w:tcMar>
              <w:top w:w="65" w:type="dxa"/>
              <w:bottom w:w="65" w:type="dxa"/>
              <w:left w:w="65" w:type="dxa"/>
              <w:right w:w="65" w:type="dxa"/>
            </w:tcMar>
          </w:tcPr>
          <w:p>
            <w:pPr>
              <w:spacing w:before="30" w:after="30" w:line="252" w:lineRule="auto"/>
            </w:pPr>
            <w:r>
              <w:rPr>
                <w:rFonts w:ascii="Arial" w:hAnsi="Arial" w:eastAsia="宋体"/>
                <w:b w:val="0"/>
                <w:i w:val="0"/>
                <w:sz w:val="19"/>
              </w:rPr>
              <w:t>业务要做什么；页面、字段、规则、权限及验收怎样确定</w:t>
            </w:r>
          </w:p>
        </w:tc>
      </w:tr>
      <w:tr>
        <w:trPr>
          <w:cantSplit/>
        </w:trPr>
        <w:tc>
          <w:tcPr>
            <w:tcW w:type="dxa" w:w="35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本系统研发与交互说明书</w:t>
            </w:r>
          </w:p>
        </w:tc>
        <w:tc>
          <w:tcPr>
            <w:tcW w:type="dxa" w:w="58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当前系统怎样实现；模块如何通信、计算、保存和交付</w:t>
            </w:r>
          </w:p>
        </w:tc>
      </w:tr>
      <w:tr>
        <w:trPr>
          <w:cantSplit/>
        </w:trPr>
        <w:tc>
          <w:tcPr>
            <w:tcW w:type="dxa" w:w="3597"/>
            <w:vAlign w:val="top"/>
            <w:tcMar>
              <w:top w:w="65" w:type="dxa"/>
              <w:bottom w:w="65" w:type="dxa"/>
              <w:left w:w="65" w:type="dxa"/>
              <w:right w:w="65" w:type="dxa"/>
            </w:tcMar>
          </w:tcPr>
          <w:p>
            <w:pPr>
              <w:spacing w:before="30" w:after="30" w:line="252" w:lineRule="auto"/>
            </w:pPr>
            <w:r>
              <w:rPr>
                <w:rFonts w:ascii="Arial" w:hAnsi="Arial" w:eastAsia="宋体"/>
                <w:b w:val="0"/>
                <w:i w:val="0"/>
                <w:sz w:val="19"/>
              </w:rPr>
              <w:t>产品说明书（含演示案例）</w:t>
            </w:r>
          </w:p>
        </w:tc>
        <w:tc>
          <w:tcPr>
            <w:tcW w:type="dxa" w:w="5809"/>
            <w:vAlign w:val="top"/>
            <w:tcMar>
              <w:top w:w="65" w:type="dxa"/>
              <w:bottom w:w="65" w:type="dxa"/>
              <w:left w:w="65" w:type="dxa"/>
              <w:right w:w="65" w:type="dxa"/>
            </w:tcMar>
          </w:tcPr>
          <w:p>
            <w:pPr>
              <w:spacing w:before="30" w:after="30" w:line="252" w:lineRule="auto"/>
            </w:pPr>
            <w:r>
              <w:rPr>
                <w:rFonts w:ascii="Arial" w:hAnsi="Arial" w:eastAsia="宋体"/>
                <w:b w:val="0"/>
                <w:i w:val="0"/>
                <w:sz w:val="19"/>
              </w:rPr>
              <w:t>产品有哪些能力；怎样串联场景、判断演示结果</w:t>
            </w:r>
          </w:p>
        </w:tc>
      </w:tr>
      <w:tr>
        <w:trPr>
          <w:cantSplit/>
        </w:trPr>
        <w:tc>
          <w:tcPr>
            <w:tcW w:type="dxa" w:w="35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用户操作手册</w:t>
            </w:r>
          </w:p>
        </w:tc>
        <w:tc>
          <w:tcPr>
            <w:tcW w:type="dxa" w:w="58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用户从哪个菜单进入、填写什么、点击什么、报错如何处理</w:t>
            </w:r>
          </w:p>
        </w:tc>
      </w:tr>
    </w:tbl>
    <w:p>
      <w:pPr>
        <w:spacing w:after="40"/>
      </w:pPr>
    </w:p>
    <w:p>
      <w:r>
        <w:rPr>
          <w:rFonts w:ascii="Arial" w:hAnsi="Arial" w:eastAsia="宋体"/>
          <w:b w:val="0"/>
          <w:i w:val="0"/>
        </w:rPr>
        <w:t>本说明集中解释实现机制。字段逐项类型、必填条件及业务验收清单应同时参照同版PRD。每次升级应完整更新四份文档及模块覆盖表，不能只提供新增功能补充页而让读者自行拼接旧版本。</w:t>
      </w:r>
    </w:p>
    <w:p>
      <w:pPr>
        <w:pStyle w:val="Heading2"/>
      </w:pPr>
      <w:bookmarkStart w:id="4" w:name="epm_4"/>
      <w:r>
        <w:rPr>
          <w:rFonts w:ascii="Arial" w:hAnsi="Arial" w:eastAsia="宋体"/>
          <w:b w:val="0"/>
          <w:i w:val="0"/>
        </w:rPr>
        <w:t>1.3 事实、研发建议与未实现范围</w:t>
      </w:r>
      <w:bookmarkEnd w:id="4"/>
    </w:p>
    <w:p>
      <w:r>
        <w:rPr>
          <w:rFonts w:ascii="Arial" w:hAnsi="Arial" w:eastAsia="宋体"/>
          <w:b w:val="0"/>
          <w:i w:val="0"/>
        </w:rPr>
        <w:t>正文“当前实现”仅指本基线能够执行和保存的功能。“后续研发”描述正式系统需要增加的能力，不构成已交付代码或已通过验收的承诺。现有预算可保存目标、项目、版本和审批，但业务预算项目尚未自动推导完整预算三表。当前财务支持100%全资、普通CNY/USD、无本期资本变动及分红的明确示例。</w:t>
      </w:r>
    </w:p>
    <w:p>
      <w:pPr>
        <w:pStyle w:val="Heading1"/>
      </w:pPr>
      <w:bookmarkStart w:id="5" w:name="epm_5"/>
      <w:r>
        <w:rPr>
          <w:rFonts w:ascii="Arial" w:hAnsi="Arial" w:eastAsia="宋体"/>
          <w:b w:val="0"/>
          <w:i w:val="0"/>
        </w:rPr>
        <w:t>二、整体研发结构</w:t>
      </w:r>
      <w:bookmarkEnd w:id="5"/>
    </w:p>
    <w:p>
      <w:pPr>
        <w:pStyle w:val="Heading2"/>
      </w:pPr>
      <w:bookmarkStart w:id="6" w:name="epm_6"/>
      <w:r>
        <w:rPr>
          <w:rFonts w:ascii="Arial" w:hAnsi="Arial" w:eastAsia="宋体"/>
          <w:b w:val="0"/>
          <w:i w:val="0"/>
        </w:rPr>
        <w:t>2.1 运行组成</w:t>
      </w:r>
      <w:bookmarkEnd w:id="6"/>
    </w:p>
    <w:p>
      <w:pPr>
        <w:keepNext/>
        <w:jc w:val="center"/>
      </w:pPr>
      <w:r>
        <w:drawing>
          <wp:inline xmlns:a="http://schemas.openxmlformats.org/drawingml/2006/main" xmlns:pic="http://schemas.openxmlformats.org/drawingml/2006/picture">
            <wp:extent cx="5868000" cy="3786090"/>
            <wp:docPr id="1" name="Picture 1"/>
            <wp:cNvGraphicFramePr>
              <a:graphicFrameLocks noChangeAspect="1"/>
            </wp:cNvGraphicFramePr>
            <a:graphic>
              <a:graphicData uri="http://schemas.openxmlformats.org/drawingml/2006/picture">
                <pic:pic>
                  <pic:nvPicPr>
                    <pic:cNvPr id="0" name="系统架构与交互.png"/>
                    <pic:cNvPicPr/>
                  </pic:nvPicPr>
                  <pic:blipFill>
                    <a:blip r:embed="rId11"/>
                    <a:stretch>
                      <a:fillRect/>
                    </a:stretch>
                  </pic:blipFill>
                  <pic:spPr>
                    <a:xfrm>
                      <a:off x="0" y="0"/>
                      <a:ext cx="5868000" cy="3786090"/>
                    </a:xfrm>
                    <a:prstGeom prst="rect"/>
                  </pic:spPr>
                </pic:pic>
              </a:graphicData>
            </a:graphic>
          </wp:inline>
        </w:drawing>
      </w:r>
    </w:p>
    <w:p>
      <w:pPr>
        <w:jc w:val="center"/>
      </w:pPr>
      <w:r>
        <w:rPr>
          <w:rFonts w:ascii="Arial" w:hAnsi="Arial" w:eastAsia="宋体"/>
          <w:color w:val="66758D"/>
          <w:sz w:val="18"/>
        </w:rPr>
        <w:t>图 1  图1：本机中文EPM的运行组成和业务交互。</w:t>
      </w:r>
    </w:p>
    <w:p>
      <w:r>
        <w:rPr>
          <w:rFonts w:ascii="Arial" w:hAnsi="Arial" w:eastAsia="宋体"/>
          <w:b w:val="0"/>
          <w:i w:val="0"/>
        </w:rPr>
        <w:t>程序采用原生Windows启动入口、本地浏览器工作台、标准库HTTP服务、ERP文件适配与账务纯函数、领域命令、分级财务计算和SQLite存储。Windows包内已经附带运行解释器和所需库，终端用户不需要安装Python、Docker、WSL或虚拟机。系统不依赖外部CDN提供页面资源。</w:t>
      </w:r>
    </w:p>
    <w:tbl>
      <w:tblPr>
        <w:tblStyle w:val="TableGrid"/>
        <w:tblW w:type="auto" w:w="0"/>
        <w:jc w:val="center"/>
        <w:tblLayout w:type="fixed"/>
        <w:tblLook w:firstColumn="1" w:firstRow="1" w:lastColumn="0" w:lastRow="0" w:noHBand="0" w:noVBand="1" w:val="04A0"/>
      </w:tblPr>
      <w:tblGrid>
        <w:gridCol w:w="1356"/>
        <w:gridCol w:w="3620"/>
        <w:gridCol w:w="4430"/>
      </w:tblGrid>
      <w:tr>
        <w:trPr>
          <w:cantSplit/>
          <w:tblHeader w:val="true"/>
        </w:trPr>
        <w:tc>
          <w:tcPr>
            <w:tcW w:type="dxa" w:w="135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层次</w:t>
            </w:r>
          </w:p>
        </w:tc>
        <w:tc>
          <w:tcPr>
            <w:tcW w:type="dxa" w:w="362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主要职责</w:t>
            </w:r>
          </w:p>
        </w:tc>
        <w:tc>
          <w:tcPr>
            <w:tcW w:type="dxa" w:w="443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当前实现文件</w:t>
            </w:r>
          </w:p>
        </w:tc>
      </w:tr>
      <w:tr>
        <w:trPr>
          <w:cantSplit/>
        </w:trPr>
        <w:tc>
          <w:tcPr>
            <w:tcW w:type="dxa" w:w="1356"/>
            <w:vAlign w:val="top"/>
            <w:tcMar>
              <w:top w:w="65" w:type="dxa"/>
              <w:bottom w:w="65" w:type="dxa"/>
              <w:left w:w="65" w:type="dxa"/>
              <w:right w:w="65" w:type="dxa"/>
            </w:tcMar>
          </w:tcPr>
          <w:p>
            <w:pPr>
              <w:spacing w:before="30" w:after="30" w:line="252" w:lineRule="auto"/>
            </w:pPr>
            <w:r>
              <w:rPr>
                <w:rFonts w:ascii="Arial" w:hAnsi="Arial" w:eastAsia="宋体"/>
                <w:b w:val="0"/>
                <w:i w:val="0"/>
                <w:sz w:val="19"/>
              </w:rPr>
              <w:t>原生入口</w:t>
            </w:r>
          </w:p>
        </w:tc>
        <w:tc>
          <w:tcPr>
            <w:tcW w:type="dxa" w:w="3620"/>
            <w:vAlign w:val="top"/>
            <w:tcMar>
              <w:top w:w="65" w:type="dxa"/>
              <w:bottom w:w="65" w:type="dxa"/>
              <w:left w:w="65" w:type="dxa"/>
              <w:right w:w="65" w:type="dxa"/>
            </w:tcMar>
          </w:tcPr>
          <w:p>
            <w:pPr>
              <w:spacing w:before="30" w:after="30" w:line="252" w:lineRule="auto"/>
            </w:pPr>
            <w:r>
              <w:rPr>
                <w:rFonts w:ascii="Arial" w:hAnsi="Arial" w:eastAsia="宋体"/>
                <w:b w:val="0"/>
                <w:i w:val="0"/>
                <w:sz w:val="19"/>
              </w:rPr>
              <w:t>定位同目录运行环境，使用Unicode路径启动管理器</w:t>
            </w:r>
          </w:p>
        </w:tc>
        <w:tc>
          <w:tcPr>
            <w:tcW w:type="dxa" w:w="4430"/>
            <w:vAlign w:val="top"/>
            <w:tcMar>
              <w:top w:w="65" w:type="dxa"/>
              <w:bottom w:w="65" w:type="dxa"/>
              <w:left w:w="65" w:type="dxa"/>
              <w:right w:w="65" w:type="dxa"/>
            </w:tcMar>
          </w:tcPr>
          <w:p>
            <w:pPr>
              <w:spacing w:before="30" w:after="30" w:line="252" w:lineRule="auto"/>
            </w:pPr>
            <w:r>
              <w:rPr>
                <w:rFonts w:ascii="Arial" w:hAnsi="Arial" w:eastAsia="宋体"/>
                <w:b w:val="0"/>
                <w:i w:val="0"/>
                <w:sz w:val="19"/>
              </w:rPr>
              <w:t>windows/launcher.c</w:t>
            </w:r>
          </w:p>
        </w:tc>
      </w:tr>
      <w:tr>
        <w:trPr>
          <w:cantSplit/>
        </w:trPr>
        <w:tc>
          <w:tcPr>
            <w:tcW w:type="dxa" w:w="135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实例管理</w:t>
            </w:r>
          </w:p>
        </w:tc>
        <w:tc>
          <w:tcPr>
            <w:tcW w:type="dxa" w:w="36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数据目录锁、实例身份校验、启动/复用、打开浏览器、安全退出</w:t>
            </w:r>
          </w:p>
        </w:tc>
        <w:tc>
          <w:tcPr>
            <w:tcW w:type="dxa" w:w="44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windows/app/demo_launcher.py</w:t>
            </w:r>
          </w:p>
        </w:tc>
      </w:tr>
      <w:tr>
        <w:trPr>
          <w:cantSplit/>
        </w:trPr>
        <w:tc>
          <w:tcPr>
            <w:tcW w:type="dxa" w:w="1356"/>
            <w:vAlign w:val="top"/>
            <w:tcMar>
              <w:top w:w="65" w:type="dxa"/>
              <w:bottom w:w="65" w:type="dxa"/>
              <w:left w:w="65" w:type="dxa"/>
              <w:right w:w="65" w:type="dxa"/>
            </w:tcMar>
          </w:tcPr>
          <w:p>
            <w:pPr>
              <w:spacing w:before="30" w:after="30" w:line="252" w:lineRule="auto"/>
            </w:pPr>
            <w:r>
              <w:rPr>
                <w:rFonts w:ascii="Arial" w:hAnsi="Arial" w:eastAsia="宋体"/>
                <w:b w:val="0"/>
                <w:i w:val="0"/>
                <w:sz w:val="19"/>
              </w:rPr>
              <w:t>页面公共层</w:t>
            </w:r>
          </w:p>
        </w:tc>
        <w:tc>
          <w:tcPr>
            <w:tcW w:type="dxa" w:w="3620"/>
            <w:vAlign w:val="top"/>
            <w:tcMar>
              <w:top w:w="65" w:type="dxa"/>
              <w:bottom w:w="65" w:type="dxa"/>
              <w:left w:w="65" w:type="dxa"/>
              <w:right w:w="65" w:type="dxa"/>
            </w:tcMar>
          </w:tcPr>
          <w:p>
            <w:pPr>
              <w:spacing w:before="30" w:after="30" w:line="252" w:lineRule="auto"/>
            </w:pPr>
            <w:r>
              <w:rPr>
                <w:rFonts w:ascii="Arial" w:hAnsi="Arial" w:eastAsia="宋体"/>
                <w:b w:val="0"/>
                <w:i w:val="0"/>
                <w:sz w:val="19"/>
              </w:rPr>
              <w:t>导航、上下文、公共表格/弹窗、API调用、错误展示</w:t>
            </w:r>
          </w:p>
        </w:tc>
        <w:tc>
          <w:tcPr>
            <w:tcW w:type="dxa" w:w="4430"/>
            <w:vAlign w:val="top"/>
            <w:tcMar>
              <w:top w:w="65" w:type="dxa"/>
              <w:bottom w:w="65" w:type="dxa"/>
              <w:left w:w="65" w:type="dxa"/>
              <w:right w:w="65" w:type="dxa"/>
            </w:tcMar>
          </w:tcPr>
          <w:p>
            <w:pPr>
              <w:spacing w:before="30" w:after="30" w:line="252" w:lineRule="auto"/>
            </w:pPr>
            <w:r>
              <w:rPr>
                <w:rFonts w:ascii="Arial" w:hAnsi="Arial" w:eastAsia="宋体"/>
                <w:b w:val="0"/>
                <w:i w:val="0"/>
                <w:sz w:val="19"/>
              </w:rPr>
              <w:t>frontend/src/app.js</w:t>
            </w:r>
          </w:p>
        </w:tc>
      </w:tr>
      <w:tr>
        <w:trPr>
          <w:cantSplit/>
        </w:trPr>
        <w:tc>
          <w:tcPr>
            <w:tcW w:type="dxa" w:w="135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ERP页面与动作</w:t>
            </w:r>
          </w:p>
        </w:tc>
        <w:tc>
          <w:tcPr>
            <w:tcW w:type="dxa" w:w="36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导入适配、批次、法人三表、匹配差异、凭证/历史追溯</w:t>
            </w:r>
          </w:p>
        </w:tc>
        <w:tc>
          <w:tcPr>
            <w:tcW w:type="dxa" w:w="44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frontend/src/erp-pages.js、erp-actions.js</w:t>
            </w:r>
          </w:p>
        </w:tc>
      </w:tr>
      <w:tr>
        <w:trPr>
          <w:cantSplit/>
        </w:trPr>
        <w:tc>
          <w:tcPr>
            <w:tcW w:type="dxa" w:w="1356"/>
            <w:vAlign w:val="top"/>
            <w:tcMar>
              <w:top w:w="65" w:type="dxa"/>
              <w:bottom w:w="65" w:type="dxa"/>
              <w:left w:w="65" w:type="dxa"/>
              <w:right w:w="65" w:type="dxa"/>
            </w:tcMar>
          </w:tcPr>
          <w:p>
            <w:pPr>
              <w:spacing w:before="30" w:after="30" w:line="252" w:lineRule="auto"/>
            </w:pPr>
            <w:r>
              <w:rPr>
                <w:rFonts w:ascii="Arial" w:hAnsi="Arial" w:eastAsia="宋体"/>
                <w:b w:val="0"/>
                <w:i w:val="0"/>
                <w:sz w:val="19"/>
              </w:rPr>
              <w:t>预算界面</w:t>
            </w:r>
          </w:p>
        </w:tc>
        <w:tc>
          <w:tcPr>
            <w:tcW w:type="dxa" w:w="3620"/>
            <w:vAlign w:val="top"/>
            <w:tcMar>
              <w:top w:w="65" w:type="dxa"/>
              <w:bottom w:w="65" w:type="dxa"/>
              <w:left w:w="65" w:type="dxa"/>
              <w:right w:w="65" w:type="dxa"/>
            </w:tcMar>
          </w:tcPr>
          <w:p>
            <w:pPr>
              <w:spacing w:before="30" w:after="30" w:line="252" w:lineRule="auto"/>
            </w:pPr>
            <w:r>
              <w:rPr>
                <w:rFonts w:ascii="Arial" w:hAnsi="Arial" w:eastAsia="宋体"/>
                <w:b w:val="0"/>
                <w:i w:val="0"/>
                <w:sz w:val="19"/>
              </w:rPr>
              <w:t>预算编制、业务预算、审批、调整、版本对比</w:t>
            </w:r>
          </w:p>
        </w:tc>
        <w:tc>
          <w:tcPr>
            <w:tcW w:type="dxa" w:w="4430"/>
            <w:vAlign w:val="top"/>
            <w:tcMar>
              <w:top w:w="65" w:type="dxa"/>
              <w:bottom w:w="65" w:type="dxa"/>
              <w:left w:w="65" w:type="dxa"/>
              <w:right w:w="65" w:type="dxa"/>
            </w:tcMar>
          </w:tcPr>
          <w:p>
            <w:pPr>
              <w:spacing w:before="30" w:after="30" w:line="252" w:lineRule="auto"/>
            </w:pPr>
            <w:r>
              <w:rPr>
                <w:rFonts w:ascii="Arial" w:hAnsi="Arial" w:eastAsia="宋体"/>
                <w:b w:val="0"/>
                <w:i w:val="0"/>
                <w:sz w:val="19"/>
              </w:rPr>
              <w:t>frontend/src/budget.js</w:t>
            </w:r>
          </w:p>
        </w:tc>
      </w:tr>
      <w:tr>
        <w:trPr>
          <w:cantSplit/>
        </w:trPr>
        <w:tc>
          <w:tcPr>
            <w:tcW w:type="dxa" w:w="135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多层业务页面</w:t>
            </w:r>
          </w:p>
        </w:tc>
        <w:tc>
          <w:tcPr>
            <w:tcW w:type="dxa" w:w="36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主数据、报送、汇率、分级结果、报表及来源钻取</w:t>
            </w:r>
          </w:p>
        </w:tc>
        <w:tc>
          <w:tcPr>
            <w:tcW w:type="dxa" w:w="44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frontend/src/ml-pages.js</w:t>
            </w:r>
          </w:p>
        </w:tc>
      </w:tr>
      <w:tr>
        <w:trPr>
          <w:cantSplit/>
        </w:trPr>
        <w:tc>
          <w:tcPr>
            <w:tcW w:type="dxa" w:w="1356"/>
            <w:vAlign w:val="top"/>
            <w:tcMar>
              <w:top w:w="65" w:type="dxa"/>
              <w:bottom w:w="65" w:type="dxa"/>
              <w:left w:w="65" w:type="dxa"/>
              <w:right w:w="65" w:type="dxa"/>
            </w:tcMar>
          </w:tcPr>
          <w:p>
            <w:pPr>
              <w:spacing w:before="30" w:after="30" w:line="252" w:lineRule="auto"/>
            </w:pPr>
            <w:r>
              <w:rPr>
                <w:rFonts w:ascii="Arial" w:hAnsi="Arial" w:eastAsia="宋体"/>
                <w:b w:val="0"/>
                <w:i w:val="0"/>
                <w:sz w:val="19"/>
              </w:rPr>
              <w:t>页面动作层</w:t>
            </w:r>
          </w:p>
        </w:tc>
        <w:tc>
          <w:tcPr>
            <w:tcW w:type="dxa" w:w="3620"/>
            <w:vAlign w:val="top"/>
            <w:tcMar>
              <w:top w:w="65" w:type="dxa"/>
              <w:bottom w:w="65" w:type="dxa"/>
              <w:left w:w="65" w:type="dxa"/>
              <w:right w:w="65" w:type="dxa"/>
            </w:tcMar>
          </w:tcPr>
          <w:p>
            <w:pPr>
              <w:spacing w:before="30" w:after="30" w:line="252" w:lineRule="auto"/>
            </w:pPr>
            <w:r>
              <w:rPr>
                <w:rFonts w:ascii="Arial" w:hAnsi="Arial" w:eastAsia="宋体"/>
                <w:b w:val="0"/>
                <w:i w:val="0"/>
                <w:sz w:val="19"/>
              </w:rPr>
              <w:t>读取表单、提交命令、CSV/JSON下载和本机操作</w:t>
            </w:r>
          </w:p>
        </w:tc>
        <w:tc>
          <w:tcPr>
            <w:tcW w:type="dxa" w:w="4430"/>
            <w:vAlign w:val="top"/>
            <w:tcMar>
              <w:top w:w="65" w:type="dxa"/>
              <w:bottom w:w="65" w:type="dxa"/>
              <w:left w:w="65" w:type="dxa"/>
              <w:right w:w="65" w:type="dxa"/>
            </w:tcMar>
          </w:tcPr>
          <w:p>
            <w:pPr>
              <w:spacing w:before="30" w:after="30" w:line="252" w:lineRule="auto"/>
            </w:pPr>
            <w:r>
              <w:rPr>
                <w:rFonts w:ascii="Arial" w:hAnsi="Arial" w:eastAsia="宋体"/>
                <w:b w:val="0"/>
                <w:i w:val="0"/>
                <w:sz w:val="19"/>
              </w:rPr>
              <w:t>frontend/src/ml-actions.js</w:t>
            </w:r>
          </w:p>
        </w:tc>
      </w:tr>
      <w:tr>
        <w:trPr>
          <w:cantSplit/>
        </w:trPr>
        <w:tc>
          <w:tcPr>
            <w:tcW w:type="dxa" w:w="135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资源构建</w:t>
            </w:r>
          </w:p>
        </w:tc>
        <w:tc>
          <w:tcPr>
            <w:tcW w:type="dxa" w:w="36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合并本地HTML、CSS及JavaScript，生成一个静态入口</w:t>
            </w:r>
          </w:p>
        </w:tc>
        <w:tc>
          <w:tcPr>
            <w:tcW w:type="dxa" w:w="44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frontend-build.py</w:t>
            </w:r>
          </w:p>
        </w:tc>
      </w:tr>
      <w:tr>
        <w:trPr>
          <w:cantSplit/>
        </w:trPr>
        <w:tc>
          <w:tcPr>
            <w:tcW w:type="dxa" w:w="1356"/>
            <w:vAlign w:val="top"/>
            <w:tcMar>
              <w:top w:w="65" w:type="dxa"/>
              <w:bottom w:w="65" w:type="dxa"/>
              <w:left w:w="65" w:type="dxa"/>
              <w:right w:w="65" w:type="dxa"/>
            </w:tcMar>
          </w:tcPr>
          <w:p>
            <w:pPr>
              <w:spacing w:before="30" w:after="30" w:line="252" w:lineRule="auto"/>
            </w:pPr>
            <w:r>
              <w:rPr>
                <w:rFonts w:ascii="Arial" w:hAnsi="Arial" w:eastAsia="宋体"/>
                <w:b w:val="0"/>
                <w:i w:val="0"/>
                <w:sz w:val="19"/>
              </w:rPr>
              <w:t>HTTP边界</w:t>
            </w:r>
          </w:p>
        </w:tc>
        <w:tc>
          <w:tcPr>
            <w:tcW w:type="dxa" w:w="3620"/>
            <w:vAlign w:val="top"/>
            <w:tcMar>
              <w:top w:w="65" w:type="dxa"/>
              <w:bottom w:w="65" w:type="dxa"/>
              <w:left w:w="65" w:type="dxa"/>
              <w:right w:w="65" w:type="dxa"/>
            </w:tcMar>
          </w:tcPr>
          <w:p>
            <w:pPr>
              <w:spacing w:before="30" w:after="30" w:line="252" w:lineRule="auto"/>
            </w:pPr>
            <w:r>
              <w:rPr>
                <w:rFonts w:ascii="Arial" w:hAnsi="Arial" w:eastAsia="宋体"/>
                <w:b w:val="0"/>
                <w:i w:val="0"/>
                <w:sz w:val="19"/>
              </w:rPr>
              <w:t>本机Host/Origin、会话、CSRF、正文限制、请求与响应</w:t>
            </w:r>
          </w:p>
        </w:tc>
        <w:tc>
          <w:tcPr>
            <w:tcW w:type="dxa" w:w="4430"/>
            <w:vAlign w:val="top"/>
            <w:tcMar>
              <w:top w:w="65" w:type="dxa"/>
              <w:bottom w:w="65" w:type="dxa"/>
              <w:left w:w="65" w:type="dxa"/>
              <w:right w:w="65" w:type="dxa"/>
            </w:tcMar>
          </w:tcPr>
          <w:p>
            <w:pPr>
              <w:spacing w:before="30" w:after="30" w:line="252" w:lineRule="auto"/>
            </w:pPr>
            <w:r>
              <w:rPr>
                <w:rFonts w:ascii="Arial" w:hAnsi="Arial" w:eastAsia="宋体"/>
                <w:b w:val="0"/>
                <w:i w:val="0"/>
                <w:sz w:val="19"/>
              </w:rPr>
              <w:t>backend/server.py</w:t>
            </w:r>
          </w:p>
        </w:tc>
      </w:tr>
      <w:tr>
        <w:trPr>
          <w:cantSplit/>
        </w:trPr>
        <w:tc>
          <w:tcPr>
            <w:tcW w:type="dxa" w:w="135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应用投影</w:t>
            </w:r>
          </w:p>
        </w:tc>
        <w:tc>
          <w:tcPr>
            <w:tcW w:type="dxa" w:w="36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选择当前范围/期间，生成bootstrap页面数据；分发预算和财务动作</w:t>
            </w:r>
          </w:p>
        </w:tc>
        <w:tc>
          <w:tcPr>
            <w:tcW w:type="dxa" w:w="44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backend/engine.py</w:t>
            </w:r>
          </w:p>
        </w:tc>
      </w:tr>
      <w:tr>
        <w:trPr>
          <w:cantSplit/>
        </w:trPr>
        <w:tc>
          <w:tcPr>
            <w:tcW w:type="dxa" w:w="1356"/>
            <w:vAlign w:val="top"/>
            <w:tcMar>
              <w:top w:w="65" w:type="dxa"/>
              <w:bottom w:w="65" w:type="dxa"/>
              <w:left w:w="65" w:type="dxa"/>
              <w:right w:w="65" w:type="dxa"/>
            </w:tcMar>
          </w:tcPr>
          <w:p>
            <w:pPr>
              <w:spacing w:before="30" w:after="30" w:line="252" w:lineRule="auto"/>
            </w:pPr>
            <w:r>
              <w:rPr>
                <w:rFonts w:ascii="Arial" w:hAnsi="Arial" w:eastAsia="宋体"/>
                <w:b w:val="0"/>
                <w:i w:val="0"/>
                <w:sz w:val="19"/>
              </w:rPr>
              <w:t>ERP领域</w:t>
            </w:r>
          </w:p>
        </w:tc>
        <w:tc>
          <w:tcPr>
            <w:tcW w:type="dxa" w:w="3620"/>
            <w:vAlign w:val="top"/>
            <w:tcMar>
              <w:top w:w="65" w:type="dxa"/>
              <w:bottom w:w="65" w:type="dxa"/>
              <w:left w:w="65" w:type="dxa"/>
              <w:right w:w="65" w:type="dxa"/>
            </w:tcMar>
          </w:tcPr>
          <w:p>
            <w:pPr>
              <w:spacing w:before="30" w:after="30" w:line="252" w:lineRule="auto"/>
            </w:pPr>
            <w:r>
              <w:rPr>
                <w:rFonts w:ascii="Arial" w:hAnsi="Arial" w:eastAsia="宋体"/>
                <w:b w:val="0"/>
                <w:i w:val="0"/>
                <w:sz w:val="19"/>
              </w:rPr>
              <w:t>导入批次、账簿/客商映射、规范化核对补注、原凭证来源、生成三表、匹配与自动草稿</w:t>
            </w:r>
          </w:p>
        </w:tc>
        <w:tc>
          <w:tcPr>
            <w:tcW w:type="dxa" w:w="4430"/>
            <w:vAlign w:val="top"/>
            <w:tcMar>
              <w:top w:w="65" w:type="dxa"/>
              <w:bottom w:w="65" w:type="dxa"/>
              <w:left w:w="65" w:type="dxa"/>
              <w:right w:w="65" w:type="dxa"/>
            </w:tcMar>
          </w:tcPr>
          <w:p>
            <w:pPr>
              <w:spacing w:before="30" w:after="30" w:line="252" w:lineRule="auto"/>
            </w:pPr>
            <w:r>
              <w:rPr>
                <w:rFonts w:ascii="Arial" w:hAnsi="Arial" w:eastAsia="宋体"/>
                <w:b w:val="0"/>
                <w:i w:val="0"/>
                <w:sz w:val="19"/>
              </w:rPr>
              <w:t>backend/erp_domain.py</w:t>
            </w:r>
          </w:p>
        </w:tc>
      </w:tr>
      <w:tr>
        <w:trPr>
          <w:cantSplit/>
        </w:trPr>
        <w:tc>
          <w:tcPr>
            <w:tcW w:type="dxa" w:w="135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ERP纯账务</w:t>
            </w:r>
          </w:p>
        </w:tc>
        <w:tc>
          <w:tcPr>
            <w:tcW w:type="dxa" w:w="36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CSV/XLSX解析、NC适配、试算、凭证派生三表和内部匹配</w:t>
            </w:r>
          </w:p>
        </w:tc>
        <w:tc>
          <w:tcPr>
            <w:tcW w:type="dxa" w:w="44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backend/ledger.py</w:t>
            </w:r>
          </w:p>
        </w:tc>
      </w:tr>
      <w:tr>
        <w:trPr>
          <w:cantSplit/>
        </w:trPr>
        <w:tc>
          <w:tcPr>
            <w:tcW w:type="dxa" w:w="1356"/>
            <w:vAlign w:val="top"/>
            <w:tcMar>
              <w:top w:w="65" w:type="dxa"/>
              <w:bottom w:w="65" w:type="dxa"/>
              <w:left w:w="65" w:type="dxa"/>
              <w:right w:w="65" w:type="dxa"/>
            </w:tcMar>
          </w:tcPr>
          <w:p>
            <w:pPr>
              <w:spacing w:before="30" w:after="30" w:line="252" w:lineRule="auto"/>
            </w:pPr>
            <w:r>
              <w:rPr>
                <w:rFonts w:ascii="Arial" w:hAnsi="Arial" w:eastAsia="宋体"/>
                <w:b w:val="0"/>
                <w:i w:val="0"/>
                <w:sz w:val="19"/>
              </w:rPr>
              <w:t>ERP演示样例</w:t>
            </w:r>
          </w:p>
        </w:tc>
        <w:tc>
          <w:tcPr>
            <w:tcW w:type="dxa" w:w="3620"/>
            <w:vAlign w:val="top"/>
            <w:tcMar>
              <w:top w:w="65" w:type="dxa"/>
              <w:bottom w:w="65" w:type="dxa"/>
              <w:left w:w="65" w:type="dxa"/>
              <w:right w:w="65" w:type="dxa"/>
            </w:tcMar>
          </w:tcPr>
          <w:p>
            <w:pPr>
              <w:spacing w:before="30" w:after="30" w:line="252" w:lineRule="auto"/>
            </w:pPr>
            <w:r>
              <w:rPr>
                <w:rFonts w:ascii="Arial" w:hAnsi="Arial" w:eastAsia="宋体"/>
                <w:b w:val="0"/>
                <w:i w:val="0"/>
                <w:sz w:val="19"/>
              </w:rPr>
              <w:t>完整虚构期初、映射、原凭证和模板，不接触真实NC数据库</w:t>
            </w:r>
          </w:p>
        </w:tc>
        <w:tc>
          <w:tcPr>
            <w:tcW w:type="dxa" w:w="4430"/>
            <w:vAlign w:val="top"/>
            <w:tcMar>
              <w:top w:w="65" w:type="dxa"/>
              <w:bottom w:w="65" w:type="dxa"/>
              <w:left w:w="65" w:type="dxa"/>
              <w:right w:w="65" w:type="dxa"/>
            </w:tcMar>
          </w:tcPr>
          <w:p>
            <w:pPr>
              <w:spacing w:before="30" w:after="30" w:line="252" w:lineRule="auto"/>
            </w:pPr>
            <w:r>
              <w:rPr>
                <w:rFonts w:ascii="Arial" w:hAnsi="Arial" w:eastAsia="宋体"/>
                <w:b w:val="0"/>
                <w:i w:val="0"/>
                <w:sz w:val="19"/>
              </w:rPr>
              <w:t>backend/ledger_seed.py</w:t>
            </w:r>
          </w:p>
        </w:tc>
      </w:tr>
      <w:tr>
        <w:trPr>
          <w:cantSplit/>
        </w:trPr>
        <w:tc>
          <w:tcPr>
            <w:tcW w:type="dxa" w:w="135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多层领域</w:t>
            </w:r>
          </w:p>
        </w:tc>
        <w:tc>
          <w:tcPr>
            <w:tcW w:type="dxa" w:w="36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源报送、版本、签核、重开、依赖失效及快照留档</w:t>
            </w:r>
          </w:p>
        </w:tc>
        <w:tc>
          <w:tcPr>
            <w:tcW w:type="dxa" w:w="44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backend/multilevel_domain.py</w:t>
            </w:r>
          </w:p>
        </w:tc>
      </w:tr>
      <w:tr>
        <w:trPr>
          <w:cantSplit/>
        </w:trPr>
        <w:tc>
          <w:tcPr>
            <w:tcW w:type="dxa" w:w="1356"/>
            <w:vAlign w:val="top"/>
            <w:tcMar>
              <w:top w:w="65" w:type="dxa"/>
              <w:bottom w:w="65" w:type="dxa"/>
              <w:left w:w="65" w:type="dxa"/>
              <w:right w:w="65" w:type="dxa"/>
            </w:tcMar>
          </w:tcPr>
          <w:p>
            <w:pPr>
              <w:spacing w:before="30" w:after="30" w:line="252" w:lineRule="auto"/>
            </w:pPr>
            <w:r>
              <w:rPr>
                <w:rFonts w:ascii="Arial" w:hAnsi="Arial" w:eastAsia="宋体"/>
                <w:b w:val="0"/>
                <w:i w:val="0"/>
                <w:sz w:val="19"/>
              </w:rPr>
              <w:t>纯财务引擎</w:t>
            </w:r>
          </w:p>
        </w:tc>
        <w:tc>
          <w:tcPr>
            <w:tcW w:type="dxa" w:w="3620"/>
            <w:vAlign w:val="top"/>
            <w:tcMar>
              <w:top w:w="65" w:type="dxa"/>
              <w:bottom w:w="65" w:type="dxa"/>
              <w:left w:w="65" w:type="dxa"/>
              <w:right w:w="65" w:type="dxa"/>
            </w:tcMar>
          </w:tcPr>
          <w:p>
            <w:pPr>
              <w:spacing w:before="30" w:after="30" w:line="252" w:lineRule="auto"/>
            </w:pPr>
            <w:r>
              <w:rPr>
                <w:rFonts w:ascii="Arial" w:hAnsi="Arial" w:eastAsia="宋体"/>
                <w:b w:val="0"/>
                <w:i w:val="0"/>
                <w:sz w:val="19"/>
              </w:rPr>
              <w:t>动态树、按层汇总/抵销、分类外币折算、三表校验</w:t>
            </w:r>
          </w:p>
        </w:tc>
        <w:tc>
          <w:tcPr>
            <w:tcW w:type="dxa" w:w="4430"/>
            <w:vAlign w:val="top"/>
            <w:tcMar>
              <w:top w:w="65" w:type="dxa"/>
              <w:bottom w:w="65" w:type="dxa"/>
              <w:left w:w="65" w:type="dxa"/>
              <w:right w:w="65" w:type="dxa"/>
            </w:tcMar>
          </w:tcPr>
          <w:p>
            <w:pPr>
              <w:spacing w:before="30" w:after="30" w:line="252" w:lineRule="auto"/>
            </w:pPr>
            <w:r>
              <w:rPr>
                <w:rFonts w:ascii="Arial" w:hAnsi="Arial" w:eastAsia="宋体"/>
                <w:b w:val="0"/>
                <w:i w:val="0"/>
                <w:sz w:val="19"/>
              </w:rPr>
              <w:t>backend/consolidation.py</w:t>
            </w:r>
          </w:p>
        </w:tc>
      </w:tr>
      <w:tr>
        <w:trPr>
          <w:cantSplit/>
        </w:trPr>
        <w:tc>
          <w:tcPr>
            <w:tcW w:type="dxa" w:w="135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虚构账套</w:t>
            </w:r>
          </w:p>
        </w:tc>
        <w:tc>
          <w:tcPr>
            <w:tcW w:type="dxa" w:w="36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法人、单元、源三表、月发生、汇率和抵销基准</w:t>
            </w:r>
          </w:p>
        </w:tc>
        <w:tc>
          <w:tcPr>
            <w:tcW w:type="dxa" w:w="44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backend/multilevel_seed.py</w:t>
            </w:r>
          </w:p>
        </w:tc>
      </w:tr>
      <w:tr>
        <w:trPr>
          <w:cantSplit/>
        </w:trPr>
        <w:tc>
          <w:tcPr>
            <w:tcW w:type="dxa" w:w="1356"/>
            <w:vAlign w:val="top"/>
            <w:tcMar>
              <w:top w:w="65" w:type="dxa"/>
              <w:bottom w:w="65" w:type="dxa"/>
              <w:left w:w="65" w:type="dxa"/>
              <w:right w:w="65" w:type="dxa"/>
            </w:tcMar>
          </w:tcPr>
          <w:p>
            <w:pPr>
              <w:spacing w:before="30" w:after="30" w:line="252" w:lineRule="auto"/>
            </w:pPr>
            <w:r>
              <w:rPr>
                <w:rFonts w:ascii="Arial" w:hAnsi="Arial" w:eastAsia="宋体"/>
                <w:b w:val="0"/>
                <w:i w:val="0"/>
                <w:sz w:val="19"/>
              </w:rPr>
              <w:t>预算命令复用</w:t>
            </w:r>
          </w:p>
        </w:tc>
        <w:tc>
          <w:tcPr>
            <w:tcW w:type="dxa" w:w="3620"/>
            <w:vAlign w:val="top"/>
            <w:tcMar>
              <w:top w:w="65" w:type="dxa"/>
              <w:bottom w:w="65" w:type="dxa"/>
              <w:left w:w="65" w:type="dxa"/>
              <w:right w:w="65" w:type="dxa"/>
            </w:tcMar>
          </w:tcPr>
          <w:p>
            <w:pPr>
              <w:spacing w:before="30" w:after="30" w:line="252" w:lineRule="auto"/>
            </w:pPr>
            <w:r>
              <w:rPr>
                <w:rFonts w:ascii="Arial" w:hAnsi="Arial" w:eastAsia="宋体"/>
                <w:b w:val="0"/>
                <w:i w:val="0"/>
                <w:sz w:val="19"/>
              </w:rPr>
              <w:t>预算四层、量价、明细、版本、调整及状态机</w:t>
            </w:r>
          </w:p>
        </w:tc>
        <w:tc>
          <w:tcPr>
            <w:tcW w:type="dxa" w:w="4430"/>
            <w:vAlign w:val="top"/>
            <w:tcMar>
              <w:top w:w="65" w:type="dxa"/>
              <w:bottom w:w="65" w:type="dxa"/>
              <w:left w:w="65" w:type="dxa"/>
              <w:right w:w="65" w:type="dxa"/>
            </w:tcMar>
          </w:tcPr>
          <w:p>
            <w:pPr>
              <w:spacing w:before="30" w:after="30" w:line="252" w:lineRule="auto"/>
            </w:pPr>
            <w:r>
              <w:rPr>
                <w:rFonts w:ascii="Arial" w:hAnsi="Arial" w:eastAsia="宋体"/>
                <w:b w:val="0"/>
                <w:i w:val="0"/>
                <w:sz w:val="19"/>
              </w:rPr>
              <w:t>backend/legacy_engine.py中budget_分支</w:t>
            </w:r>
          </w:p>
        </w:tc>
      </w:tr>
      <w:tr>
        <w:trPr>
          <w:cantSplit/>
        </w:trPr>
        <w:tc>
          <w:tcPr>
            <w:tcW w:type="dxa" w:w="135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持久化</w:t>
            </w:r>
          </w:p>
        </w:tc>
        <w:tc>
          <w:tcPr>
            <w:tcW w:type="dxa" w:w="36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SQLite事务、revision、state和audit</w:t>
            </w:r>
          </w:p>
        </w:tc>
        <w:tc>
          <w:tcPr>
            <w:tcW w:type="dxa" w:w="44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backend/store.py</w:t>
            </w:r>
          </w:p>
        </w:tc>
      </w:tr>
      <w:tr>
        <w:trPr>
          <w:cantSplit/>
        </w:trPr>
        <w:tc>
          <w:tcPr>
            <w:tcW w:type="dxa" w:w="1356"/>
            <w:vAlign w:val="top"/>
            <w:tcMar>
              <w:top w:w="65" w:type="dxa"/>
              <w:bottom w:w="65" w:type="dxa"/>
              <w:left w:w="65" w:type="dxa"/>
              <w:right w:w="65" w:type="dxa"/>
            </w:tcMar>
          </w:tcPr>
          <w:p>
            <w:pPr>
              <w:spacing w:before="30" w:after="30" w:line="252" w:lineRule="auto"/>
            </w:pPr>
            <w:r>
              <w:rPr>
                <w:rFonts w:ascii="Arial" w:hAnsi="Arial" w:eastAsia="宋体"/>
                <w:b w:val="0"/>
                <w:i w:val="0"/>
                <w:sz w:val="19"/>
              </w:rPr>
              <w:t>证据与交付</w:t>
            </w:r>
          </w:p>
        </w:tc>
        <w:tc>
          <w:tcPr>
            <w:tcW w:type="dxa" w:w="3620"/>
            <w:vAlign w:val="top"/>
            <w:tcMar>
              <w:top w:w="65" w:type="dxa"/>
              <w:bottom w:w="65" w:type="dxa"/>
              <w:left w:w="65" w:type="dxa"/>
              <w:right w:w="65" w:type="dxa"/>
            </w:tcMar>
          </w:tcPr>
          <w:p>
            <w:pPr>
              <w:spacing w:before="30" w:after="30" w:line="252" w:lineRule="auto"/>
            </w:pPr>
            <w:r>
              <w:rPr>
                <w:rFonts w:ascii="Arial" w:hAnsi="Arial" w:eastAsia="宋体"/>
                <w:b w:val="0"/>
                <w:i w:val="0"/>
                <w:sz w:val="19"/>
              </w:rPr>
              <w:t>真实接口/浏览器验收、原生Windows运行链路、ZIP门禁</w:t>
            </w:r>
          </w:p>
        </w:tc>
        <w:tc>
          <w:tcPr>
            <w:tcW w:type="dxa" w:w="4430"/>
            <w:vAlign w:val="top"/>
            <w:tcMar>
              <w:top w:w="65" w:type="dxa"/>
              <w:bottom w:w="65" w:type="dxa"/>
              <w:left w:w="65" w:type="dxa"/>
              <w:right w:w="65" w:type="dxa"/>
            </w:tcMar>
          </w:tcPr>
          <w:p>
            <w:pPr>
              <w:spacing w:before="30" w:after="30" w:line="252" w:lineRule="auto"/>
            </w:pPr>
            <w:r>
              <w:rPr>
                <w:rFonts w:ascii="Arial" w:hAnsi="Arial" w:eastAsia="宋体"/>
                <w:b w:val="0"/>
                <w:i w:val="0"/>
                <w:sz w:val="19"/>
              </w:rPr>
              <w:t>acceptance、windows、build_windows.py、package_windows.py</w:t>
            </w:r>
          </w:p>
        </w:tc>
      </w:tr>
    </w:tbl>
    <w:p>
      <w:pPr>
        <w:spacing w:after="40"/>
      </w:pPr>
    </w:p>
    <w:p>
      <w:r>
        <w:rPr>
          <w:rFonts w:ascii="Arial" w:hAnsi="Arial" w:eastAsia="宋体"/>
          <w:b w:val="0"/>
          <w:i w:val="0"/>
        </w:rPr>
        <w:t>源码保留了旧版财务计算参考文件及legacy_tests，用于历史追溯。新应用入口只将预算动作路由到预算复用分支；旧财务journal、signoff或展示币换算不能作为新合并体系的成功旁路。</w:t>
      </w:r>
    </w:p>
    <w:p>
      <w:pPr>
        <w:pStyle w:val="Heading2"/>
      </w:pPr>
      <w:bookmarkStart w:id="7" w:name="epm_7"/>
      <w:r>
        <w:rPr>
          <w:rFonts w:ascii="Arial" w:hAnsi="Arial" w:eastAsia="宋体"/>
          <w:b w:val="0"/>
          <w:i w:val="0"/>
        </w:rPr>
        <w:t>2.2 三个运行边界</w:t>
      </w:r>
      <w:bookmarkEnd w:id="7"/>
    </w:p>
    <w:p>
      <w:r>
        <w:rPr>
          <w:rFonts w:ascii="Arial" w:hAnsi="Arial" w:eastAsia="宋体"/>
          <w:b w:val="0"/>
          <w:i w:val="0"/>
        </w:rPr>
        <w:t>第一，浏览器与服务位于同一台电脑。后端绑定127.0.0.1，自动选择空闲端口，不提供局域网或互联网部署功能。第二，业务状态位于独立用户数据目录，重新解压软件不会清空数据。第三，浏览器负责交互，正式计算、输入校验、锁定和写入必须由服务端完成，关闭浏览器后数据仍存在。</w:t>
      </w:r>
    </w:p>
    <w:p>
      <w:pPr>
        <w:pStyle w:val="Heading2"/>
      </w:pPr>
      <w:bookmarkStart w:id="8" w:name="epm_8"/>
      <w:r>
        <w:rPr>
          <w:rFonts w:ascii="Arial" w:hAnsi="Arial" w:eastAsia="宋体"/>
          <w:b w:val="0"/>
          <w:i w:val="0"/>
        </w:rPr>
        <w:t>2.3 前端构建方式</w:t>
      </w:r>
      <w:bookmarkEnd w:id="8"/>
    </w:p>
    <w:p>
      <w:r>
        <w:rPr>
          <w:rFonts w:ascii="Arial" w:hAnsi="Arial" w:eastAsia="宋体"/>
          <w:b w:val="0"/>
          <w:i w:val="0"/>
        </w:rPr>
        <w:t>前端采用原生JavaScript、CSS、HTML，增加erp-pages.js与erp-actions.js承接凭证链路，不要求用户或研发安装Node才能完成本构建。frontend-build.py读取src中的本地资源，生成frontend/dist/index.html。生产包实际使用frontend/index.html；source目录保留开发原稿。</w:t>
      </w:r>
    </w:p>
    <w:p>
      <w:r>
        <w:rPr>
          <w:rFonts w:ascii="Arial" w:hAnsi="Arial" w:eastAsia="宋体"/>
          <w:b w:val="0"/>
          <w:i w:val="0"/>
        </w:rPr>
        <w:t>页面根据MENU定义24项导航，借助hash切换页面。hash中的普通路由不触发服务器业务写入。页面保存时调用同源API，成功返回新的完整状态，再刷新页面内容；未收到服务端成功响应时不提前显示“已保存”。</w:t>
      </w:r>
    </w:p>
    <w:p>
      <w:pPr>
        <w:pStyle w:val="Heading1"/>
      </w:pPr>
      <w:bookmarkStart w:id="9" w:name="epm_9"/>
      <w:r>
        <w:rPr>
          <w:rFonts w:ascii="Arial" w:hAnsi="Arial" w:eastAsia="宋体"/>
          <w:b w:val="0"/>
          <w:i w:val="0"/>
        </w:rPr>
        <w:t>三、24个业务模块如何分工</w:t>
      </w:r>
      <w:bookmarkEnd w:id="9"/>
    </w:p>
    <w:p>
      <w:r>
        <w:rPr>
          <w:rFonts w:ascii="Arial" w:hAnsi="Arial" w:eastAsia="宋体"/>
          <w:b w:val="0"/>
          <w:i w:val="0"/>
        </w:rPr>
        <w:t>本表覆盖全部菜单。多个菜单可以查看同一领域对象；菜单数量不等于数据库表或独立服务数量。</w:t>
      </w:r>
    </w:p>
    <w:tbl>
      <w:tblPr>
        <w:tblStyle w:val="TableGrid"/>
        <w:tblW w:type="auto" w:w="0"/>
        <w:jc w:val="center"/>
        <w:tblLayout w:type="fixed"/>
        <w:tblLook w:firstColumn="1" w:firstRow="1" w:lastColumn="0" w:lastRow="0" w:noHBand="0" w:noVBand="1" w:val="04A0"/>
      </w:tblPr>
      <w:tblGrid>
        <w:gridCol w:w="937"/>
        <w:gridCol w:w="1171"/>
        <w:gridCol w:w="3307"/>
        <w:gridCol w:w="3991"/>
      </w:tblGrid>
      <w:tr>
        <w:trPr>
          <w:cantSplit/>
          <w:tblHeader w:val="true"/>
        </w:trPr>
        <w:tc>
          <w:tcPr>
            <w:tcW w:type="dxa" w:w="93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序号</w:t>
            </w:r>
          </w:p>
        </w:tc>
        <w:tc>
          <w:tcPr>
            <w:tcW w:type="dxa" w:w="117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模块/菜单</w:t>
            </w:r>
          </w:p>
        </w:tc>
        <w:tc>
          <w:tcPr>
            <w:tcW w:type="dxa" w:w="330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研发职责与交互</w:t>
            </w:r>
          </w:p>
        </w:tc>
        <w:tc>
          <w:tcPr>
            <w:tcW w:type="dxa" w:w="399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主要数据或命令</w:t>
            </w:r>
          </w:p>
        </w:tc>
      </w:tr>
      <w:tr>
        <w:trPr>
          <w:cantSplit/>
        </w:trPr>
        <w:tc>
          <w:tcPr>
            <w:tcW w:type="dxa" w:w="937"/>
            <w:vAlign w:val="top"/>
            <w:tcMar>
              <w:top w:w="65" w:type="dxa"/>
              <w:bottom w:w="65" w:type="dxa"/>
              <w:left w:w="65" w:type="dxa"/>
              <w:right w:w="65" w:type="dxa"/>
            </w:tcMar>
          </w:tcPr>
          <w:p>
            <w:pPr>
              <w:spacing w:before="30" w:after="30" w:line="252" w:lineRule="auto"/>
            </w:pPr>
            <w:r>
              <w:rPr>
                <w:rFonts w:ascii="Arial" w:hAnsi="Arial" w:eastAsia="宋体"/>
                <w:b w:val="0"/>
                <w:i w:val="0"/>
                <w:sz w:val="18"/>
              </w:rPr>
              <w:t>01</w:t>
            </w:r>
          </w:p>
        </w:tc>
        <w:tc>
          <w:tcPr>
            <w:tcW w:type="dxa" w:w="1171"/>
            <w:vAlign w:val="top"/>
            <w:tcMar>
              <w:top w:w="65" w:type="dxa"/>
              <w:bottom w:w="65" w:type="dxa"/>
              <w:left w:w="65" w:type="dxa"/>
              <w:right w:w="65" w:type="dxa"/>
            </w:tcMar>
          </w:tcPr>
          <w:p>
            <w:pPr>
              <w:spacing w:before="30" w:after="30" w:line="252" w:lineRule="auto"/>
            </w:pPr>
            <w:r>
              <w:rPr>
                <w:rFonts w:ascii="Arial" w:hAnsi="Arial" w:eastAsia="宋体"/>
                <w:b w:val="0"/>
                <w:i w:val="0"/>
                <w:sz w:val="18"/>
              </w:rPr>
              <w:t>集团经营总览</w:t>
            </w:r>
          </w:p>
        </w:tc>
        <w:tc>
          <w:tcPr>
            <w:tcW w:type="dxa" w:w="3307"/>
            <w:vAlign w:val="top"/>
            <w:tcMar>
              <w:top w:w="65" w:type="dxa"/>
              <w:bottom w:w="65" w:type="dxa"/>
              <w:left w:w="65" w:type="dxa"/>
              <w:right w:w="65" w:type="dxa"/>
            </w:tcMar>
          </w:tcPr>
          <w:p>
            <w:pPr>
              <w:spacing w:before="30" w:after="30" w:line="252" w:lineRule="auto"/>
            </w:pPr>
            <w:r>
              <w:rPr>
                <w:rFonts w:ascii="Arial" w:hAnsi="Arial" w:eastAsia="宋体"/>
                <w:b w:val="0"/>
                <w:i w:val="0"/>
                <w:sz w:val="18"/>
              </w:rPr>
              <w:t>使用同版本合并结果展示收入、净利、经营现金、CTA、月趋势及直接输入</w:t>
            </w:r>
          </w:p>
        </w:tc>
        <w:tc>
          <w:tcPr>
            <w:tcW w:type="dxa" w:w="3991"/>
            <w:vAlign w:val="top"/>
            <w:tcMar>
              <w:top w:w="65" w:type="dxa"/>
              <w:bottom w:w="65" w:type="dxa"/>
              <w:left w:w="65" w:type="dxa"/>
              <w:right w:w="65" w:type="dxa"/>
            </w:tcMar>
          </w:tcPr>
          <w:p>
            <w:pPr>
              <w:spacing w:before="30" w:after="30" w:line="252" w:lineRule="auto"/>
            </w:pPr>
            <w:r>
              <w:rPr>
                <w:rFonts w:ascii="Arial" w:hAnsi="Arial" w:eastAsia="宋体"/>
                <w:b w:val="0"/>
                <w:i w:val="0"/>
                <w:sz w:val="18"/>
              </w:rPr>
              <w:t>statement、currentResult、monthlyActuals、inputs</w:t>
            </w:r>
          </w:p>
        </w:tc>
      </w:tr>
      <w:tr>
        <w:trPr>
          <w:cantSplit/>
        </w:trPr>
        <w:tc>
          <w:tcPr>
            <w:tcW w:type="dxa" w:w="9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02</w:t>
            </w:r>
          </w:p>
        </w:tc>
        <w:tc>
          <w:tcPr>
            <w:tcW w:type="dxa" w:w="11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集团组织与持股</w:t>
            </w:r>
          </w:p>
        </w:tc>
        <w:tc>
          <w:tcPr>
            <w:tcW w:type="dxa" w:w="33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维护法人和管理合并树，呈现范围成员及单元币种</w:t>
            </w:r>
          </w:p>
        </w:tc>
        <w:tc>
          <w:tcPr>
            <w:tcW w:type="dxa" w:w="39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entity_save、unit_save、units、entities</w:t>
            </w:r>
          </w:p>
        </w:tc>
      </w:tr>
      <w:tr>
        <w:trPr>
          <w:cantSplit/>
        </w:trPr>
        <w:tc>
          <w:tcPr>
            <w:tcW w:type="dxa" w:w="937"/>
            <w:vAlign w:val="top"/>
            <w:tcMar>
              <w:top w:w="65" w:type="dxa"/>
              <w:bottom w:w="65" w:type="dxa"/>
              <w:left w:w="65" w:type="dxa"/>
              <w:right w:w="65" w:type="dxa"/>
            </w:tcMar>
          </w:tcPr>
          <w:p>
            <w:pPr>
              <w:spacing w:before="30" w:after="30" w:line="252" w:lineRule="auto"/>
            </w:pPr>
            <w:r>
              <w:rPr>
                <w:rFonts w:ascii="Arial" w:hAnsi="Arial" w:eastAsia="宋体"/>
                <w:b w:val="0"/>
                <w:i w:val="0"/>
                <w:sz w:val="18"/>
              </w:rPr>
              <w:t>03</w:t>
            </w:r>
          </w:p>
        </w:tc>
        <w:tc>
          <w:tcPr>
            <w:tcW w:type="dxa" w:w="1171"/>
            <w:vAlign w:val="top"/>
            <w:tcMar>
              <w:top w:w="65" w:type="dxa"/>
              <w:bottom w:w="65" w:type="dxa"/>
              <w:left w:w="65" w:type="dxa"/>
              <w:right w:w="65" w:type="dxa"/>
            </w:tcMar>
          </w:tcPr>
          <w:p>
            <w:pPr>
              <w:spacing w:before="30" w:after="30" w:line="252" w:lineRule="auto"/>
            </w:pPr>
            <w:r>
              <w:rPr>
                <w:rFonts w:ascii="Arial" w:hAnsi="Arial" w:eastAsia="宋体"/>
                <w:b w:val="0"/>
                <w:i w:val="0"/>
                <w:sz w:val="18"/>
              </w:rPr>
              <w:t>科目与维度</w:t>
            </w:r>
          </w:p>
        </w:tc>
        <w:tc>
          <w:tcPr>
            <w:tcW w:type="dxa" w:w="3307"/>
            <w:vAlign w:val="top"/>
            <w:tcMar>
              <w:top w:w="65" w:type="dxa"/>
              <w:bottom w:w="65" w:type="dxa"/>
              <w:left w:w="65" w:type="dxa"/>
              <w:right w:w="65" w:type="dxa"/>
            </w:tcMar>
          </w:tcPr>
          <w:p>
            <w:pPr>
              <w:spacing w:before="30" w:after="30" w:line="252" w:lineRule="auto"/>
            </w:pPr>
            <w:r>
              <w:rPr>
                <w:rFonts w:ascii="Arial" w:hAnsi="Arial" w:eastAsia="宋体"/>
                <w:b w:val="0"/>
                <w:i w:val="0"/>
                <w:sz w:val="18"/>
              </w:rPr>
              <w:t>维护集团科目到内置报表字段的映射</w:t>
            </w:r>
          </w:p>
        </w:tc>
        <w:tc>
          <w:tcPr>
            <w:tcW w:type="dxa" w:w="3991"/>
            <w:vAlign w:val="top"/>
            <w:tcMar>
              <w:top w:w="65" w:type="dxa"/>
              <w:bottom w:w="65" w:type="dxa"/>
              <w:left w:w="65" w:type="dxa"/>
              <w:right w:w="65" w:type="dxa"/>
            </w:tcMar>
          </w:tcPr>
          <w:p>
            <w:pPr>
              <w:spacing w:before="30" w:after="30" w:line="252" w:lineRule="auto"/>
            </w:pPr>
            <w:r>
              <w:rPr>
                <w:rFonts w:ascii="Arial" w:hAnsi="Arial" w:eastAsia="宋体"/>
                <w:b w:val="0"/>
                <w:i w:val="0"/>
                <w:sz w:val="18"/>
              </w:rPr>
              <w:t>account_save、accounts</w:t>
            </w:r>
          </w:p>
        </w:tc>
      </w:tr>
      <w:tr>
        <w:trPr>
          <w:cantSplit/>
        </w:trPr>
        <w:tc>
          <w:tcPr>
            <w:tcW w:type="dxa" w:w="9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04</w:t>
            </w:r>
          </w:p>
        </w:tc>
        <w:tc>
          <w:tcPr>
            <w:tcW w:type="dxa" w:w="11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ERP凭证与期初</w:t>
            </w:r>
          </w:p>
        </w:tc>
        <w:tc>
          <w:tcPr>
            <w:tcW w:type="dxa" w:w="33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配置通用/NC6.5文件适配、科目、账簿/客商映射，导入完整期初和凭证，管理批次</w:t>
            </w:r>
          </w:p>
        </w:tc>
        <w:tc>
          <w:tcPr>
            <w:tcW w:type="dxa" w:w="39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erp_adapter_save、erp_mapping_save、erp_opening_import、erp_voucher_import、erp_batch_cancel</w:t>
            </w:r>
          </w:p>
        </w:tc>
      </w:tr>
      <w:tr>
        <w:trPr>
          <w:cantSplit/>
        </w:trPr>
        <w:tc>
          <w:tcPr>
            <w:tcW w:type="dxa" w:w="937"/>
            <w:vAlign w:val="top"/>
            <w:tcMar>
              <w:top w:w="65" w:type="dxa"/>
              <w:bottom w:w="65" w:type="dxa"/>
              <w:left w:w="65" w:type="dxa"/>
              <w:right w:w="65" w:type="dxa"/>
            </w:tcMar>
          </w:tcPr>
          <w:p>
            <w:pPr>
              <w:spacing w:before="30" w:after="30" w:line="252" w:lineRule="auto"/>
            </w:pPr>
            <w:r>
              <w:rPr>
                <w:rFonts w:ascii="Arial" w:hAnsi="Arial" w:eastAsia="宋体"/>
                <w:b w:val="0"/>
                <w:i w:val="0"/>
                <w:sz w:val="18"/>
              </w:rPr>
              <w:t>05</w:t>
            </w:r>
          </w:p>
        </w:tc>
        <w:tc>
          <w:tcPr>
            <w:tcW w:type="dxa" w:w="1171"/>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法人凭证与三表</w:t>
            </w:r>
          </w:p>
        </w:tc>
        <w:tc>
          <w:tcPr>
            <w:tcW w:type="dxa" w:w="3307"/>
            <w:vAlign w:val="top"/>
            <w:tcMar>
              <w:top w:w="65" w:type="dxa"/>
              <w:bottom w:w="65" w:type="dxa"/>
              <w:left w:w="65" w:type="dxa"/>
              <w:right w:w="65" w:type="dxa"/>
            </w:tcMar>
          </w:tcPr>
          <w:p>
            <w:pPr>
              <w:spacing w:before="30" w:after="30" w:line="252" w:lineRule="auto"/>
            </w:pPr>
            <w:r>
              <w:rPr>
                <w:rFonts w:ascii="Arial" w:hAnsi="Arial" w:eastAsia="宋体"/>
                <w:b w:val="0"/>
                <w:i w:val="0"/>
                <w:sz w:val="18"/>
              </w:rPr>
              <w:t>由期初/完整凭证派生单体试算、三表、月发生，按报表项目追溯本币凭证原行</w:t>
            </w:r>
          </w:p>
        </w:tc>
        <w:tc>
          <w:tcPr>
            <w:tcW w:type="dxa" w:w="3991"/>
            <w:vAlign w:val="top"/>
            <w:tcMar>
              <w:top w:w="65" w:type="dxa"/>
              <w:bottom w:w="65" w:type="dxa"/>
              <w:left w:w="65" w:type="dxa"/>
              <w:right w:w="65" w:type="dxa"/>
            </w:tcMar>
          </w:tcPr>
          <w:p>
            <w:pPr>
              <w:spacing w:before="30" w:after="30" w:line="252" w:lineRule="auto"/>
            </w:pPr>
            <w:r>
              <w:rPr>
                <w:rFonts w:ascii="Arial" w:hAnsi="Arial" w:eastAsia="宋体"/>
                <w:b w:val="0"/>
                <w:i w:val="0"/>
                <w:sz w:val="18"/>
              </w:rPr>
              <w:t>erp_report_generate、erp.reports、/api/erp/trace</w:t>
            </w:r>
          </w:p>
        </w:tc>
      </w:tr>
      <w:tr>
        <w:trPr>
          <w:cantSplit/>
        </w:trPr>
        <w:tc>
          <w:tcPr>
            <w:tcW w:type="dxa" w:w="9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06</w:t>
            </w:r>
          </w:p>
        </w:tc>
        <w:tc>
          <w:tcPr>
            <w:tcW w:type="dxa" w:w="11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内部交易匹配与差异</w:t>
            </w:r>
          </w:p>
        </w:tc>
        <w:tc>
          <w:tcPr>
            <w:tcW w:type="dxa" w:w="33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按对方/关联号/月/币种匹配，差异追凭证，规范化补注后重生重配，相符项生成待审草稿</w:t>
            </w:r>
          </w:p>
        </w:tc>
        <w:tc>
          <w:tcPr>
            <w:tcW w:type="dxa" w:w="39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erp_match_run、erp_voucher_annotations_save、erp_elimination_generate、erp.matching</w:t>
            </w:r>
          </w:p>
        </w:tc>
      </w:tr>
      <w:tr>
        <w:trPr>
          <w:cantSplit/>
        </w:trPr>
        <w:tc>
          <w:tcPr>
            <w:tcW w:type="dxa" w:w="937"/>
            <w:vAlign w:val="top"/>
            <w:tcMar>
              <w:top w:w="65" w:type="dxa"/>
              <w:bottom w:w="65" w:type="dxa"/>
              <w:left w:w="65" w:type="dxa"/>
              <w:right w:w="65" w:type="dxa"/>
            </w:tcMar>
          </w:tcPr>
          <w:p>
            <w:pPr>
              <w:spacing w:before="30" w:after="30" w:line="252" w:lineRule="auto"/>
            </w:pPr>
            <w:r>
              <w:rPr>
                <w:rFonts w:ascii="Arial" w:hAnsi="Arial" w:eastAsia="宋体"/>
                <w:b w:val="0"/>
                <w:i w:val="0"/>
                <w:sz w:val="18"/>
              </w:rPr>
              <w:t>07</w:t>
            </w:r>
          </w:p>
        </w:tc>
        <w:tc>
          <w:tcPr>
            <w:tcW w:type="dxa" w:w="1171"/>
            <w:vAlign w:val="top"/>
            <w:tcMar>
              <w:top w:w="65" w:type="dxa"/>
              <w:bottom w:w="65" w:type="dxa"/>
              <w:left w:w="65" w:type="dxa"/>
              <w:right w:w="65" w:type="dxa"/>
            </w:tcMar>
          </w:tcPr>
          <w:p>
            <w:pPr>
              <w:spacing w:before="30" w:after="30" w:line="252" w:lineRule="auto"/>
            </w:pPr>
            <w:r>
              <w:rPr>
                <w:rFonts w:ascii="Arial" w:hAnsi="Arial" w:eastAsia="宋体"/>
                <w:b w:val="0"/>
                <w:i w:val="0"/>
                <w:sz w:val="18"/>
              </w:rPr>
              <w:t>数据接入</w:t>
            </w:r>
          </w:p>
        </w:tc>
        <w:tc>
          <w:tcPr>
            <w:tcW w:type="dxa" w:w="3307"/>
            <w:vAlign w:val="top"/>
            <w:tcMar>
              <w:top w:w="65" w:type="dxa"/>
              <w:bottom w:w="65" w:type="dxa"/>
              <w:left w:w="65" w:type="dxa"/>
              <w:right w:w="65" w:type="dxa"/>
            </w:tcMar>
          </w:tcPr>
          <w:p>
            <w:pPr>
              <w:spacing w:before="30" w:after="30" w:line="252" w:lineRule="auto"/>
            </w:pPr>
            <w:r>
              <w:rPr>
                <w:rFonts w:ascii="Arial" w:hAnsi="Arial" w:eastAsia="宋体"/>
                <w:b w:val="0"/>
                <w:i w:val="0"/>
                <w:sz w:val="18"/>
              </w:rPr>
              <w:t>说明接入方式，下载完整三表源样例，导入CSV</w:t>
            </w:r>
          </w:p>
        </w:tc>
        <w:tc>
          <w:tcPr>
            <w:tcW w:type="dxa" w:w="3991"/>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source_import；兼容tb_import有明确限制</w:t>
            </w:r>
          </w:p>
        </w:tc>
      </w:tr>
      <w:tr>
        <w:trPr>
          <w:cantSplit/>
        </w:trPr>
        <w:tc>
          <w:tcPr>
            <w:tcW w:type="dxa" w:w="9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08</w:t>
            </w:r>
          </w:p>
        </w:tc>
        <w:tc>
          <w:tcPr>
            <w:tcW w:type="dxa" w:w="11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财务三表报送</w:t>
            </w:r>
          </w:p>
        </w:tc>
        <w:tc>
          <w:tcPr>
            <w:tcW w:type="dxa" w:w="33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中文字段表单维护单体期初/期末/累计/逐月数据，调用真实源校验</w:t>
            </w:r>
          </w:p>
        </w:tc>
        <w:tc>
          <w:tcPr>
            <w:tcW w:type="dxa" w:w="39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source_save、sources</w:t>
            </w:r>
          </w:p>
        </w:tc>
      </w:tr>
      <w:tr>
        <w:trPr>
          <w:cantSplit/>
        </w:trPr>
        <w:tc>
          <w:tcPr>
            <w:tcW w:type="dxa" w:w="937"/>
            <w:vAlign w:val="top"/>
            <w:tcMar>
              <w:top w:w="65" w:type="dxa"/>
              <w:bottom w:w="65" w:type="dxa"/>
              <w:left w:w="65" w:type="dxa"/>
              <w:right w:w="65" w:type="dxa"/>
            </w:tcMar>
          </w:tcPr>
          <w:p>
            <w:pPr>
              <w:spacing w:before="30" w:after="30" w:line="252" w:lineRule="auto"/>
            </w:pPr>
            <w:r>
              <w:rPr>
                <w:rFonts w:ascii="Arial" w:hAnsi="Arial" w:eastAsia="宋体"/>
                <w:b w:val="0"/>
                <w:i w:val="0"/>
                <w:sz w:val="18"/>
              </w:rPr>
              <w:t>09</w:t>
            </w:r>
          </w:p>
        </w:tc>
        <w:tc>
          <w:tcPr>
            <w:tcW w:type="dxa" w:w="1171"/>
            <w:vAlign w:val="top"/>
            <w:tcMar>
              <w:top w:w="65" w:type="dxa"/>
              <w:bottom w:w="65" w:type="dxa"/>
              <w:left w:w="65" w:type="dxa"/>
              <w:right w:w="65" w:type="dxa"/>
            </w:tcMar>
          </w:tcPr>
          <w:p>
            <w:pPr>
              <w:spacing w:before="30" w:after="30" w:line="252" w:lineRule="auto"/>
            </w:pPr>
            <w:r>
              <w:rPr>
                <w:rFonts w:ascii="Arial" w:hAnsi="Arial" w:eastAsia="宋体"/>
                <w:b w:val="0"/>
                <w:i w:val="0"/>
                <w:sz w:val="18"/>
              </w:rPr>
              <w:t>集团分类汇率</w:t>
            </w:r>
          </w:p>
        </w:tc>
        <w:tc>
          <w:tcPr>
            <w:tcW w:type="dxa" w:w="3307"/>
            <w:vAlign w:val="top"/>
            <w:tcMar>
              <w:top w:w="65" w:type="dxa"/>
              <w:bottom w:w="65" w:type="dxa"/>
              <w:left w:w="65" w:type="dxa"/>
              <w:right w:w="65" w:type="dxa"/>
            </w:tcMar>
          </w:tcPr>
          <w:p>
            <w:pPr>
              <w:spacing w:before="30" w:after="30" w:line="252" w:lineRule="auto"/>
            </w:pPr>
            <w:r>
              <w:rPr>
                <w:rFonts w:ascii="Arial" w:hAnsi="Arial" w:eastAsia="宋体"/>
                <w:b w:val="0"/>
                <w:i w:val="0"/>
                <w:sz w:val="18"/>
              </w:rPr>
              <w:t>保存当前期间逐月平均率、流量率及期初/期末/历史资本率，激活新版本</w:t>
            </w:r>
          </w:p>
        </w:tc>
        <w:tc>
          <w:tcPr>
            <w:tcW w:type="dxa" w:w="3991"/>
            <w:vAlign w:val="top"/>
            <w:tcMar>
              <w:top w:w="65" w:type="dxa"/>
              <w:bottom w:w="65" w:type="dxa"/>
              <w:left w:w="65" w:type="dxa"/>
              <w:right w:w="65" w:type="dxa"/>
            </w:tcMar>
          </w:tcPr>
          <w:p>
            <w:pPr>
              <w:spacing w:before="30" w:after="30" w:line="252" w:lineRule="auto"/>
            </w:pPr>
            <w:r>
              <w:rPr>
                <w:rFonts w:ascii="Arial" w:hAnsi="Arial" w:eastAsia="宋体"/>
                <w:b w:val="0"/>
                <w:i w:val="0"/>
                <w:sz w:val="18"/>
              </w:rPr>
              <w:t>rate_set_save、fxRates</w:t>
            </w:r>
          </w:p>
        </w:tc>
      </w:tr>
      <w:tr>
        <w:trPr>
          <w:cantSplit/>
        </w:trPr>
        <w:tc>
          <w:tcPr>
            <w:tcW w:type="dxa" w:w="9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10</w:t>
            </w:r>
          </w:p>
        </w:tc>
        <w:tc>
          <w:tcPr>
            <w:tcW w:type="dxa" w:w="11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分级合并与结果</w:t>
            </w:r>
          </w:p>
        </w:tc>
        <w:tc>
          <w:tcPr>
            <w:tcW w:type="dxa" w:w="33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显示各单元前置、计算、签核、重开、当前及历史快照</w:t>
            </w:r>
          </w:p>
        </w:tc>
        <w:tc>
          <w:tcPr>
            <w:tcW w:type="dxa" w:w="39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consolidation_run、result_approve、unit_reopen</w:t>
            </w:r>
          </w:p>
        </w:tc>
      </w:tr>
      <w:tr>
        <w:trPr>
          <w:cantSplit/>
        </w:trPr>
        <w:tc>
          <w:tcPr>
            <w:tcW w:type="dxa" w:w="937"/>
            <w:vAlign w:val="top"/>
            <w:tcMar>
              <w:top w:w="65" w:type="dxa"/>
              <w:bottom w:w="65" w:type="dxa"/>
              <w:left w:w="65" w:type="dxa"/>
              <w:right w:w="65" w:type="dxa"/>
            </w:tcMar>
          </w:tcPr>
          <w:p>
            <w:pPr>
              <w:spacing w:before="30" w:after="30" w:line="252" w:lineRule="auto"/>
            </w:pPr>
            <w:r>
              <w:rPr>
                <w:rFonts w:ascii="Arial" w:hAnsi="Arial" w:eastAsia="宋体"/>
                <w:b w:val="0"/>
                <w:i w:val="0"/>
                <w:sz w:val="18"/>
              </w:rPr>
              <w:t>11</w:t>
            </w:r>
          </w:p>
        </w:tc>
        <w:tc>
          <w:tcPr>
            <w:tcW w:type="dxa" w:w="1171"/>
            <w:vAlign w:val="top"/>
            <w:tcMar>
              <w:top w:w="65" w:type="dxa"/>
              <w:bottom w:w="65" w:type="dxa"/>
              <w:left w:w="65" w:type="dxa"/>
              <w:right w:w="65" w:type="dxa"/>
            </w:tcMar>
          </w:tcPr>
          <w:p>
            <w:pPr>
              <w:spacing w:before="30" w:after="30" w:line="252" w:lineRule="auto"/>
            </w:pPr>
            <w:r>
              <w:rPr>
                <w:rFonts w:ascii="Arial" w:hAnsi="Arial" w:eastAsia="宋体"/>
                <w:b w:val="0"/>
                <w:i w:val="0"/>
                <w:sz w:val="18"/>
              </w:rPr>
              <w:t>持股与企业合并</w:t>
            </w:r>
          </w:p>
        </w:tc>
        <w:tc>
          <w:tcPr>
            <w:tcW w:type="dxa" w:w="3307"/>
            <w:vAlign w:val="top"/>
            <w:tcMar>
              <w:top w:w="65" w:type="dxa"/>
              <w:bottom w:w="65" w:type="dxa"/>
              <w:left w:w="65" w:type="dxa"/>
              <w:right w:w="65" w:type="dxa"/>
            </w:tcMar>
          </w:tcPr>
          <w:p>
            <w:pPr>
              <w:spacing w:before="30" w:after="30" w:line="252" w:lineRule="auto"/>
            </w:pPr>
            <w:r>
              <w:rPr>
                <w:rFonts w:ascii="Arial" w:hAnsi="Arial" w:eastAsia="宋体"/>
                <w:b w:val="0"/>
                <w:i w:val="0"/>
                <w:sz w:val="18"/>
              </w:rPr>
              <w:t>维护实际法人100%全额合并关系；与管理树分开</w:t>
            </w:r>
          </w:p>
        </w:tc>
        <w:tc>
          <w:tcPr>
            <w:tcW w:type="dxa" w:w="3991"/>
            <w:vAlign w:val="top"/>
            <w:tcMar>
              <w:top w:w="65" w:type="dxa"/>
              <w:bottom w:w="65" w:type="dxa"/>
              <w:left w:w="65" w:type="dxa"/>
              <w:right w:w="65" w:type="dxa"/>
            </w:tcMar>
          </w:tcPr>
          <w:p>
            <w:pPr>
              <w:spacing w:before="30" w:after="30" w:line="252" w:lineRule="auto"/>
            </w:pPr>
            <w:r>
              <w:rPr>
                <w:rFonts w:ascii="Arial" w:hAnsi="Arial" w:eastAsia="宋体"/>
                <w:b w:val="0"/>
                <w:i w:val="0"/>
                <w:sz w:val="18"/>
              </w:rPr>
              <w:t>ownership_save、ownership</w:t>
            </w:r>
          </w:p>
        </w:tc>
      </w:tr>
      <w:tr>
        <w:trPr>
          <w:cantSplit/>
        </w:trPr>
        <w:tc>
          <w:tcPr>
            <w:tcW w:type="dxa" w:w="9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12</w:t>
            </w:r>
          </w:p>
        </w:tc>
        <w:tc>
          <w:tcPr>
            <w:tcW w:type="dxa" w:w="11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内部往来核对</w:t>
            </w:r>
          </w:p>
        </w:tc>
        <w:tc>
          <w:tcPr>
            <w:tcW w:type="dxa" w:w="33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展示分层抵销来源和交易双方，维护唯一来源标识及最低共同层</w:t>
            </w:r>
          </w:p>
        </w:tc>
        <w:tc>
          <w:tcPr>
            <w:tcW w:type="dxa" w:w="39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eliminations、elimination_save</w:t>
            </w:r>
          </w:p>
        </w:tc>
      </w:tr>
      <w:tr>
        <w:trPr>
          <w:cantSplit/>
        </w:trPr>
        <w:tc>
          <w:tcPr>
            <w:tcW w:type="dxa" w:w="937"/>
            <w:vAlign w:val="top"/>
            <w:tcMar>
              <w:top w:w="65" w:type="dxa"/>
              <w:bottom w:w="65" w:type="dxa"/>
              <w:left w:w="65" w:type="dxa"/>
              <w:right w:w="65" w:type="dxa"/>
            </w:tcMar>
          </w:tcPr>
          <w:p>
            <w:pPr>
              <w:spacing w:before="30" w:after="30" w:line="252" w:lineRule="auto"/>
            </w:pPr>
            <w:r>
              <w:rPr>
                <w:rFonts w:ascii="Arial" w:hAnsi="Arial" w:eastAsia="宋体"/>
                <w:b w:val="0"/>
                <w:i w:val="0"/>
                <w:sz w:val="18"/>
              </w:rPr>
              <w:t>13</w:t>
            </w:r>
          </w:p>
        </w:tc>
        <w:tc>
          <w:tcPr>
            <w:tcW w:type="dxa" w:w="1171"/>
            <w:vAlign w:val="top"/>
            <w:tcMar>
              <w:top w:w="65" w:type="dxa"/>
              <w:bottom w:w="65" w:type="dxa"/>
              <w:left w:w="65" w:type="dxa"/>
              <w:right w:w="65" w:type="dxa"/>
            </w:tcMar>
          </w:tcPr>
          <w:p>
            <w:pPr>
              <w:spacing w:before="30" w:after="30" w:line="252" w:lineRule="auto"/>
            </w:pPr>
            <w:r>
              <w:rPr>
                <w:rFonts w:ascii="Arial" w:hAnsi="Arial" w:eastAsia="宋体"/>
                <w:b w:val="0"/>
                <w:i w:val="0"/>
                <w:sz w:val="18"/>
              </w:rPr>
              <w:t>抵销与调整凭证</w:t>
            </w:r>
          </w:p>
        </w:tc>
        <w:tc>
          <w:tcPr>
            <w:tcW w:type="dxa" w:w="3307"/>
            <w:vAlign w:val="top"/>
            <w:tcMar>
              <w:top w:w="65" w:type="dxa"/>
              <w:bottom w:w="65" w:type="dxa"/>
              <w:left w:w="65" w:type="dxa"/>
              <w:right w:w="65" w:type="dxa"/>
            </w:tcMar>
          </w:tcPr>
          <w:p>
            <w:pPr>
              <w:spacing w:before="30" w:after="30" w:line="252" w:lineRule="auto"/>
            </w:pPr>
            <w:r>
              <w:rPr>
                <w:rFonts w:ascii="Arial" w:hAnsi="Arial" w:eastAsia="宋体"/>
                <w:b w:val="0"/>
                <w:i w:val="0"/>
                <w:sz w:val="18"/>
              </w:rPr>
              <w:t>保存分层销售/应收应付自动草稿及期初投资权益，展示真实借贷分录、审批/停用及原始行</w:t>
            </w:r>
          </w:p>
        </w:tc>
        <w:tc>
          <w:tcPr>
            <w:tcW w:type="dxa" w:w="3991"/>
            <w:vAlign w:val="top"/>
            <w:tcMar>
              <w:top w:w="65" w:type="dxa"/>
              <w:bottom w:w="65" w:type="dxa"/>
              <w:left w:w="65" w:type="dxa"/>
              <w:right w:w="65" w:type="dxa"/>
            </w:tcMar>
          </w:tcPr>
          <w:p>
            <w:pPr>
              <w:spacing w:before="30" w:after="30" w:line="252" w:lineRule="auto"/>
            </w:pPr>
            <w:r>
              <w:rPr>
                <w:rFonts w:ascii="Arial" w:hAnsi="Arial" w:eastAsia="宋体"/>
                <w:b w:val="0"/>
                <w:i w:val="0"/>
                <w:sz w:val="18"/>
              </w:rPr>
              <w:t>elimination_save、elimination_approve、elimination_cancel</w:t>
            </w:r>
          </w:p>
        </w:tc>
      </w:tr>
      <w:tr>
        <w:trPr>
          <w:cantSplit/>
        </w:trPr>
        <w:tc>
          <w:tcPr>
            <w:tcW w:type="dxa" w:w="9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14</w:t>
            </w:r>
          </w:p>
        </w:tc>
        <w:tc>
          <w:tcPr>
            <w:tcW w:type="dxa" w:w="11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关账校验与签核</w:t>
            </w:r>
          </w:p>
        </w:tc>
        <w:tc>
          <w:tcPr>
            <w:tcW w:type="dxa" w:w="33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读取结果中的四项会计勾稽及下级前置，执行同一签核/重开逻辑</w:t>
            </w:r>
          </w:p>
        </w:tc>
        <w:tc>
          <w:tcPr>
            <w:tcW w:type="dxa" w:w="39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checks、preconditions、result_approve</w:t>
            </w:r>
          </w:p>
        </w:tc>
      </w:tr>
      <w:tr>
        <w:trPr>
          <w:cantSplit/>
        </w:trPr>
        <w:tc>
          <w:tcPr>
            <w:tcW w:type="dxa" w:w="937"/>
            <w:vAlign w:val="top"/>
            <w:tcMar>
              <w:top w:w="65" w:type="dxa"/>
              <w:bottom w:w="65" w:type="dxa"/>
              <w:left w:w="65" w:type="dxa"/>
              <w:right w:w="65" w:type="dxa"/>
            </w:tcMar>
          </w:tcPr>
          <w:p>
            <w:pPr>
              <w:spacing w:before="30" w:after="30" w:line="252" w:lineRule="auto"/>
            </w:pPr>
            <w:r>
              <w:rPr>
                <w:rFonts w:ascii="Arial" w:hAnsi="Arial" w:eastAsia="宋体"/>
                <w:b w:val="0"/>
                <w:i w:val="0"/>
                <w:sz w:val="18"/>
              </w:rPr>
              <w:t>15</w:t>
            </w:r>
          </w:p>
        </w:tc>
        <w:tc>
          <w:tcPr>
            <w:tcW w:type="dxa" w:w="1171"/>
            <w:vAlign w:val="top"/>
            <w:tcMar>
              <w:top w:w="65" w:type="dxa"/>
              <w:bottom w:w="65" w:type="dxa"/>
              <w:left w:w="65" w:type="dxa"/>
              <w:right w:w="65" w:type="dxa"/>
            </w:tcMar>
          </w:tcPr>
          <w:p>
            <w:pPr>
              <w:spacing w:before="30" w:after="30" w:line="252" w:lineRule="auto"/>
            </w:pPr>
            <w:r>
              <w:rPr>
                <w:rFonts w:ascii="Arial" w:hAnsi="Arial" w:eastAsia="宋体"/>
                <w:b w:val="0"/>
                <w:i w:val="0"/>
                <w:sz w:val="18"/>
              </w:rPr>
              <w:t>集团三张报表</w:t>
            </w:r>
          </w:p>
        </w:tc>
        <w:tc>
          <w:tcPr>
            <w:tcW w:type="dxa" w:w="3307"/>
            <w:vAlign w:val="top"/>
            <w:tcMar>
              <w:top w:w="65" w:type="dxa"/>
              <w:bottom w:w="65" w:type="dxa"/>
              <w:left w:w="65" w:type="dxa"/>
              <w:right w:w="65" w:type="dxa"/>
            </w:tcMar>
          </w:tcPr>
          <w:p>
            <w:pPr>
              <w:spacing w:before="30" w:after="30" w:line="252" w:lineRule="auto"/>
            </w:pPr>
            <w:r>
              <w:rPr>
                <w:rFonts w:ascii="Arial" w:hAnsi="Arial" w:eastAsia="宋体"/>
                <w:b w:val="0"/>
                <w:i w:val="0"/>
                <w:sz w:val="18"/>
              </w:rPr>
              <w:t>显示同一结果版本的利润、资产负债和现金流表，按来源钻取</w:t>
            </w:r>
          </w:p>
        </w:tc>
        <w:tc>
          <w:tcPr>
            <w:tcW w:type="dxa" w:w="3991"/>
            <w:vAlign w:val="top"/>
            <w:tcMar>
              <w:top w:w="65" w:type="dxa"/>
              <w:bottom w:w="65" w:type="dxa"/>
              <w:left w:w="65" w:type="dxa"/>
              <w:right w:w="65" w:type="dxa"/>
            </w:tcMar>
          </w:tcPr>
          <w:p>
            <w:pPr>
              <w:spacing w:before="30" w:after="30" w:line="252" w:lineRule="auto"/>
            </w:pPr>
            <w:r>
              <w:rPr>
                <w:rFonts w:ascii="Arial" w:hAnsi="Arial" w:eastAsia="宋体"/>
                <w:b w:val="0"/>
                <w:i w:val="0"/>
                <w:sz w:val="18"/>
              </w:rPr>
              <w:t>statement、report、trace</w:t>
            </w:r>
          </w:p>
        </w:tc>
      </w:tr>
      <w:tr>
        <w:trPr>
          <w:cantSplit/>
        </w:trPr>
        <w:tc>
          <w:tcPr>
            <w:tcW w:type="dxa" w:w="9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16</w:t>
            </w:r>
          </w:p>
        </w:tc>
        <w:tc>
          <w:tcPr>
            <w:tcW w:type="dxa" w:w="11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预算周期与审批</w:t>
            </w:r>
          </w:p>
        </w:tc>
        <w:tc>
          <w:tcPr>
            <w:tcW w:type="dxa" w:w="33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演示预算编制、提交、批准、锁定状态机</w:t>
            </w:r>
          </w:p>
        </w:tc>
        <w:tc>
          <w:tcPr>
            <w:tcW w:type="dxa" w:w="39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budget_submit、budget_approve、budget_lock</w:t>
            </w:r>
          </w:p>
        </w:tc>
      </w:tr>
      <w:tr>
        <w:trPr>
          <w:cantSplit/>
        </w:trPr>
        <w:tc>
          <w:tcPr>
            <w:tcW w:type="dxa" w:w="937"/>
            <w:vAlign w:val="top"/>
            <w:tcMar>
              <w:top w:w="65" w:type="dxa"/>
              <w:bottom w:w="65" w:type="dxa"/>
              <w:left w:w="65" w:type="dxa"/>
              <w:right w:w="65" w:type="dxa"/>
            </w:tcMar>
          </w:tcPr>
          <w:p>
            <w:pPr>
              <w:spacing w:before="30" w:after="30" w:line="252" w:lineRule="auto"/>
            </w:pPr>
            <w:r>
              <w:rPr>
                <w:rFonts w:ascii="Arial" w:hAnsi="Arial" w:eastAsia="宋体"/>
                <w:b w:val="0"/>
                <w:i w:val="0"/>
                <w:sz w:val="18"/>
              </w:rPr>
              <w:t>17</w:t>
            </w:r>
          </w:p>
        </w:tc>
        <w:tc>
          <w:tcPr>
            <w:tcW w:type="dxa" w:w="1171"/>
            <w:vAlign w:val="top"/>
            <w:tcMar>
              <w:top w:w="65" w:type="dxa"/>
              <w:bottom w:w="65" w:type="dxa"/>
              <w:left w:w="65" w:type="dxa"/>
              <w:right w:w="65" w:type="dxa"/>
            </w:tcMar>
          </w:tcPr>
          <w:p>
            <w:pPr>
              <w:spacing w:before="30" w:after="30" w:line="252" w:lineRule="auto"/>
            </w:pPr>
            <w:r>
              <w:rPr>
                <w:rFonts w:ascii="Arial" w:hAnsi="Arial" w:eastAsia="宋体"/>
                <w:b w:val="0"/>
                <w:i w:val="0"/>
                <w:sz w:val="18"/>
              </w:rPr>
              <w:t>预算编制与分摊</w:t>
            </w:r>
          </w:p>
        </w:tc>
        <w:tc>
          <w:tcPr>
            <w:tcW w:type="dxa" w:w="3307"/>
            <w:vAlign w:val="top"/>
            <w:tcMar>
              <w:top w:w="65" w:type="dxa"/>
              <w:bottom w:w="65" w:type="dxa"/>
              <w:left w:w="65" w:type="dxa"/>
              <w:right w:w="65" w:type="dxa"/>
            </w:tcMar>
          </w:tcPr>
          <w:p>
            <w:pPr>
              <w:spacing w:before="30" w:after="30" w:line="252" w:lineRule="auto"/>
            </w:pPr>
            <w:r>
              <w:rPr>
                <w:rFonts w:ascii="Arial" w:hAnsi="Arial" w:eastAsia="宋体"/>
                <w:b w:val="0"/>
                <w:i w:val="0"/>
                <w:sz w:val="18"/>
              </w:rPr>
              <w:t>四层目标、量价驱动、全年分摊、七类业务预算明细</w:t>
            </w:r>
          </w:p>
        </w:tc>
        <w:tc>
          <w:tcPr>
            <w:tcW w:type="dxa" w:w="3991"/>
            <w:vAlign w:val="top"/>
            <w:tcMar>
              <w:top w:w="65" w:type="dxa"/>
              <w:bottom w:w="65" w:type="dxa"/>
              <w:left w:w="65" w:type="dxa"/>
              <w:right w:w="65" w:type="dxa"/>
            </w:tcMar>
          </w:tcPr>
          <w:p>
            <w:pPr>
              <w:spacing w:before="30" w:after="30" w:line="252" w:lineRule="auto"/>
            </w:pPr>
            <w:r>
              <w:rPr>
                <w:rFonts w:ascii="Arial" w:hAnsi="Arial" w:eastAsia="宋体"/>
                <w:b w:val="0"/>
                <w:i w:val="0"/>
                <w:sz w:val="18"/>
              </w:rPr>
              <w:t>budget_layer_save、budget_driver、budget_spread、budget_plan_save</w:t>
            </w:r>
          </w:p>
        </w:tc>
      </w:tr>
      <w:tr>
        <w:trPr>
          <w:cantSplit/>
        </w:trPr>
        <w:tc>
          <w:tcPr>
            <w:tcW w:type="dxa" w:w="9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18</w:t>
            </w:r>
          </w:p>
        </w:tc>
        <w:tc>
          <w:tcPr>
            <w:tcW w:type="dxa" w:w="11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预算调整与滚动预测</w:t>
            </w:r>
          </w:p>
        </w:tc>
        <w:tc>
          <w:tcPr>
            <w:tcW w:type="dxa" w:w="33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保存独立调整申请，批准生成新预算版；滚动预测通过完整复制预算形成独立情景，再由用户人工编制与审批</w:t>
            </w:r>
          </w:p>
        </w:tc>
        <w:tc>
          <w:tcPr>
            <w:tcW w:type="dxa" w:w="39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budget_adjust_create/approve/reject</w:t>
            </w:r>
          </w:p>
        </w:tc>
      </w:tr>
      <w:tr>
        <w:trPr>
          <w:cantSplit/>
        </w:trPr>
        <w:tc>
          <w:tcPr>
            <w:tcW w:type="dxa" w:w="937"/>
            <w:vAlign w:val="top"/>
            <w:tcMar>
              <w:top w:w="65" w:type="dxa"/>
              <w:bottom w:w="65" w:type="dxa"/>
              <w:left w:w="65" w:type="dxa"/>
              <w:right w:w="65" w:type="dxa"/>
            </w:tcMar>
          </w:tcPr>
          <w:p>
            <w:pPr>
              <w:spacing w:before="30" w:after="30" w:line="252" w:lineRule="auto"/>
            </w:pPr>
            <w:r>
              <w:rPr>
                <w:rFonts w:ascii="Arial" w:hAnsi="Arial" w:eastAsia="宋体"/>
                <w:b w:val="0"/>
                <w:i w:val="0"/>
                <w:sz w:val="18"/>
              </w:rPr>
              <w:t>19</w:t>
            </w:r>
          </w:p>
        </w:tc>
        <w:tc>
          <w:tcPr>
            <w:tcW w:type="dxa" w:w="1171"/>
            <w:vAlign w:val="top"/>
            <w:tcMar>
              <w:top w:w="65" w:type="dxa"/>
              <w:bottom w:w="65" w:type="dxa"/>
              <w:left w:w="65" w:type="dxa"/>
              <w:right w:w="65" w:type="dxa"/>
            </w:tcMar>
          </w:tcPr>
          <w:p>
            <w:pPr>
              <w:spacing w:before="30" w:after="30" w:line="252" w:lineRule="auto"/>
            </w:pPr>
            <w:r>
              <w:rPr>
                <w:rFonts w:ascii="Arial" w:hAnsi="Arial" w:eastAsia="宋体"/>
                <w:b w:val="0"/>
                <w:i w:val="0"/>
                <w:sz w:val="18"/>
              </w:rPr>
              <w:t>版本与多情景</w:t>
            </w:r>
          </w:p>
        </w:tc>
        <w:tc>
          <w:tcPr>
            <w:tcW w:type="dxa" w:w="3307"/>
            <w:vAlign w:val="top"/>
            <w:tcMar>
              <w:top w:w="65" w:type="dxa"/>
              <w:bottom w:w="65" w:type="dxa"/>
              <w:left w:w="65" w:type="dxa"/>
              <w:right w:w="65" w:type="dxa"/>
            </w:tcMar>
          </w:tcPr>
          <w:p>
            <w:pPr>
              <w:spacing w:before="30" w:after="30" w:line="252" w:lineRule="auto"/>
            </w:pPr>
            <w:r>
              <w:rPr>
                <w:rFonts w:ascii="Arial" w:hAnsi="Arial" w:eastAsia="宋体"/>
                <w:b w:val="0"/>
                <w:i w:val="0"/>
                <w:sz w:val="18"/>
              </w:rPr>
              <w:t>完整复制和切换预算目标、分摊、驱动及业务明细</w:t>
            </w:r>
          </w:p>
        </w:tc>
        <w:tc>
          <w:tcPr>
            <w:tcW w:type="dxa" w:w="3991"/>
            <w:vAlign w:val="top"/>
            <w:tcMar>
              <w:top w:w="65" w:type="dxa"/>
              <w:bottom w:w="65" w:type="dxa"/>
              <w:left w:w="65" w:type="dxa"/>
              <w:right w:w="65" w:type="dxa"/>
            </w:tcMar>
          </w:tcPr>
          <w:p>
            <w:pPr>
              <w:spacing w:before="30" w:after="30" w:line="252" w:lineRule="auto"/>
            </w:pPr>
            <w:r>
              <w:rPr>
                <w:rFonts w:ascii="Arial" w:hAnsi="Arial" w:eastAsia="宋体"/>
                <w:b w:val="0"/>
                <w:i w:val="0"/>
                <w:sz w:val="18"/>
              </w:rPr>
              <w:t>budget_copy、budget_switch、budget.versions</w:t>
            </w:r>
          </w:p>
        </w:tc>
      </w:tr>
      <w:tr>
        <w:trPr>
          <w:cantSplit/>
        </w:trPr>
        <w:tc>
          <w:tcPr>
            <w:tcW w:type="dxa" w:w="9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20</w:t>
            </w:r>
          </w:p>
        </w:tc>
        <w:tc>
          <w:tcPr>
            <w:tcW w:type="dxa" w:w="11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经营差异与钻取</w:t>
            </w:r>
          </w:p>
        </w:tc>
        <w:tc>
          <w:tcPr>
            <w:tcW w:type="dxa" w:w="33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集团人民币同范围预实比较、法人贡献及结果血缘；小合并/美元禁混比</w:t>
            </w:r>
          </w:p>
        </w:tc>
        <w:tc>
          <w:tcPr>
            <w:tcW w:type="dxa" w:w="39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budgetComparable、entityActuals、commentary_save</w:t>
            </w:r>
          </w:p>
        </w:tc>
      </w:tr>
      <w:tr>
        <w:trPr>
          <w:cantSplit/>
        </w:trPr>
        <w:tc>
          <w:tcPr>
            <w:tcW w:type="dxa" w:w="937"/>
            <w:vAlign w:val="top"/>
            <w:tcMar>
              <w:top w:w="65" w:type="dxa"/>
              <w:bottom w:w="65" w:type="dxa"/>
              <w:left w:w="65" w:type="dxa"/>
              <w:right w:w="65" w:type="dxa"/>
            </w:tcMar>
          </w:tcPr>
          <w:p>
            <w:pPr>
              <w:spacing w:before="30" w:after="30" w:line="252" w:lineRule="auto"/>
            </w:pPr>
            <w:r>
              <w:rPr>
                <w:rFonts w:ascii="Arial" w:hAnsi="Arial" w:eastAsia="宋体"/>
                <w:b w:val="0"/>
                <w:i w:val="0"/>
                <w:sz w:val="18"/>
              </w:rPr>
              <w:t>21</w:t>
            </w:r>
          </w:p>
        </w:tc>
        <w:tc>
          <w:tcPr>
            <w:tcW w:type="dxa" w:w="1171"/>
            <w:vAlign w:val="top"/>
            <w:tcMar>
              <w:top w:w="65" w:type="dxa"/>
              <w:bottom w:w="65" w:type="dxa"/>
              <w:left w:w="65" w:type="dxa"/>
              <w:right w:w="65" w:type="dxa"/>
            </w:tcMar>
          </w:tcPr>
          <w:p>
            <w:pPr>
              <w:spacing w:before="30" w:after="30" w:line="252" w:lineRule="auto"/>
            </w:pPr>
            <w:r>
              <w:rPr>
                <w:rFonts w:ascii="Arial" w:hAnsi="Arial" w:eastAsia="宋体"/>
                <w:b w:val="0"/>
                <w:i w:val="0"/>
                <w:sz w:val="18"/>
              </w:rPr>
              <w:t>管理报表中心</w:t>
            </w:r>
          </w:p>
        </w:tc>
        <w:tc>
          <w:tcPr>
            <w:tcW w:type="dxa" w:w="3307"/>
            <w:vAlign w:val="top"/>
            <w:tcMar>
              <w:top w:w="65" w:type="dxa"/>
              <w:bottom w:w="65" w:type="dxa"/>
              <w:left w:w="65" w:type="dxa"/>
              <w:right w:w="65" w:type="dxa"/>
            </w:tcMar>
          </w:tcPr>
          <w:p>
            <w:pPr>
              <w:spacing w:before="30" w:after="30" w:line="252" w:lineRule="auto"/>
            </w:pPr>
            <w:r>
              <w:rPr>
                <w:rFonts w:ascii="Arial" w:hAnsi="Arial" w:eastAsia="宋体"/>
                <w:b w:val="0"/>
                <w:i w:val="0"/>
                <w:sz w:val="18"/>
              </w:rPr>
              <w:t>集中访问三表、经营分析和证据导出；导出标示范围/期间/币种/版本</w:t>
            </w:r>
          </w:p>
        </w:tc>
        <w:tc>
          <w:tcPr>
            <w:tcW w:type="dxa" w:w="3991"/>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当前结果JSON、当前报表CSV</w:t>
            </w:r>
          </w:p>
        </w:tc>
      </w:tr>
      <w:tr>
        <w:trPr>
          <w:cantSplit/>
        </w:trPr>
        <w:tc>
          <w:tcPr>
            <w:tcW w:type="dxa" w:w="9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22</w:t>
            </w:r>
          </w:p>
        </w:tc>
        <w:tc>
          <w:tcPr>
            <w:tcW w:type="dxa" w:w="11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组织权限</w:t>
            </w:r>
          </w:p>
        </w:tc>
        <w:tc>
          <w:tcPr>
            <w:tcW w:type="dxa" w:w="33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切换本机演示角色，显示职责边界</w:t>
            </w:r>
          </w:p>
        </w:tc>
        <w:tc>
          <w:tcPr>
            <w:tcW w:type="dxa" w:w="39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role_switch、sessionRole、capabilities</w:t>
            </w:r>
          </w:p>
        </w:tc>
      </w:tr>
      <w:tr>
        <w:trPr>
          <w:cantSplit/>
        </w:trPr>
        <w:tc>
          <w:tcPr>
            <w:tcW w:type="dxa" w:w="937"/>
            <w:vAlign w:val="top"/>
            <w:tcMar>
              <w:top w:w="65" w:type="dxa"/>
              <w:bottom w:w="65" w:type="dxa"/>
              <w:left w:w="65" w:type="dxa"/>
              <w:right w:w="65" w:type="dxa"/>
            </w:tcMar>
          </w:tcPr>
          <w:p>
            <w:pPr>
              <w:spacing w:before="30" w:after="30" w:line="252" w:lineRule="auto"/>
            </w:pPr>
            <w:r>
              <w:rPr>
                <w:rFonts w:ascii="Arial" w:hAnsi="Arial" w:eastAsia="宋体"/>
                <w:b w:val="0"/>
                <w:i w:val="0"/>
                <w:sz w:val="18"/>
              </w:rPr>
              <w:t>23</w:t>
            </w:r>
          </w:p>
        </w:tc>
        <w:tc>
          <w:tcPr>
            <w:tcW w:type="dxa" w:w="1171"/>
            <w:vAlign w:val="top"/>
            <w:tcMar>
              <w:top w:w="65" w:type="dxa"/>
              <w:bottom w:w="65" w:type="dxa"/>
              <w:left w:w="65" w:type="dxa"/>
              <w:right w:w="65" w:type="dxa"/>
            </w:tcMar>
          </w:tcPr>
          <w:p>
            <w:pPr>
              <w:spacing w:before="30" w:after="30" w:line="252" w:lineRule="auto"/>
            </w:pPr>
            <w:r>
              <w:rPr>
                <w:rFonts w:ascii="Arial" w:hAnsi="Arial" w:eastAsia="宋体"/>
                <w:b w:val="0"/>
                <w:i w:val="0"/>
                <w:sz w:val="18"/>
              </w:rPr>
              <w:t>审计轨迹</w:t>
            </w:r>
          </w:p>
        </w:tc>
        <w:tc>
          <w:tcPr>
            <w:tcW w:type="dxa" w:w="3307"/>
            <w:vAlign w:val="top"/>
            <w:tcMar>
              <w:top w:w="65" w:type="dxa"/>
              <w:bottom w:w="65" w:type="dxa"/>
              <w:left w:w="65" w:type="dxa"/>
              <w:right w:w="65" w:type="dxa"/>
            </w:tcMar>
          </w:tcPr>
          <w:p>
            <w:pPr>
              <w:spacing w:before="30" w:after="30" w:line="252" w:lineRule="auto"/>
            </w:pPr>
            <w:r>
              <w:rPr>
                <w:rFonts w:ascii="Arial" w:hAnsi="Arial" w:eastAsia="宋体"/>
                <w:b w:val="0"/>
                <w:i w:val="0"/>
                <w:sz w:val="18"/>
              </w:rPr>
              <w:t>展示服务端实际事务生成的操作记录，最多读取最近200条</w:t>
            </w:r>
          </w:p>
        </w:tc>
        <w:tc>
          <w:tcPr>
            <w:tcW w:type="dxa" w:w="3991"/>
            <w:vAlign w:val="top"/>
            <w:tcMar>
              <w:top w:w="65" w:type="dxa"/>
              <w:bottom w:w="65" w:type="dxa"/>
              <w:left w:w="65" w:type="dxa"/>
              <w:right w:w="65" w:type="dxa"/>
            </w:tcMar>
          </w:tcPr>
          <w:p>
            <w:pPr>
              <w:spacing w:before="30" w:after="30" w:line="252" w:lineRule="auto"/>
            </w:pPr>
            <w:r>
              <w:rPr>
                <w:rFonts w:ascii="Arial" w:hAnsi="Arial" w:eastAsia="宋体"/>
                <w:b w:val="0"/>
                <w:i w:val="0"/>
                <w:sz w:val="18"/>
              </w:rPr>
              <w:t>audit、activities</w:t>
            </w:r>
          </w:p>
        </w:tc>
      </w:tr>
      <w:tr>
        <w:trPr>
          <w:cantSplit/>
        </w:trPr>
        <w:tc>
          <w:tcPr>
            <w:tcW w:type="dxa" w:w="9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24</w:t>
            </w:r>
          </w:p>
        </w:tc>
        <w:tc>
          <w:tcPr>
            <w:tcW w:type="dxa" w:w="11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系统配置</w:t>
            </w:r>
          </w:p>
        </w:tc>
        <w:tc>
          <w:tcPr>
            <w:tcW w:type="dxa" w:w="33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公司显示名、固定年度及运行信息；查看目录和安全退出</w:t>
            </w:r>
          </w:p>
        </w:tc>
        <w:tc>
          <w:tcPr>
            <w:tcW w:type="dxa" w:w="39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settings_save、/api/runtime、open-data-dir、shutdown</w:t>
            </w:r>
          </w:p>
        </w:tc>
      </w:tr>
    </w:tbl>
    <w:p>
      <w:pPr>
        <w:spacing w:after="40"/>
      </w:pPr>
    </w:p>
    <w:p>
      <w:pPr>
        <w:pStyle w:val="Heading1"/>
      </w:pPr>
      <w:bookmarkStart w:id="10" w:name="epm_10"/>
      <w:r>
        <w:rPr>
          <w:rFonts w:ascii="Arial" w:hAnsi="Arial" w:eastAsia="宋体"/>
          <w:b w:val="0"/>
          <w:i w:val="0"/>
        </w:rPr>
        <w:t>四、三种组织对象及唯一纳入规则</w:t>
      </w:r>
      <w:bookmarkEnd w:id="10"/>
    </w:p>
    <w:p>
      <w:pPr>
        <w:pStyle w:val="Heading2"/>
      </w:pPr>
      <w:bookmarkStart w:id="11" w:name="epm_11"/>
      <w:r>
        <w:rPr>
          <w:rFonts w:ascii="Arial" w:hAnsi="Arial" w:eastAsia="宋体"/>
          <w:b w:val="0"/>
          <w:i w:val="0"/>
        </w:rPr>
        <w:t>4.1 法人与管理单元</w:t>
      </w:r>
      <w:bookmarkEnd w:id="11"/>
    </w:p>
    <w:p>
      <w:r>
        <w:rPr>
          <w:rFonts w:ascii="Arial" w:hAnsi="Arial" w:eastAsia="宋体"/>
          <w:b w:val="0"/>
          <w:i w:val="0"/>
        </w:rPr>
        <w:t>法人是提供自身完整财务源的对象，本位币当前只允许CNY或USD。管理合并单元接收法人源或下级合并结果，具有自己的报表币种。实际股权以法人之间的ownership独立记录。管理树用于确定计算路径，不能因为某法人归入鸿旺管理范围就自动制造鸿旺对该法人的直接投资。</w:t>
      </w:r>
    </w:p>
    <w:p>
      <w:r>
        <w:rPr>
          <w:rFonts w:ascii="Arial" w:hAnsi="Arial" w:eastAsia="宋体"/>
          <w:b w:val="0"/>
          <w:i w:val="0"/>
        </w:rPr>
        <w:t>用户确认的三家独立法人是鸿旺单体、鸿旺猫爬架生产事业部、杭州鸿旺宠物用品有限公司电子工厂，三份单体报表互不重叠。当前seed中对应HW、HW_CAT、HW_ELEC。它们在HW_GROUP内先合并，集团只引用HW_GROUP的结果，不再平行重复纳入三份单体。</w:t>
      </w:r>
    </w:p>
    <w:p>
      <w:pPr>
        <w:pStyle w:val="Heading2"/>
      </w:pPr>
      <w:bookmarkStart w:id="12" w:name="epm_12"/>
      <w:r>
        <w:rPr>
          <w:rFonts w:ascii="Arial" w:hAnsi="Arial" w:eastAsia="宋体"/>
          <w:b w:val="0"/>
          <w:i w:val="0"/>
        </w:rPr>
        <w:t>4.2 初始组织与数据流</w:t>
      </w:r>
      <w:bookmarkEnd w:id="12"/>
    </w:p>
    <w:p>
      <w:pPr>
        <w:spacing w:before="0" w:after="0" w:line="240" w:lineRule="auto"/>
        <w:ind w:left="113"/>
        <w:shd w:fill="F4F6FA"/>
      </w:pPr>
      <w:r>
        <w:rPr>
          <w:rFonts w:ascii="Consolas" w:hAnsi="Consolas" w:eastAsia="宋体"/>
          <w:sz w:val="16"/>
        </w:rPr>
        <w:t>真实持股示例：杭州天元本部 TY → 各子法人100%</w:t>
      </w:r>
    </w:p>
    <w:p>
      <w:pPr>
        <w:spacing w:before="0" w:after="0" w:line="240" w:lineRule="auto"/>
        <w:ind w:left="113"/>
        <w:shd w:fill="F4F6FA"/>
      </w:pPr>
      <w:r>
        <w:rPr>
          <w:rFonts w:ascii="Consolas" w:hAnsi="Consolas" w:eastAsia="宋体"/>
          <w:sz w:val="16"/>
        </w:rPr>
      </w:r>
    </w:p>
    <w:p>
      <w:pPr>
        <w:spacing w:before="0" w:after="0" w:line="240" w:lineRule="auto"/>
        <w:ind w:left="113"/>
        <w:shd w:fill="F4F6FA"/>
      </w:pPr>
      <w:r>
        <w:rPr>
          <w:rFonts w:ascii="Consolas" w:hAnsi="Consolas" w:eastAsia="宋体"/>
          <w:sz w:val="16"/>
        </w:rPr>
        <w:t>集团管理合并 TY_GROUP（人民币）</w:t>
      </w:r>
    </w:p>
    <w:p>
      <w:pPr>
        <w:spacing w:before="0" w:after="0" w:line="240" w:lineRule="auto"/>
        <w:ind w:left="113"/>
        <w:shd w:fill="F4F6FA"/>
      </w:pPr>
      <w:r>
        <w:rPr>
          <w:rFonts w:ascii="Consolas" w:hAnsi="Consolas" w:eastAsia="宋体"/>
          <w:sz w:val="16"/>
        </w:rPr>
        <w:t xml:space="preserve">  ├─ TY 本部法人源（人民币）</w:t>
      </w:r>
    </w:p>
    <w:p>
      <w:pPr>
        <w:spacing w:before="0" w:after="0" w:line="240" w:lineRule="auto"/>
        <w:ind w:left="113"/>
        <w:shd w:fill="F4F6FA"/>
      </w:pPr>
      <w:r>
        <w:rPr>
          <w:rFonts w:ascii="Consolas" w:hAnsi="Consolas" w:eastAsia="宋体"/>
          <w:sz w:val="16"/>
        </w:rPr>
        <w:t xml:space="preserve">  ├─ HW_GROUP 鸿旺小合并结果（人民币）</w:t>
      </w:r>
    </w:p>
    <w:p>
      <w:pPr>
        <w:spacing w:before="0" w:after="0" w:line="240" w:lineRule="auto"/>
        <w:ind w:left="113"/>
        <w:shd w:fill="F4F6FA"/>
      </w:pPr>
      <w:r>
        <w:rPr>
          <w:rFonts w:ascii="Consolas" w:hAnsi="Consolas" w:eastAsia="宋体"/>
          <w:sz w:val="16"/>
        </w:rPr>
        <w:t xml:space="preserve">  │    ├─ HW 鸿旺单体</w:t>
      </w:r>
    </w:p>
    <w:p>
      <w:pPr>
        <w:spacing w:before="0" w:after="0" w:line="240" w:lineRule="auto"/>
        <w:ind w:left="113"/>
        <w:shd w:fill="F4F6FA"/>
      </w:pPr>
      <w:r>
        <w:rPr>
          <w:rFonts w:ascii="Consolas" w:hAnsi="Consolas" w:eastAsia="宋体"/>
          <w:sz w:val="16"/>
        </w:rPr>
        <w:t xml:space="preserve">  │    ├─ HW_CAT 鸿旺猫爬架生产事业部</w:t>
      </w:r>
    </w:p>
    <w:p>
      <w:pPr>
        <w:spacing w:before="0" w:after="0" w:line="240" w:lineRule="auto"/>
        <w:ind w:left="113"/>
        <w:shd w:fill="F4F6FA"/>
      </w:pPr>
      <w:r>
        <w:rPr>
          <w:rFonts w:ascii="Consolas" w:hAnsi="Consolas" w:eastAsia="宋体"/>
          <w:sz w:val="16"/>
        </w:rPr>
        <w:t xml:space="preserve">  │    └─ HW_ELEC 鸿旺电子工厂</w:t>
      </w:r>
    </w:p>
    <w:p>
      <w:pPr>
        <w:spacing w:before="0" w:after="0" w:line="240" w:lineRule="auto"/>
        <w:ind w:left="113"/>
        <w:shd w:fill="F4F6FA"/>
      </w:pPr>
      <w:r>
        <w:rPr>
          <w:rFonts w:ascii="Consolas" w:hAnsi="Consolas" w:eastAsia="宋体"/>
          <w:sz w:val="16"/>
        </w:rPr>
        <w:t xml:space="preserve">  ├─ OS_GROUP 海外小合并结果（美元 → 分类折算人民币）</w:t>
      </w:r>
    </w:p>
    <w:p>
      <w:pPr>
        <w:spacing w:before="0" w:after="0" w:line="240" w:lineRule="auto"/>
        <w:ind w:left="113"/>
        <w:shd w:fill="F4F6FA"/>
      </w:pPr>
      <w:r>
        <w:rPr>
          <w:rFonts w:ascii="Consolas" w:hAnsi="Consolas" w:eastAsia="宋体"/>
          <w:sz w:val="16"/>
        </w:rPr>
        <w:t xml:space="preserve">  │    ├─ OS_A 海外公司甲（美元）</w:t>
      </w:r>
    </w:p>
    <w:p>
      <w:pPr>
        <w:spacing w:before="0" w:after="0" w:line="240" w:lineRule="auto"/>
        <w:ind w:left="113"/>
        <w:shd w:fill="F4F6FA"/>
      </w:pPr>
      <w:r>
        <w:rPr>
          <w:rFonts w:ascii="Consolas" w:hAnsi="Consolas" w:eastAsia="宋体"/>
          <w:sz w:val="16"/>
        </w:rPr>
        <w:t xml:space="preserve">  │    └─ OS_B 海外公司乙（美元）</w:t>
      </w:r>
    </w:p>
    <w:p>
      <w:pPr>
        <w:spacing w:before="0" w:after="0" w:line="240" w:lineRule="auto"/>
        <w:ind w:left="113"/>
        <w:shd w:fill="F4F6FA"/>
      </w:pPr>
      <w:r>
        <w:rPr>
          <w:rFonts w:ascii="Consolas" w:hAnsi="Consolas" w:eastAsia="宋体"/>
          <w:sz w:val="16"/>
        </w:rPr>
        <w:t xml:space="preserve">  └─ OTHER 其他境内法人源（人民币）</w:t>
      </w:r>
    </w:p>
    <w:p>
      <w:pPr>
        <w:spacing w:after="20"/>
      </w:pPr>
    </w:p>
    <w:p>
      <w:pPr>
        <w:pStyle w:val="Heading2"/>
      </w:pPr>
      <w:bookmarkStart w:id="13" w:name="epm_13"/>
      <w:r>
        <w:rPr>
          <w:rFonts w:ascii="Arial" w:hAnsi="Arial" w:eastAsia="宋体"/>
          <w:b w:val="0"/>
          <w:i w:val="0"/>
        </w:rPr>
        <w:t>4.3 树校验的实现</w:t>
      </w:r>
      <w:bookmarkEnd w:id="13"/>
    </w:p>
    <w:p>
      <w:r>
        <w:rPr>
          <w:rFonts w:ascii="Arial" w:hAnsi="Arial" w:eastAsia="宋体"/>
          <w:b w:val="0"/>
          <w:i w:val="0"/>
        </w:rPr>
        <w:t>validate_tree先按ID建立法人和单元索引，再校验成员引用、币种路径和子单元的唯一父级；递归访问每个单元并保存路径和叶子集合。路径中再次出现相同单元时拒绝循环。同一范围内两个输入叶子有交集时拒绝重复纳入。允许临时建立尚未挂接的管理单元，便于“先建小合并并签核，再把集团单体成员替换为小合并结果”；最终集团树仍必须无重复。</w:t>
      </w:r>
    </w:p>
    <w:p>
      <w:r>
        <w:rPr>
          <w:rFonts w:ascii="Arial" w:hAnsi="Arial" w:eastAsia="宋体"/>
          <w:b w:val="0"/>
          <w:i w:val="0"/>
        </w:rPr>
        <w:t>当前允许同币种输入，以及USD向CNY上卷。CNY向USD或其他币种转换在配置和计算阶段均不能冒充支持。更改单元币种后，接口成功响应重取新币种并回到全部法人视图；旧历史报表仍按快照自身币种显示，不能把旧美元金额标成人民币。单元、法人、实际持股和科目属于跨期间配置，保存时检查相关的全部已锁定期间；只重开当前期未必解除另一期间的配置锁，应按错误提示切到相应期间重开。源报送、抵销和分类汇率则按本次业务期间维护。</w:t>
      </w:r>
    </w:p>
    <w:p>
      <w:pPr>
        <w:pStyle w:val="Heading1"/>
      </w:pPr>
      <w:bookmarkStart w:id="14" w:name="epm_14"/>
      <w:r>
        <w:rPr>
          <w:rFonts w:ascii="Arial" w:hAnsi="Arial" w:eastAsia="宋体"/>
          <w:b w:val="0"/>
          <w:i w:val="0"/>
        </w:rPr>
        <w:t>五、首次启动与本机会话交互</w:t>
      </w:r>
      <w:bookmarkEnd w:id="14"/>
    </w:p>
    <w:p>
      <w:pPr>
        <w:pStyle w:val="Heading2"/>
      </w:pPr>
      <w:bookmarkStart w:id="15" w:name="epm_15"/>
      <w:r>
        <w:rPr>
          <w:rFonts w:ascii="Arial" w:hAnsi="Arial" w:eastAsia="宋体"/>
          <w:b w:val="0"/>
          <w:i w:val="0"/>
        </w:rPr>
        <w:t>5.1 Windows启动顺序</w:t>
      </w:r>
      <w:bookmarkEnd w:id="15"/>
    </w:p>
    <w:p>
      <w:pPr>
        <w:ind w:left="283" w:hanging="198"/>
      </w:pPr>
      <w:r>
        <w:rPr>
          <w:rFonts w:ascii="Arial" w:hAnsi="Arial" w:eastAsia="宋体"/>
        </w:rPr>
        <w:t xml:space="preserve">1. </w:t>
      </w:r>
      <w:r>
        <w:rPr>
          <w:rFonts w:ascii="Arial" w:hAnsi="Arial" w:eastAsia="宋体"/>
          <w:b w:val="0"/>
          <w:i w:val="0"/>
        </w:rPr>
        <w:t>用户完整解压后双击EXE。原生入口定位同目录python/pythonw.exe，不依赖系统PATH中的解释器。</w:t>
      </w:r>
    </w:p>
    <w:p>
      <w:pPr>
        <w:ind w:left="283" w:hanging="198"/>
      </w:pPr>
      <w:r>
        <w:rPr>
          <w:rFonts w:ascii="Arial" w:hAnsi="Arial" w:eastAsia="宋体"/>
        </w:rPr>
        <w:t xml:space="preserve">2. </w:t>
      </w:r>
      <w:r>
        <w:rPr>
          <w:rFonts w:ascii="Arial" w:hAnsi="Arial" w:eastAsia="宋体"/>
          <w:b w:val="0"/>
          <w:i w:val="0"/>
        </w:rPr>
        <w:t>使用Unicode参数启动app/demo_launcher.py，传入隔离模式及UTF-8选项。</w:t>
      </w:r>
    </w:p>
    <w:p>
      <w:pPr>
        <w:ind w:left="283" w:hanging="198"/>
      </w:pPr>
      <w:r>
        <w:rPr>
          <w:rFonts w:ascii="Arial" w:hAnsi="Arial" w:eastAsia="宋体"/>
        </w:rPr>
        <w:t xml:space="preserve">3. </w:t>
      </w:r>
      <w:r>
        <w:rPr>
          <w:rFonts w:ascii="Arial" w:hAnsi="Arial" w:eastAsia="宋体"/>
          <w:b w:val="0"/>
          <w:i w:val="0"/>
        </w:rPr>
        <w:t>管理器确定数据目录，通过launcher.lock协调同目录的并发启动。</w:t>
      </w:r>
    </w:p>
    <w:p>
      <w:pPr>
        <w:ind w:left="283" w:hanging="198"/>
      </w:pPr>
      <w:r>
        <w:rPr>
          <w:rFonts w:ascii="Arial" w:hAnsi="Arial" w:eastAsia="宋体"/>
        </w:rPr>
        <w:t xml:space="preserve">4. </w:t>
      </w:r>
      <w:r>
        <w:rPr>
          <w:rFonts w:ascii="Arial" w:hAnsi="Arial" w:eastAsia="宋体"/>
          <w:b w:val="0"/>
          <w:i w:val="0"/>
        </w:rPr>
        <w:t>如果发现有效实例，核对产品标识、随机实例身份、后端PID及进程创建身份后复用；不会只根据一个PID判断或结束进程。</w:t>
      </w:r>
    </w:p>
    <w:p>
      <w:pPr>
        <w:ind w:left="283" w:hanging="198"/>
      </w:pPr>
      <w:r>
        <w:rPr>
          <w:rFonts w:ascii="Arial" w:hAnsi="Arial" w:eastAsia="宋体"/>
        </w:rPr>
        <w:t xml:space="preserve">5. </w:t>
      </w:r>
      <w:r>
        <w:rPr>
          <w:rFonts w:ascii="Arial" w:hAnsi="Arial" w:eastAsia="宋体"/>
          <w:b w:val="0"/>
          <w:i w:val="0"/>
        </w:rPr>
        <w:t>若需新启动，用包内解释器运行backend/server.py，监听127.0.0.1和空闲端口，静态资源指向包内frontend。</w:t>
      </w:r>
    </w:p>
    <w:p>
      <w:pPr>
        <w:ind w:left="283" w:hanging="198"/>
      </w:pPr>
      <w:r>
        <w:rPr>
          <w:rFonts w:ascii="Arial" w:hAnsi="Arial" w:eastAsia="宋体"/>
        </w:rPr>
        <w:t xml:space="preserve">6. </w:t>
      </w:r>
      <w:r>
        <w:rPr>
          <w:rFonts w:ascii="Arial" w:hAnsi="Arial" w:eastAsia="宋体"/>
          <w:b w:val="0"/>
          <w:i w:val="0"/>
        </w:rPr>
        <w:t>服务完成账套识别/初始化后报告就绪；管理器保存仅本机使用的实例资料，并自动打开浏览器会话入口。</w:t>
      </w:r>
    </w:p>
    <w:p>
      <w:pPr>
        <w:ind w:left="283" w:hanging="198"/>
      </w:pPr>
      <w:r>
        <w:rPr>
          <w:rFonts w:ascii="Arial" w:hAnsi="Arial" w:eastAsia="宋体"/>
        </w:rPr>
        <w:t xml:space="preserve">7. </w:t>
      </w:r>
      <w:r>
        <w:rPr>
          <w:rFonts w:ascii="Arial" w:hAnsi="Arial" w:eastAsia="宋体"/>
          <w:b w:val="0"/>
          <w:i w:val="0"/>
        </w:rPr>
        <w:t>前端交换本机会话，取得HttpOnly Cookie和CSRF值，清除地址栏中的启动片段，再读取bootstrap。</w:t>
      </w:r>
    </w:p>
    <w:p>
      <w:r>
        <w:rPr>
          <w:rFonts w:ascii="Arial" w:hAnsi="Arial" w:eastAsia="宋体"/>
          <w:b w:val="0"/>
          <w:i w:val="0"/>
        </w:rPr>
        <w:t>启动入口使用URL片段传入随机凭据，片段不是普通HTTP查询参数。文档和公开验收记录只给出流程，不包含任何真实凭据、Cookie或实例文件内容。</w:t>
      </w:r>
    </w:p>
    <w:p>
      <w:pPr>
        <w:pStyle w:val="Heading2"/>
      </w:pPr>
      <w:bookmarkStart w:id="16" w:name="epm_16"/>
      <w:r>
        <w:rPr>
          <w:rFonts w:ascii="Arial" w:hAnsi="Arial" w:eastAsia="宋体"/>
          <w:b w:val="0"/>
          <w:i w:val="0"/>
        </w:rPr>
        <w:t>5.2 首次账套初始化</w:t>
      </w:r>
      <w:bookmarkEnd w:id="16"/>
    </w:p>
    <w:p>
      <w:r>
        <w:rPr>
          <w:rFonts w:ascii="Arial" w:hAnsi="Arial" w:eastAsia="宋体"/>
          <w:b w:val="0"/>
          <w:i w:val="0"/>
        </w:rPr>
        <w:t>Store先只读识别已有数据库的schemaVersion和product。旧版或未知数据库不符合本产品时返回incompatible_database，拒绝DDL或迁移。对全新目录，先在内存完整建立seed并按HW→OS→TY执行同一run/approve函数；全部成功后才创建数据库，避免失败初始化遗留空壳状态。</w:t>
      </w:r>
    </w:p>
    <w:p>
      <w:r>
        <w:rPr>
          <w:rFonts w:ascii="Arial" w:hAnsi="Arial" w:eastAsia="宋体"/>
          <w:b w:val="0"/>
          <w:i w:val="0"/>
        </w:rPr>
        <w:t>2026年09期初始具有三个来源为“系统初始化演示”的已保存三表签核结果，它们是初始完整三表样例，不冒称已经来自企业ERP。ERP工作台初始输入为空；用户可明确载入完整虚构凭证样例或导入自己的文件，生成新的凭证来源单体三表后再逐级重算。载入样例需明确确认，会归档已有ERP输入并保留历史结果，不是无提示覆盖。其他期间尚未保存结果时页面明确显示预览或待计算；预览可以帮助浏览源数，但不能成为有效签核或上卷输入。虚构源数据1—9期按样例发生额分解；10—12期没有新增发生额时累计沿用9期，不代表已经接入企业未来实际。</w:t>
      </w:r>
    </w:p>
    <w:p>
      <w:pPr>
        <w:pStyle w:val="Heading2"/>
      </w:pPr>
      <w:bookmarkStart w:id="17" w:name="epm_17"/>
      <w:r>
        <w:rPr>
          <w:rFonts w:ascii="Arial" w:hAnsi="Arial" w:eastAsia="宋体"/>
          <w:b w:val="0"/>
          <w:i w:val="0"/>
        </w:rPr>
        <w:t>5.3 启动、浏览器和服务生命周期</w:t>
      </w:r>
      <w:bookmarkEnd w:id="17"/>
    </w:p>
    <w:p>
      <w:r>
        <w:rPr>
          <w:rFonts w:ascii="Arial" w:hAnsi="Arial" w:eastAsia="宋体"/>
          <w:b w:val="0"/>
          <w:i w:val="0"/>
        </w:rPr>
        <w:t>关闭浏览器标签不停止服务。再次双击EXE可重新进入同一数据目录的有效实例。安全退出通过本机会话及CSRF，或启动管理器的当前实例专属控制凭据，要求后端正常停止。管理器等待并清理自己管理的实例文件，不使用任意PID强制结束业务进程。下次启动从同一SQLite账套读取结果。</w:t>
      </w:r>
    </w:p>
    <w:p>
      <w:pPr>
        <w:pStyle w:val="Heading1"/>
      </w:pPr>
      <w:bookmarkStart w:id="18" w:name="epm_18"/>
      <w:r>
        <w:rPr>
          <w:rFonts w:ascii="Arial" w:hAnsi="Arial" w:eastAsia="宋体"/>
          <w:b w:val="0"/>
          <w:i w:val="0"/>
        </w:rPr>
        <w:t>六、前后端请求协议</w:t>
      </w:r>
      <w:bookmarkEnd w:id="18"/>
    </w:p>
    <w:p>
      <w:pPr>
        <w:pStyle w:val="Heading2"/>
      </w:pPr>
      <w:bookmarkStart w:id="19" w:name="epm_19"/>
      <w:r>
        <w:rPr>
          <w:rFonts w:ascii="Arial" w:hAnsi="Arial" w:eastAsia="宋体"/>
          <w:b w:val="0"/>
          <w:i w:val="0"/>
        </w:rPr>
        <w:t>6.1 公开HTTP接口清单</w:t>
      </w:r>
      <w:bookmarkEnd w:id="19"/>
    </w:p>
    <w:tbl>
      <w:tblPr>
        <w:tblStyle w:val="TableGrid"/>
        <w:tblW w:type="auto" w:w="0"/>
        <w:jc w:val="center"/>
        <w:tblLayout w:type="fixed"/>
        <w:tblLook w:firstColumn="1" w:firstRow="1" w:lastColumn="0" w:lastRow="0" w:noHBand="0" w:noVBand="1" w:val="04A0"/>
      </w:tblPr>
      <w:tblGrid>
        <w:gridCol w:w="1949"/>
        <w:gridCol w:w="2573"/>
        <w:gridCol w:w="2053"/>
        <w:gridCol w:w="2831"/>
      </w:tblGrid>
      <w:tr>
        <w:trPr>
          <w:cantSplit/>
          <w:tblHeader w:val="true"/>
        </w:trPr>
        <w:tc>
          <w:tcPr>
            <w:tcW w:type="dxa" w:w="194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方法/路径</w:t>
            </w:r>
          </w:p>
        </w:tc>
        <w:tc>
          <w:tcPr>
            <w:tcW w:type="dxa" w:w="257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输入</w:t>
            </w:r>
          </w:p>
        </w:tc>
        <w:tc>
          <w:tcPr>
            <w:tcW w:type="dxa" w:w="205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身份与校验</w:t>
            </w:r>
          </w:p>
        </w:tc>
        <w:tc>
          <w:tcPr>
            <w:tcW w:type="dxa" w:w="283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输出/作用</w:t>
            </w:r>
          </w:p>
        </w:tc>
      </w:tr>
      <w:tr>
        <w:trPr>
          <w:cantSplit/>
        </w:trPr>
        <w:tc>
          <w:tcPr>
            <w:tcW w:type="dxa" w:w="1949"/>
            <w:vAlign w:val="top"/>
            <w:tcMar>
              <w:top w:w="65" w:type="dxa"/>
              <w:bottom w:w="65" w:type="dxa"/>
              <w:left w:w="65" w:type="dxa"/>
              <w:right w:w="65" w:type="dxa"/>
            </w:tcMar>
          </w:tcPr>
          <w:p>
            <w:pPr>
              <w:spacing w:before="30" w:after="30" w:line="252" w:lineRule="auto"/>
            </w:pPr>
            <w:r>
              <w:rPr>
                <w:rFonts w:ascii="Arial" w:hAnsi="Arial" w:eastAsia="宋体"/>
                <w:b w:val="0"/>
                <w:i w:val="0"/>
                <w:sz w:val="18"/>
              </w:rPr>
              <w:t>GET /api/health</w:t>
            </w:r>
          </w:p>
        </w:tc>
        <w:tc>
          <w:tcPr>
            <w:tcW w:type="dxa" w:w="2573"/>
            <w:vAlign w:val="top"/>
            <w:tcMar>
              <w:top w:w="65" w:type="dxa"/>
              <w:bottom w:w="65" w:type="dxa"/>
              <w:left w:w="65" w:type="dxa"/>
              <w:right w:w="65" w:type="dxa"/>
            </w:tcMar>
          </w:tcPr>
          <w:p>
            <w:pPr>
              <w:spacing w:before="30" w:after="30" w:line="252" w:lineRule="auto"/>
            </w:pPr>
            <w:r>
              <w:rPr>
                <w:rFonts w:ascii="Arial" w:hAnsi="Arial" w:eastAsia="宋体"/>
                <w:b w:val="0"/>
                <w:i w:val="0"/>
                <w:sz w:val="18"/>
              </w:rPr>
              <w:t>无业务参数</w:t>
            </w:r>
          </w:p>
        </w:tc>
        <w:tc>
          <w:tcPr>
            <w:tcW w:type="dxa" w:w="2053"/>
            <w:vAlign w:val="top"/>
            <w:tcMar>
              <w:top w:w="65" w:type="dxa"/>
              <w:bottom w:w="65" w:type="dxa"/>
              <w:left w:w="65" w:type="dxa"/>
              <w:right w:w="65" w:type="dxa"/>
            </w:tcMar>
          </w:tcPr>
          <w:p>
            <w:pPr>
              <w:spacing w:before="30" w:after="30" w:line="252" w:lineRule="auto"/>
            </w:pPr>
            <w:r>
              <w:rPr>
                <w:rFonts w:ascii="Arial" w:hAnsi="Arial" w:eastAsia="宋体"/>
                <w:b w:val="0"/>
                <w:i w:val="0"/>
                <w:sz w:val="18"/>
              </w:rPr>
              <w:t>准确本机Host</w:t>
            </w:r>
          </w:p>
        </w:tc>
        <w:tc>
          <w:tcPr>
            <w:tcW w:type="dxa" w:w="2831"/>
            <w:vAlign w:val="top"/>
            <w:tcMar>
              <w:top w:w="65" w:type="dxa"/>
              <w:bottom w:w="65" w:type="dxa"/>
              <w:left w:w="65" w:type="dxa"/>
              <w:right w:w="65" w:type="dxa"/>
            </w:tcMar>
          </w:tcPr>
          <w:p>
            <w:pPr>
              <w:spacing w:before="30" w:after="30" w:line="252" w:lineRule="auto"/>
            </w:pPr>
            <w:r>
              <w:rPr>
                <w:rFonts w:ascii="Arial" w:hAnsi="Arial" w:eastAsia="宋体"/>
                <w:b w:val="0"/>
                <w:i w:val="0"/>
                <w:sz w:val="18"/>
              </w:rPr>
              <w:t>ready、instanceId、product；用于实例核验</w:t>
            </w:r>
          </w:p>
        </w:tc>
      </w:tr>
      <w:tr>
        <w:trPr>
          <w:cantSplit/>
        </w:trPr>
        <w:tc>
          <w:tcPr>
            <w:tcW w:type="dxa" w:w="19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POST /api/session</w:t>
            </w:r>
          </w:p>
        </w:tc>
        <w:tc>
          <w:tcPr>
            <w:tcW w:type="dxa" w:w="25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JSON对象token；仅本机启动器提供值</w:t>
            </w:r>
          </w:p>
        </w:tc>
        <w:tc>
          <w:tcPr>
            <w:tcW w:type="dxa" w:w="20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同源Origin与准确Host；凭据匹配</w:t>
            </w:r>
          </w:p>
        </w:tc>
        <w:tc>
          <w:tcPr>
            <w:tcW w:type="dxa" w:w="283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建立epm_erp_session Cookie，返回csrfToken和演示角色</w:t>
            </w:r>
          </w:p>
        </w:tc>
      </w:tr>
      <w:tr>
        <w:trPr>
          <w:cantSplit/>
        </w:trPr>
        <w:tc>
          <w:tcPr>
            <w:tcW w:type="dxa" w:w="1949"/>
            <w:vAlign w:val="top"/>
            <w:tcMar>
              <w:top w:w="65" w:type="dxa"/>
              <w:bottom w:w="65" w:type="dxa"/>
              <w:left w:w="65" w:type="dxa"/>
              <w:right w:w="65" w:type="dxa"/>
            </w:tcMar>
          </w:tcPr>
          <w:p>
            <w:pPr>
              <w:spacing w:before="30" w:after="30" w:line="252" w:lineRule="auto"/>
            </w:pPr>
            <w:r>
              <w:rPr>
                <w:rFonts w:ascii="Arial" w:hAnsi="Arial" w:eastAsia="宋体"/>
                <w:b w:val="0"/>
                <w:i w:val="0"/>
                <w:sz w:val="18"/>
              </w:rPr>
              <w:t>GET /api/bootstrap</w:t>
            </w:r>
          </w:p>
        </w:tc>
        <w:tc>
          <w:tcPr>
            <w:tcW w:type="dxa" w:w="2573"/>
            <w:vAlign w:val="top"/>
            <w:tcMar>
              <w:top w:w="65" w:type="dxa"/>
              <w:bottom w:w="65" w:type="dxa"/>
              <w:left w:w="65" w:type="dxa"/>
              <w:right w:w="65" w:type="dxa"/>
            </w:tcMar>
          </w:tcPr>
          <w:p>
            <w:pPr>
              <w:spacing w:before="30" w:after="30" w:line="252" w:lineRule="auto"/>
            </w:pPr>
            <w:r>
              <w:rPr>
                <w:rFonts w:ascii="Arial" w:hAnsi="Arial" w:eastAsia="宋体"/>
                <w:b w:val="0"/>
                <w:i w:val="0"/>
                <w:sz w:val="18"/>
              </w:rPr>
              <w:t>group、month、currency、entity</w:t>
            </w:r>
          </w:p>
        </w:tc>
        <w:tc>
          <w:tcPr>
            <w:tcW w:type="dxa" w:w="2053"/>
            <w:vAlign w:val="top"/>
            <w:tcMar>
              <w:top w:w="65" w:type="dxa"/>
              <w:bottom w:w="65" w:type="dxa"/>
              <w:left w:w="65" w:type="dxa"/>
              <w:right w:w="65" w:type="dxa"/>
            </w:tcMar>
          </w:tcPr>
          <w:p>
            <w:pPr>
              <w:spacing w:before="30" w:after="30" w:line="252" w:lineRule="auto"/>
            </w:pPr>
            <w:r>
              <w:rPr>
                <w:rFonts w:ascii="Arial" w:hAnsi="Arial" w:eastAsia="宋体"/>
                <w:b w:val="0"/>
                <w:i w:val="0"/>
                <w:sz w:val="18"/>
              </w:rPr>
              <w:t>有效Cookie；准确Host</w:t>
            </w:r>
          </w:p>
        </w:tc>
        <w:tc>
          <w:tcPr>
            <w:tcW w:type="dxa" w:w="2831"/>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当前完整页面投影、版本、结果和前置</w:t>
            </w:r>
          </w:p>
        </w:tc>
      </w:tr>
      <w:tr>
        <w:trPr>
          <w:cantSplit/>
        </w:trPr>
        <w:tc>
          <w:tcPr>
            <w:tcW w:type="dxa" w:w="19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POST /api/action</w:t>
            </w:r>
          </w:p>
        </w:tc>
        <w:tc>
          <w:tcPr>
            <w:tcW w:type="dxa" w:w="25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action、payload、revision、context</w:t>
            </w:r>
          </w:p>
        </w:tc>
        <w:tc>
          <w:tcPr>
            <w:tcW w:type="dxa" w:w="20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Cookie、同源Origin、CSRF、领域权限</w:t>
            </w:r>
          </w:p>
        </w:tc>
        <w:tc>
          <w:tcPr>
            <w:tcW w:type="dxa" w:w="283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事务提交后返回完整新bootstrap；失败返回结构化错误</w:t>
            </w:r>
          </w:p>
        </w:tc>
      </w:tr>
      <w:tr>
        <w:trPr>
          <w:cantSplit/>
        </w:trPr>
        <w:tc>
          <w:tcPr>
            <w:tcW w:type="dxa" w:w="1949"/>
            <w:vAlign w:val="top"/>
            <w:tcMar>
              <w:top w:w="65" w:type="dxa"/>
              <w:bottom w:w="65" w:type="dxa"/>
              <w:left w:w="65" w:type="dxa"/>
              <w:right w:w="65" w:type="dxa"/>
            </w:tcMar>
          </w:tcPr>
          <w:p>
            <w:pPr>
              <w:spacing w:before="30" w:after="30" w:line="252" w:lineRule="auto"/>
            </w:pPr>
            <w:r>
              <w:rPr>
                <w:rFonts w:ascii="Arial" w:hAnsi="Arial" w:eastAsia="宋体"/>
                <w:b w:val="0"/>
                <w:i w:val="0"/>
                <w:sz w:val="18"/>
              </w:rPr>
              <w:t>GET /api/erp/trace</w:t>
            </w:r>
          </w:p>
        </w:tc>
        <w:tc>
          <w:tcPr>
            <w:tcW w:type="dxa" w:w="2573"/>
            <w:vAlign w:val="top"/>
            <w:tcMar>
              <w:top w:w="65" w:type="dxa"/>
              <w:bottom w:w="65" w:type="dxa"/>
              <w:left w:w="65" w:type="dxa"/>
              <w:right w:w="65" w:type="dxa"/>
            </w:tcMar>
          </w:tcPr>
          <w:p>
            <w:pPr>
              <w:spacing w:before="30" w:after="30" w:line="252" w:lineRule="auto"/>
            </w:pPr>
            <w:r>
              <w:rPr>
                <w:rFonts w:ascii="Arial" w:hAnsi="Arial" w:eastAsia="宋体"/>
                <w:b w:val="0"/>
                <w:i w:val="0"/>
                <w:sz w:val="18"/>
              </w:rPr>
              <w:t>entityId、month、area、field、可选resultId</w:t>
            </w:r>
          </w:p>
        </w:tc>
        <w:tc>
          <w:tcPr>
            <w:tcW w:type="dxa" w:w="2053"/>
            <w:vAlign w:val="top"/>
            <w:tcMar>
              <w:top w:w="65" w:type="dxa"/>
              <w:bottom w:w="65" w:type="dxa"/>
              <w:left w:w="65" w:type="dxa"/>
              <w:right w:w="65" w:type="dxa"/>
            </w:tcMar>
          </w:tcPr>
          <w:p>
            <w:pPr>
              <w:spacing w:before="30" w:after="30" w:line="252" w:lineRule="auto"/>
            </w:pPr>
            <w:r>
              <w:rPr>
                <w:rFonts w:ascii="Arial" w:hAnsi="Arial" w:eastAsia="宋体"/>
                <w:b w:val="0"/>
                <w:i w:val="0"/>
                <w:sz w:val="18"/>
              </w:rPr>
              <w:t>有效Cookie及本机Host；历史结果须含该法人</w:t>
            </w:r>
          </w:p>
        </w:tc>
        <w:tc>
          <w:tcPr>
            <w:tcW w:type="dxa" w:w="2831"/>
            <w:vAlign w:val="top"/>
            <w:tcMar>
              <w:top w:w="65" w:type="dxa"/>
              <w:bottom w:w="65" w:type="dxa"/>
              <w:left w:w="65" w:type="dxa"/>
              <w:right w:w="65" w:type="dxa"/>
            </w:tcMar>
          </w:tcPr>
          <w:p>
            <w:pPr>
              <w:spacing w:before="30" w:after="30" w:line="252" w:lineRule="auto"/>
            </w:pPr>
            <w:r>
              <w:rPr>
                <w:rFonts w:ascii="Arial" w:hAnsi="Arial" w:eastAsia="宋体"/>
                <w:b w:val="0"/>
                <w:i w:val="0"/>
                <w:sz w:val="18"/>
              </w:rPr>
              <w:t>按当前或历史ledgerSnapshot返回报表来源与原凭证，手工源明确无ERP血缘</w:t>
            </w:r>
          </w:p>
        </w:tc>
      </w:tr>
      <w:tr>
        <w:trPr>
          <w:cantSplit/>
        </w:trPr>
        <w:tc>
          <w:tcPr>
            <w:tcW w:type="dxa" w:w="19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GET /api/runtime</w:t>
            </w:r>
          </w:p>
        </w:tc>
        <w:tc>
          <w:tcPr>
            <w:tcW w:type="dxa" w:w="25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无</w:t>
            </w:r>
          </w:p>
        </w:tc>
        <w:tc>
          <w:tcPr>
            <w:tcW w:type="dxa" w:w="20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有效Cookie</w:t>
            </w:r>
          </w:p>
        </w:tc>
        <w:tc>
          <w:tcPr>
            <w:tcW w:type="dxa" w:w="283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实际dataDir、logDir、运行平台</w:t>
            </w:r>
          </w:p>
        </w:tc>
      </w:tr>
      <w:tr>
        <w:trPr>
          <w:cantSplit/>
        </w:trPr>
        <w:tc>
          <w:tcPr>
            <w:tcW w:type="dxa" w:w="1949"/>
            <w:vAlign w:val="top"/>
            <w:tcMar>
              <w:top w:w="65" w:type="dxa"/>
              <w:bottom w:w="65" w:type="dxa"/>
              <w:left w:w="65" w:type="dxa"/>
              <w:right w:w="65" w:type="dxa"/>
            </w:tcMar>
          </w:tcPr>
          <w:p>
            <w:pPr>
              <w:spacing w:before="30" w:after="30" w:line="252" w:lineRule="auto"/>
            </w:pPr>
            <w:r>
              <w:rPr>
                <w:rFonts w:ascii="Arial" w:hAnsi="Arial" w:eastAsia="宋体"/>
                <w:b w:val="0"/>
                <w:i w:val="0"/>
                <w:sz w:val="18"/>
              </w:rPr>
              <w:t>POST /api/open-data-dir</w:t>
            </w:r>
          </w:p>
        </w:tc>
        <w:tc>
          <w:tcPr>
            <w:tcW w:type="dxa" w:w="2573"/>
            <w:vAlign w:val="top"/>
            <w:tcMar>
              <w:top w:w="65" w:type="dxa"/>
              <w:bottom w:w="65" w:type="dxa"/>
              <w:left w:w="65" w:type="dxa"/>
              <w:right w:w="65" w:type="dxa"/>
            </w:tcMar>
          </w:tcPr>
          <w:p>
            <w:pPr>
              <w:spacing w:before="30" w:after="30" w:line="252" w:lineRule="auto"/>
            </w:pPr>
            <w:r>
              <w:rPr>
                <w:rFonts w:ascii="Arial" w:hAnsi="Arial" w:eastAsia="宋体"/>
                <w:b w:val="0"/>
                <w:i w:val="0"/>
                <w:sz w:val="18"/>
              </w:rPr>
              <w:t>JSON对象，通常为空</w:t>
            </w:r>
          </w:p>
        </w:tc>
        <w:tc>
          <w:tcPr>
            <w:tcW w:type="dxa" w:w="2053"/>
            <w:vAlign w:val="top"/>
            <w:tcMar>
              <w:top w:w="65" w:type="dxa"/>
              <w:bottom w:w="65" w:type="dxa"/>
              <w:left w:w="65" w:type="dxa"/>
              <w:right w:w="65" w:type="dxa"/>
            </w:tcMar>
          </w:tcPr>
          <w:p>
            <w:pPr>
              <w:spacing w:before="30" w:after="30" w:line="252" w:lineRule="auto"/>
            </w:pPr>
            <w:r>
              <w:rPr>
                <w:rFonts w:ascii="Arial" w:hAnsi="Arial" w:eastAsia="宋体"/>
                <w:b w:val="0"/>
                <w:i w:val="0"/>
                <w:sz w:val="18"/>
              </w:rPr>
              <w:t>Cookie、同源Origin、CSRF</w:t>
            </w:r>
          </w:p>
        </w:tc>
        <w:tc>
          <w:tcPr>
            <w:tcW w:type="dxa" w:w="2831"/>
            <w:vAlign w:val="top"/>
            <w:tcMar>
              <w:top w:w="65" w:type="dxa"/>
              <w:bottom w:w="65" w:type="dxa"/>
              <w:left w:w="65" w:type="dxa"/>
              <w:right w:w="65" w:type="dxa"/>
            </w:tcMar>
          </w:tcPr>
          <w:p>
            <w:pPr>
              <w:spacing w:before="30" w:after="30" w:line="252" w:lineRule="auto"/>
            </w:pPr>
            <w:r>
              <w:rPr>
                <w:rFonts w:ascii="Arial" w:hAnsi="Arial" w:eastAsia="宋体"/>
                <w:b w:val="0"/>
                <w:i w:val="0"/>
                <w:sz w:val="18"/>
              </w:rPr>
              <w:t>Windows打开实际数据目录；开发环境返回目录文本</w:t>
            </w:r>
          </w:p>
        </w:tc>
      </w:tr>
      <w:tr>
        <w:trPr>
          <w:cantSplit/>
        </w:trPr>
        <w:tc>
          <w:tcPr>
            <w:tcW w:type="dxa" w:w="19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POST /api/shutdown</w:t>
            </w:r>
          </w:p>
        </w:tc>
        <w:tc>
          <w:tcPr>
            <w:tcW w:type="dxa" w:w="25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浏览器提交JSON对象；管理器有专属控制路径</w:t>
            </w:r>
          </w:p>
        </w:tc>
        <w:tc>
          <w:tcPr>
            <w:tcW w:type="dxa" w:w="20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浏览器Cookie/CSRF或当前实例控制凭据</w:t>
            </w:r>
          </w:p>
        </w:tc>
        <w:tc>
          <w:tcPr>
            <w:tcW w:type="dxa" w:w="283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回复后正常停止HTTP服务，保留数据库</w:t>
            </w:r>
          </w:p>
        </w:tc>
      </w:tr>
      <w:tr>
        <w:trPr>
          <w:cantSplit/>
        </w:trPr>
        <w:tc>
          <w:tcPr>
            <w:tcW w:type="dxa" w:w="1949"/>
            <w:vAlign w:val="top"/>
            <w:tcMar>
              <w:top w:w="65" w:type="dxa"/>
              <w:bottom w:w="65" w:type="dxa"/>
              <w:left w:w="65" w:type="dxa"/>
              <w:right w:w="65" w:type="dxa"/>
            </w:tcMar>
          </w:tcPr>
          <w:p>
            <w:pPr>
              <w:spacing w:before="30" w:after="30" w:line="252" w:lineRule="auto"/>
            </w:pPr>
            <w:r>
              <w:rPr>
                <w:rFonts w:ascii="Arial" w:hAnsi="Arial" w:eastAsia="宋体"/>
                <w:b w:val="0"/>
                <w:i w:val="0"/>
                <w:sz w:val="18"/>
              </w:rPr>
              <w:t>GET / 或静态文件</w:t>
            </w:r>
          </w:p>
        </w:tc>
        <w:tc>
          <w:tcPr>
            <w:tcW w:type="dxa" w:w="2573"/>
            <w:vAlign w:val="top"/>
            <w:tcMar>
              <w:top w:w="65" w:type="dxa"/>
              <w:bottom w:w="65" w:type="dxa"/>
              <w:left w:w="65" w:type="dxa"/>
              <w:right w:w="65" w:type="dxa"/>
            </w:tcMar>
          </w:tcPr>
          <w:p>
            <w:pPr>
              <w:spacing w:before="30" w:after="30" w:line="252" w:lineRule="auto"/>
            </w:pPr>
            <w:r>
              <w:rPr>
                <w:rFonts w:ascii="Arial" w:hAnsi="Arial" w:eastAsia="宋体"/>
                <w:b w:val="0"/>
                <w:i w:val="0"/>
                <w:sz w:val="18"/>
              </w:rPr>
              <w:t>页面相对路径</w:t>
            </w:r>
          </w:p>
        </w:tc>
        <w:tc>
          <w:tcPr>
            <w:tcW w:type="dxa" w:w="2053"/>
            <w:vAlign w:val="top"/>
            <w:tcMar>
              <w:top w:w="65" w:type="dxa"/>
              <w:bottom w:w="65" w:type="dxa"/>
              <w:left w:w="65" w:type="dxa"/>
              <w:right w:w="65" w:type="dxa"/>
            </w:tcMar>
          </w:tcPr>
          <w:p>
            <w:pPr>
              <w:spacing w:before="30" w:after="30" w:line="252" w:lineRule="auto"/>
            </w:pPr>
            <w:r>
              <w:rPr>
                <w:rFonts w:ascii="Arial" w:hAnsi="Arial" w:eastAsia="宋体"/>
                <w:b w:val="0"/>
                <w:i w:val="0"/>
                <w:sz w:val="18"/>
              </w:rPr>
              <w:t>准确Host、限制在静态目录</w:t>
            </w:r>
          </w:p>
        </w:tc>
        <w:tc>
          <w:tcPr>
            <w:tcW w:type="dxa" w:w="2831"/>
            <w:vAlign w:val="top"/>
            <w:tcMar>
              <w:top w:w="65" w:type="dxa"/>
              <w:bottom w:w="65" w:type="dxa"/>
              <w:left w:w="65" w:type="dxa"/>
              <w:right w:w="65" w:type="dxa"/>
            </w:tcMar>
          </w:tcPr>
          <w:p>
            <w:pPr>
              <w:spacing w:before="30" w:after="30" w:line="252" w:lineRule="auto"/>
            </w:pPr>
            <w:r>
              <w:rPr>
                <w:rFonts w:ascii="Arial" w:hAnsi="Arial" w:eastAsia="宋体"/>
                <w:b w:val="0"/>
                <w:i w:val="0"/>
                <w:sz w:val="18"/>
              </w:rPr>
              <w:t>本地HTML等静态资源；路径越界拒绝</w:t>
            </w:r>
          </w:p>
        </w:tc>
      </w:tr>
    </w:tbl>
    <w:p>
      <w:pPr>
        <w:spacing w:after="40"/>
      </w:pPr>
    </w:p>
    <w:p>
      <w:r>
        <w:rPr>
          <w:rFonts w:ascii="Arial" w:hAnsi="Arial" w:eastAsia="宋体"/>
          <w:b w:val="0"/>
          <w:i w:val="0"/>
        </w:rPr>
        <w:t>GET读取接口不以revision作为查询条件；revision用于后续命令的并发一致性检查。健康接口不代表业务角色已授权。Cookie会话保存在当前服务内存，服务重启后需由EXE重新建立。</w:t>
      </w:r>
    </w:p>
    <w:p>
      <w:pPr>
        <w:pStyle w:val="Heading2"/>
      </w:pPr>
      <w:bookmarkStart w:id="20" w:name="epm_20"/>
      <w:r>
        <w:rPr>
          <w:rFonts w:ascii="Arial" w:hAnsi="Arial" w:eastAsia="宋体"/>
          <w:b w:val="0"/>
          <w:i w:val="0"/>
        </w:rPr>
        <w:t>6.2 上下文context</w:t>
      </w:r>
      <w:bookmarkEnd w:id="20"/>
    </w:p>
    <w:tbl>
      <w:tblPr>
        <w:tblStyle w:val="TableGrid"/>
        <w:tblW w:type="auto" w:w="0"/>
        <w:jc w:val="center"/>
        <w:tblLayout w:type="fixed"/>
        <w:tblLook w:firstColumn="1" w:firstRow="1" w:lastColumn="0" w:lastRow="0" w:noHBand="0" w:noVBand="1" w:val="04A0"/>
      </w:tblPr>
      <w:tblGrid>
        <w:gridCol w:w="2025"/>
        <w:gridCol w:w="2325"/>
        <w:gridCol w:w="5056"/>
      </w:tblGrid>
      <w:tr>
        <w:trPr>
          <w:cantSplit/>
          <w:tblHeader w:val="true"/>
        </w:trPr>
        <w:tc>
          <w:tcPr>
            <w:tcW w:type="dxa" w:w="202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字段</w:t>
            </w:r>
          </w:p>
        </w:tc>
        <w:tc>
          <w:tcPr>
            <w:tcW w:type="dxa" w:w="232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当前含义</w:t>
            </w:r>
          </w:p>
        </w:tc>
        <w:tc>
          <w:tcPr>
            <w:tcW w:type="dxa" w:w="505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约束</w:t>
            </w:r>
          </w:p>
        </w:tc>
      </w:tr>
      <w:tr>
        <w:trPr>
          <w:cantSplit/>
        </w:trPr>
        <w:tc>
          <w:tcPr>
            <w:tcW w:type="dxa" w:w="2025"/>
            <w:vAlign w:val="top"/>
            <w:tcMar>
              <w:top w:w="65" w:type="dxa"/>
              <w:bottom w:w="65" w:type="dxa"/>
              <w:left w:w="65" w:type="dxa"/>
              <w:right w:w="65" w:type="dxa"/>
            </w:tcMar>
          </w:tcPr>
          <w:p>
            <w:pPr>
              <w:spacing w:before="30" w:after="30" w:line="252" w:lineRule="auto"/>
            </w:pPr>
            <w:r>
              <w:rPr>
                <w:rFonts w:ascii="Arial" w:hAnsi="Arial" w:eastAsia="宋体"/>
                <w:b w:val="0"/>
                <w:i w:val="0"/>
                <w:sz w:val="19"/>
              </w:rPr>
              <w:t>group</w:t>
            </w:r>
          </w:p>
        </w:tc>
        <w:tc>
          <w:tcPr>
            <w:tcW w:type="dxa" w:w="2325"/>
            <w:vAlign w:val="top"/>
            <w:tcMar>
              <w:top w:w="65" w:type="dxa"/>
              <w:bottom w:w="65" w:type="dxa"/>
              <w:left w:w="65" w:type="dxa"/>
              <w:right w:w="65" w:type="dxa"/>
            </w:tcMar>
          </w:tcPr>
          <w:p>
            <w:pPr>
              <w:spacing w:before="30" w:after="30" w:line="252" w:lineRule="auto"/>
            </w:pPr>
            <w:r>
              <w:rPr>
                <w:rFonts w:ascii="Arial" w:hAnsi="Arial" w:eastAsia="宋体"/>
                <w:b w:val="0"/>
                <w:i w:val="0"/>
                <w:sz w:val="19"/>
              </w:rPr>
              <w:t>动态管理合并单元ID</w:t>
            </w:r>
          </w:p>
        </w:tc>
        <w:tc>
          <w:tcPr>
            <w:tcW w:type="dxa" w:w="5056"/>
            <w:vAlign w:val="top"/>
            <w:tcMar>
              <w:top w:w="65" w:type="dxa"/>
              <w:bottom w:w="65" w:type="dxa"/>
              <w:left w:w="65" w:type="dxa"/>
              <w:right w:w="65" w:type="dxa"/>
            </w:tcMar>
          </w:tcPr>
          <w:p>
            <w:pPr>
              <w:spacing w:before="30" w:after="30" w:line="252" w:lineRule="auto"/>
            </w:pPr>
            <w:r>
              <w:rPr>
                <w:rFonts w:ascii="Arial" w:hAnsi="Arial" w:eastAsia="宋体"/>
                <w:b w:val="0"/>
                <w:i w:val="0"/>
                <w:sz w:val="19"/>
              </w:rPr>
              <w:t>初始TY_GROUP、HW_GROUP、OS_GROUP；必须实际存在</w:t>
            </w:r>
          </w:p>
        </w:tc>
      </w:tr>
      <w:tr>
        <w:trPr>
          <w:cantSplit/>
        </w:trPr>
        <w:tc>
          <w:tcPr>
            <w:tcW w:type="dxa" w:w="20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month</w:t>
            </w:r>
          </w:p>
        </w:tc>
        <w:tc>
          <w:tcPr>
            <w:tcW w:type="dxa" w:w="23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累计期间</w:t>
            </w:r>
          </w:p>
        </w:tc>
        <w:tc>
          <w:tcPr>
            <w:tcW w:type="dxa" w:w="505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整数1—12；年度固定2026</w:t>
            </w:r>
          </w:p>
        </w:tc>
      </w:tr>
      <w:tr>
        <w:trPr>
          <w:cantSplit/>
        </w:trPr>
        <w:tc>
          <w:tcPr>
            <w:tcW w:type="dxa" w:w="2025"/>
            <w:vAlign w:val="top"/>
            <w:tcMar>
              <w:top w:w="65" w:type="dxa"/>
              <w:bottom w:w="65" w:type="dxa"/>
              <w:left w:w="65" w:type="dxa"/>
              <w:right w:w="65" w:type="dxa"/>
            </w:tcMar>
          </w:tcPr>
          <w:p>
            <w:pPr>
              <w:spacing w:before="30" w:after="30" w:line="252" w:lineRule="auto"/>
            </w:pPr>
            <w:r>
              <w:rPr>
                <w:rFonts w:ascii="Arial" w:hAnsi="Arial" w:eastAsia="宋体"/>
                <w:b w:val="0"/>
                <w:i w:val="0"/>
                <w:sz w:val="19"/>
              </w:rPr>
              <w:t>currency</w:t>
            </w:r>
          </w:p>
        </w:tc>
        <w:tc>
          <w:tcPr>
            <w:tcW w:type="dxa" w:w="2325"/>
            <w:vAlign w:val="top"/>
            <w:tcMar>
              <w:top w:w="65" w:type="dxa"/>
              <w:bottom w:w="65" w:type="dxa"/>
              <w:left w:w="65" w:type="dxa"/>
              <w:right w:w="65" w:type="dxa"/>
            </w:tcMar>
          </w:tcPr>
          <w:p>
            <w:pPr>
              <w:spacing w:before="30" w:after="30" w:line="252" w:lineRule="auto"/>
            </w:pPr>
            <w:r>
              <w:rPr>
                <w:rFonts w:ascii="Arial" w:hAnsi="Arial" w:eastAsia="宋体"/>
                <w:b w:val="0"/>
                <w:i w:val="0"/>
                <w:sz w:val="19"/>
              </w:rPr>
              <w:t>操作上下文币种</w:t>
            </w:r>
          </w:p>
        </w:tc>
        <w:tc>
          <w:tcPr>
            <w:tcW w:type="dxa" w:w="5056"/>
            <w:vAlign w:val="top"/>
            <w:tcMar>
              <w:top w:w="65" w:type="dxa"/>
              <w:bottom w:w="65" w:type="dxa"/>
              <w:left w:w="65" w:type="dxa"/>
              <w:right w:w="65" w:type="dxa"/>
            </w:tcMar>
          </w:tcPr>
          <w:p>
            <w:pPr>
              <w:spacing w:before="30" w:after="30" w:line="252" w:lineRule="auto"/>
            </w:pPr>
            <w:r>
              <w:rPr>
                <w:rFonts w:ascii="Arial" w:hAnsi="Arial" w:eastAsia="宋体"/>
                <w:b w:val="0"/>
                <w:i w:val="0"/>
                <w:sz w:val="19"/>
              </w:rPr>
              <w:t>应与选定单元或法人币种一致；不能任意展示换币</w:t>
            </w:r>
          </w:p>
        </w:tc>
      </w:tr>
      <w:tr>
        <w:trPr>
          <w:cantSplit/>
        </w:trPr>
        <w:tc>
          <w:tcPr>
            <w:tcW w:type="dxa" w:w="20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entity</w:t>
            </w:r>
          </w:p>
        </w:tc>
        <w:tc>
          <w:tcPr>
            <w:tcW w:type="dxa" w:w="23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法人视图筛选</w:t>
            </w:r>
          </w:p>
        </w:tc>
        <w:tc>
          <w:tcPr>
            <w:tcW w:type="dxa" w:w="505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all或当前范围内法人ID；主要工作台使用all</w:t>
            </w:r>
          </w:p>
        </w:tc>
      </w:tr>
    </w:tbl>
    <w:p>
      <w:pPr>
        <w:spacing w:after="40"/>
      </w:pPr>
    </w:p>
    <w:p>
      <w:r>
        <w:rPr>
          <w:rFonts w:ascii="Arial" w:hAnsi="Arial" w:eastAsia="宋体"/>
          <w:b w:val="0"/>
          <w:i w:val="0"/>
        </w:rPr>
        <w:t>操作上下文的币种和正在显示的历史结果币种是不同字段。更改USD单元为CNY时，新命令上下文必须使用CNY，已经失效但仍可查看的旧结果仍显示USD。前端以statement.currency或快照currency标注金额，以data.context.currency提交新命令。</w:t>
      </w:r>
    </w:p>
    <w:p>
      <w:pPr>
        <w:pStyle w:val="Heading2"/>
      </w:pPr>
      <w:bookmarkStart w:id="21" w:name="epm_21"/>
      <w:r>
        <w:rPr>
          <w:rFonts w:ascii="Arial" w:hAnsi="Arial" w:eastAsia="宋体"/>
          <w:b w:val="0"/>
          <w:i w:val="0"/>
        </w:rPr>
        <w:t>6.3 命令请求结构</w:t>
      </w:r>
      <w:bookmarkEnd w:id="21"/>
    </w:p>
    <w:p>
      <w:r>
        <w:rPr>
          <w:rFonts w:ascii="Arial" w:hAnsi="Arial" w:eastAsia="宋体"/>
          <w:b w:val="0"/>
          <w:i w:val="0"/>
        </w:rPr>
        <w:t>下例不含凭据，可用于理解数据结构。CSRF由会话自动管理，不能复制示例常量代替实际会话。</w:t>
      </w:r>
    </w:p>
    <w:p>
      <w:pPr>
        <w:spacing w:before="0" w:after="0" w:line="240" w:lineRule="auto"/>
        <w:ind w:left="113"/>
        <w:shd w:fill="F4F6FA"/>
      </w:pPr>
      <w:r>
        <w:rPr>
          <w:rFonts w:ascii="Consolas" w:hAnsi="Consolas" w:eastAsia="宋体"/>
          <w:sz w:val="16"/>
        </w:rPr>
        <w:t>{</w:t>
      </w:r>
    </w:p>
    <w:p>
      <w:pPr>
        <w:spacing w:before="0" w:after="0" w:line="240" w:lineRule="auto"/>
        <w:ind w:left="113"/>
        <w:shd w:fill="F4F6FA"/>
      </w:pPr>
      <w:r>
        <w:rPr>
          <w:rFonts w:ascii="Consolas" w:hAnsi="Consolas" w:eastAsia="宋体"/>
          <w:sz w:val="16"/>
        </w:rPr>
        <w:t xml:space="preserve">  "action": "consolidation_run",</w:t>
      </w:r>
    </w:p>
    <w:p>
      <w:pPr>
        <w:spacing w:before="0" w:after="0" w:line="240" w:lineRule="auto"/>
        <w:ind w:left="113"/>
        <w:shd w:fill="F4F6FA"/>
      </w:pPr>
      <w:r>
        <w:rPr>
          <w:rFonts w:ascii="Consolas" w:hAnsi="Consolas" w:eastAsia="宋体"/>
          <w:sz w:val="16"/>
        </w:rPr>
        <w:t xml:space="preserve">  "payload": {"unitId": "HW_GROUP"},</w:t>
      </w:r>
    </w:p>
    <w:p>
      <w:pPr>
        <w:spacing w:before="0" w:after="0" w:line="240" w:lineRule="auto"/>
        <w:ind w:left="113"/>
        <w:shd w:fill="F4F6FA"/>
      </w:pPr>
      <w:r>
        <w:rPr>
          <w:rFonts w:ascii="Consolas" w:hAnsi="Consolas" w:eastAsia="宋体"/>
          <w:sz w:val="16"/>
        </w:rPr>
        <w:t xml:space="preserve">  "revision": 12,</w:t>
      </w:r>
    </w:p>
    <w:p>
      <w:pPr>
        <w:spacing w:before="0" w:after="0" w:line="240" w:lineRule="auto"/>
        <w:ind w:left="113"/>
        <w:shd w:fill="F4F6FA"/>
      </w:pPr>
      <w:r>
        <w:rPr>
          <w:rFonts w:ascii="Consolas" w:hAnsi="Consolas" w:eastAsia="宋体"/>
          <w:sz w:val="16"/>
        </w:rPr>
        <w:t xml:space="preserve">  "context": {</w:t>
      </w:r>
    </w:p>
    <w:p>
      <w:pPr>
        <w:spacing w:before="0" w:after="0" w:line="240" w:lineRule="auto"/>
        <w:ind w:left="113"/>
        <w:shd w:fill="F4F6FA"/>
      </w:pPr>
      <w:r>
        <w:rPr>
          <w:rFonts w:ascii="Consolas" w:hAnsi="Consolas" w:eastAsia="宋体"/>
          <w:sz w:val="16"/>
        </w:rPr>
        <w:t xml:space="preserve">    "group": "HW_GROUP", "month": 9,</w:t>
      </w:r>
    </w:p>
    <w:p>
      <w:pPr>
        <w:spacing w:before="0" w:after="0" w:line="240" w:lineRule="auto"/>
        <w:ind w:left="113"/>
        <w:shd w:fill="F4F6FA"/>
      </w:pPr>
      <w:r>
        <w:rPr>
          <w:rFonts w:ascii="Consolas" w:hAnsi="Consolas" w:eastAsia="宋体"/>
          <w:sz w:val="16"/>
        </w:rPr>
        <w:t xml:space="preserve">    "currency": "CNY", "entity": "all"</w:t>
      </w:r>
    </w:p>
    <w:p>
      <w:pPr>
        <w:spacing w:before="0" w:after="0" w:line="240" w:lineRule="auto"/>
        <w:ind w:left="113"/>
        <w:shd w:fill="F4F6FA"/>
      </w:pPr>
      <w:r>
        <w:rPr>
          <w:rFonts w:ascii="Consolas" w:hAnsi="Consolas" w:eastAsia="宋体"/>
          <w:sz w:val="16"/>
        </w:rPr>
        <w:t xml:space="preserve">  }</w:t>
      </w:r>
    </w:p>
    <w:p>
      <w:pPr>
        <w:spacing w:before="0" w:after="0" w:line="240" w:lineRule="auto"/>
        <w:ind w:left="113"/>
        <w:shd w:fill="F4F6FA"/>
      </w:pPr>
      <w:r>
        <w:rPr>
          <w:rFonts w:ascii="Consolas" w:hAnsi="Consolas" w:eastAsia="宋体"/>
          <w:sz w:val="16"/>
        </w:rPr>
        <w:t>}</w:t>
      </w:r>
    </w:p>
    <w:p>
      <w:pPr>
        <w:spacing w:after="20"/>
      </w:pPr>
    </w:p>
    <w:p>
      <w:r>
        <w:rPr>
          <w:rFonts w:ascii="Arial" w:hAnsi="Arial" w:eastAsia="宋体"/>
          <w:b w:val="0"/>
          <w:i w:val="0"/>
        </w:rPr>
        <w:t>revision为客户端最后读取的业务版本；12只是结构示例，不代表每个账套都应提交12。所有写请求按JSON对象解析，拒绝NaN/无穷值，ERP版HTTP正文上限12,000,000字节，不接受分块请求。手工三表source_import继续受原领域限制；ERP导入另经erp_domain检查：CSV文本最多9MB、上传二进制最多8MB（Base64放入JSON），行数及XLSX解压结构还有账务解析器检查，不能把HTTP上限当作支持任意大工作簿的承诺。</w:t>
      </w:r>
    </w:p>
    <w:p>
      <w:pPr>
        <w:pStyle w:val="Heading2"/>
      </w:pPr>
      <w:bookmarkStart w:id="22" w:name="epm_22"/>
      <w:r>
        <w:rPr>
          <w:rFonts w:ascii="Arial" w:hAnsi="Arial" w:eastAsia="宋体"/>
          <w:b w:val="0"/>
          <w:i w:val="0"/>
        </w:rPr>
        <w:t>6.4 成功和失败响应</w:t>
      </w:r>
      <w:bookmarkEnd w:id="22"/>
    </w:p>
    <w:p>
      <w:r>
        <w:rPr>
          <w:rFonts w:ascii="Arial" w:hAnsi="Arial" w:eastAsia="宋体"/>
          <w:b w:val="0"/>
          <w:i w:val="0"/>
        </w:rPr>
        <w:t>成功返回revision增加后的完整bootstrap；前端applyBootstrap统一刷新预算、操作轨迹、当前范围、币种、结果、状态和可用动作。role_switch只改变当前会话演示角色，不提交业务state，也不增长业务revision。</w:t>
      </w:r>
    </w:p>
    <w:p>
      <w:r>
        <w:rPr>
          <w:rFonts w:ascii="Arial" w:hAnsi="Arial" w:eastAsia="宋体"/>
          <w:b w:val="0"/>
          <w:i w:val="0"/>
        </w:rPr>
        <w:t>失败响应形状为：</w:t>
      </w:r>
    </w:p>
    <w:p>
      <w:pPr>
        <w:spacing w:before="0" w:after="0" w:line="240" w:lineRule="auto"/>
        <w:ind w:left="113"/>
        <w:shd w:fill="F4F6FA"/>
      </w:pPr>
      <w:r>
        <w:rPr>
          <w:rFonts w:ascii="Consolas" w:hAnsi="Consolas" w:eastAsia="宋体"/>
          <w:sz w:val="16"/>
        </w:rPr>
        <w:t>{</w:t>
      </w:r>
    </w:p>
    <w:p>
      <w:pPr>
        <w:spacing w:before="0" w:after="0" w:line="240" w:lineRule="auto"/>
        <w:ind w:left="113"/>
        <w:shd w:fill="F4F6FA"/>
      </w:pPr>
      <w:r>
        <w:rPr>
          <w:rFonts w:ascii="Consolas" w:hAnsi="Consolas" w:eastAsia="宋体"/>
          <w:sz w:val="16"/>
        </w:rPr>
        <w:t xml:space="preserve">  "error": {"code": "period_locked", "message": "中文业务原因"},</w:t>
      </w:r>
    </w:p>
    <w:p>
      <w:pPr>
        <w:spacing w:before="0" w:after="0" w:line="240" w:lineRule="auto"/>
        <w:ind w:left="113"/>
        <w:shd w:fill="F4F6FA"/>
      </w:pPr>
      <w:r>
        <w:rPr>
          <w:rFonts w:ascii="Consolas" w:hAnsi="Consolas" w:eastAsia="宋体"/>
          <w:sz w:val="16"/>
        </w:rPr>
        <w:t xml:space="preserve">  "message": "中文业务原因"</w:t>
      </w:r>
    </w:p>
    <w:p>
      <w:pPr>
        <w:spacing w:before="0" w:after="0" w:line="240" w:lineRule="auto"/>
        <w:ind w:left="113"/>
        <w:shd w:fill="F4F6FA"/>
      </w:pPr>
      <w:r>
        <w:rPr>
          <w:rFonts w:ascii="Consolas" w:hAnsi="Consolas" w:eastAsia="宋体"/>
          <w:sz w:val="16"/>
        </w:rPr>
        <w:t>}</w:t>
      </w:r>
    </w:p>
    <w:p>
      <w:pPr>
        <w:spacing w:after="20"/>
      </w:pPr>
    </w:p>
    <w:tbl>
      <w:tblPr>
        <w:tblStyle w:val="TableGrid"/>
        <w:tblW w:type="auto" w:w="0"/>
        <w:jc w:val="center"/>
        <w:tblLayout w:type="fixed"/>
        <w:tblLook w:firstColumn="1" w:firstRow="1" w:lastColumn="0" w:lastRow="0" w:noHBand="0" w:noVBand="1" w:val="04A0"/>
      </w:tblPr>
      <w:tblGrid>
        <w:gridCol w:w="5749"/>
        <w:gridCol w:w="3657"/>
      </w:tblGrid>
      <w:tr>
        <w:trPr>
          <w:cantSplit/>
          <w:tblHeader w:val="true"/>
        </w:trPr>
        <w:tc>
          <w:tcPr>
            <w:tcW w:type="dxa" w:w="574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状态或代码</w:t>
            </w:r>
          </w:p>
        </w:tc>
        <w:tc>
          <w:tcPr>
            <w:tcW w:type="dxa" w:w="365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研发处理</w:t>
            </w:r>
          </w:p>
        </w:tc>
      </w:tr>
      <w:tr>
        <w:trPr>
          <w:cantSplit/>
        </w:trPr>
        <w:tc>
          <w:tcPr>
            <w:tcW w:type="dxa" w:w="5749"/>
            <w:vAlign w:val="top"/>
            <w:tcMar>
              <w:top w:w="65" w:type="dxa"/>
              <w:bottom w:w="65" w:type="dxa"/>
              <w:left w:w="65" w:type="dxa"/>
              <w:right w:w="65" w:type="dxa"/>
            </w:tcMar>
          </w:tcPr>
          <w:p>
            <w:pPr>
              <w:spacing w:before="30" w:after="30" w:line="252" w:lineRule="auto"/>
            </w:pPr>
            <w:r>
              <w:rPr>
                <w:rFonts w:ascii="Arial" w:hAnsi="Arial" w:eastAsia="宋体"/>
                <w:b w:val="0"/>
                <w:i w:val="0"/>
                <w:sz w:val="19"/>
              </w:rPr>
              <w:t>401 unauthorized</w:t>
            </w:r>
          </w:p>
        </w:tc>
        <w:tc>
          <w:tcPr>
            <w:tcW w:type="dxa" w:w="3657"/>
            <w:vAlign w:val="top"/>
            <w:tcMar>
              <w:top w:w="65" w:type="dxa"/>
              <w:bottom w:w="65" w:type="dxa"/>
              <w:left w:w="65" w:type="dxa"/>
              <w:right w:w="65" w:type="dxa"/>
            </w:tcMar>
          </w:tcPr>
          <w:p>
            <w:pPr>
              <w:spacing w:before="30" w:after="30" w:line="252" w:lineRule="auto"/>
            </w:pPr>
            <w:r>
              <w:rPr>
                <w:rFonts w:ascii="Arial" w:hAnsi="Arial" w:eastAsia="宋体"/>
                <w:b w:val="0"/>
                <w:i w:val="0"/>
                <w:sz w:val="19"/>
              </w:rPr>
              <w:t>本机会话缺失/失效，重新通过EXE进入</w:t>
            </w:r>
          </w:p>
        </w:tc>
      </w:tr>
      <w:tr>
        <w:trPr>
          <w:cantSplit/>
        </w:trPr>
        <w:tc>
          <w:tcPr>
            <w:tcW w:type="dxa" w:w="57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403 invalid_origin / invalid_host / csrf</w:t>
            </w:r>
          </w:p>
        </w:tc>
        <w:tc>
          <w:tcPr>
            <w:tcW w:type="dxa" w:w="36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请求边界或会话安全检查不通过，禁止提交</w:t>
            </w:r>
          </w:p>
        </w:tc>
      </w:tr>
      <w:tr>
        <w:trPr>
          <w:cantSplit/>
        </w:trPr>
        <w:tc>
          <w:tcPr>
            <w:tcW w:type="dxa" w:w="5749"/>
            <w:vAlign w:val="top"/>
            <w:tcMar>
              <w:top w:w="65" w:type="dxa"/>
              <w:bottom w:w="65" w:type="dxa"/>
              <w:left w:w="65" w:type="dxa"/>
              <w:right w:w="65" w:type="dxa"/>
            </w:tcMar>
          </w:tcPr>
          <w:p>
            <w:pPr>
              <w:spacing w:before="30" w:after="30" w:line="252" w:lineRule="auto"/>
            </w:pPr>
            <w:r>
              <w:rPr>
                <w:rFonts w:ascii="Arial" w:hAnsi="Arial" w:eastAsia="宋体"/>
                <w:b w:val="0"/>
                <w:i w:val="0"/>
                <w:sz w:val="19"/>
              </w:rPr>
              <w:t>403 forbidden</w:t>
            </w:r>
          </w:p>
        </w:tc>
        <w:tc>
          <w:tcPr>
            <w:tcW w:type="dxa" w:w="3657"/>
            <w:vAlign w:val="top"/>
            <w:tcMar>
              <w:top w:w="65" w:type="dxa"/>
              <w:bottom w:w="65" w:type="dxa"/>
              <w:left w:w="65" w:type="dxa"/>
              <w:right w:w="65" w:type="dxa"/>
            </w:tcMar>
          </w:tcPr>
          <w:p>
            <w:pPr>
              <w:spacing w:before="30" w:after="30" w:line="252" w:lineRule="auto"/>
            </w:pPr>
            <w:r>
              <w:rPr>
                <w:rFonts w:ascii="Arial" w:hAnsi="Arial" w:eastAsia="宋体"/>
                <w:b w:val="0"/>
                <w:i w:val="0"/>
                <w:sz w:val="19"/>
              </w:rPr>
              <w:t>当前演示角色无写入/审批权限</w:t>
            </w:r>
          </w:p>
        </w:tc>
      </w:tr>
      <w:tr>
        <w:trPr>
          <w:cantSplit/>
        </w:trPr>
        <w:tc>
          <w:tcPr>
            <w:tcW w:type="dxa" w:w="57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400 validation</w:t>
            </w:r>
          </w:p>
        </w:tc>
        <w:tc>
          <w:tcPr>
            <w:tcW w:type="dxa" w:w="36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输入结构、金额、字段、期间、引用或业务规则错误</w:t>
            </w:r>
          </w:p>
        </w:tc>
      </w:tr>
      <w:tr>
        <w:trPr>
          <w:cantSplit/>
        </w:trPr>
        <w:tc>
          <w:tcPr>
            <w:tcW w:type="dxa" w:w="5749"/>
            <w:vAlign w:val="top"/>
            <w:tcMar>
              <w:top w:w="65" w:type="dxa"/>
              <w:bottom w:w="65" w:type="dxa"/>
              <w:left w:w="65" w:type="dxa"/>
              <w:right w:w="65" w:type="dxa"/>
            </w:tcMar>
          </w:tcPr>
          <w:p>
            <w:pPr>
              <w:spacing w:before="30" w:after="30" w:line="252" w:lineRule="auto"/>
            </w:pPr>
            <w:r>
              <w:rPr>
                <w:rFonts w:ascii="Arial" w:hAnsi="Arial" w:eastAsia="宋体"/>
                <w:b w:val="0"/>
                <w:i w:val="0"/>
                <w:sz w:val="19"/>
              </w:rPr>
              <w:t>409 revision_conflict</w:t>
            </w:r>
          </w:p>
        </w:tc>
        <w:tc>
          <w:tcPr>
            <w:tcW w:type="dxa" w:w="3657"/>
            <w:vAlign w:val="top"/>
            <w:tcMar>
              <w:top w:w="65" w:type="dxa"/>
              <w:bottom w:w="65" w:type="dxa"/>
              <w:left w:w="65" w:type="dxa"/>
              <w:right w:w="65" w:type="dxa"/>
            </w:tcMar>
          </w:tcPr>
          <w:p>
            <w:pPr>
              <w:spacing w:before="30" w:after="30" w:line="252" w:lineRule="auto"/>
            </w:pPr>
            <w:r>
              <w:rPr>
                <w:rFonts w:ascii="Arial" w:hAnsi="Arial" w:eastAsia="宋体"/>
                <w:b w:val="0"/>
                <w:i w:val="0"/>
                <w:sz w:val="19"/>
              </w:rPr>
              <w:t>其他页面先提交；重新读取并核对后再保存，不能自动覆写</w:t>
            </w:r>
          </w:p>
        </w:tc>
      </w:tr>
      <w:tr>
        <w:trPr>
          <w:cantSplit/>
        </w:trPr>
        <w:tc>
          <w:tcPr>
            <w:tcW w:type="dxa" w:w="57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409 period_locked / invalid_state</w:t>
            </w:r>
          </w:p>
        </w:tc>
        <w:tc>
          <w:tcPr>
            <w:tcW w:type="dxa" w:w="36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结果或预算状态不允许当前动作，走重开或状态机</w:t>
            </w:r>
          </w:p>
        </w:tc>
      </w:tr>
      <w:tr>
        <w:trPr>
          <w:cantSplit/>
        </w:trPr>
        <w:tc>
          <w:tcPr>
            <w:tcW w:type="dxa" w:w="5749"/>
            <w:vAlign w:val="top"/>
            <w:tcMar>
              <w:top w:w="65" w:type="dxa"/>
              <w:bottom w:w="65" w:type="dxa"/>
              <w:left w:w="65" w:type="dxa"/>
              <w:right w:w="65" w:type="dxa"/>
            </w:tcMar>
          </w:tcPr>
          <w:p>
            <w:pPr>
              <w:spacing w:before="30" w:after="30" w:line="252" w:lineRule="auto"/>
            </w:pPr>
            <w:r>
              <w:rPr>
                <w:rFonts w:ascii="Arial" w:hAnsi="Arial" w:eastAsia="宋体"/>
                <w:b w:val="0"/>
                <w:i w:val="0"/>
                <w:sz w:val="19"/>
              </w:rPr>
              <w:t>409 stale_result / incomplete_workflow / financial_check</w:t>
            </w:r>
          </w:p>
        </w:tc>
        <w:tc>
          <w:tcPr>
            <w:tcW w:type="dxa" w:w="3657"/>
            <w:vAlign w:val="top"/>
            <w:tcMar>
              <w:top w:w="65" w:type="dxa"/>
              <w:bottom w:w="65" w:type="dxa"/>
              <w:left w:w="65" w:type="dxa"/>
              <w:right w:w="65" w:type="dxa"/>
            </w:tcMar>
          </w:tcPr>
          <w:p>
            <w:pPr>
              <w:spacing w:before="30" w:after="30" w:line="252" w:lineRule="auto"/>
            </w:pPr>
            <w:r>
              <w:rPr>
                <w:rFonts w:ascii="Arial" w:hAnsi="Arial" w:eastAsia="宋体"/>
                <w:b w:val="0"/>
                <w:i w:val="0"/>
                <w:sz w:val="19"/>
              </w:rPr>
              <w:t>依赖变化、下级未签核或会计校验未通过</w:t>
            </w:r>
          </w:p>
        </w:tc>
      </w:tr>
      <w:tr>
        <w:trPr>
          <w:cantSplit/>
        </w:trPr>
        <w:tc>
          <w:tcPr>
            <w:tcW w:type="dxa" w:w="57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409 incompatible_database</w:t>
            </w:r>
          </w:p>
        </w:tc>
        <w:tc>
          <w:tcPr>
            <w:tcW w:type="dxa" w:w="36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所选数据目录为旧版或未知模式，换独立目录，不能强制迁移</w:t>
            </w:r>
          </w:p>
        </w:tc>
      </w:tr>
      <w:tr>
        <w:trPr>
          <w:cantSplit/>
        </w:trPr>
        <w:tc>
          <w:tcPr>
            <w:tcW w:type="dxa" w:w="5749"/>
            <w:vAlign w:val="top"/>
            <w:tcMar>
              <w:top w:w="65" w:type="dxa"/>
              <w:bottom w:w="65" w:type="dxa"/>
              <w:left w:w="65" w:type="dxa"/>
              <w:right w:w="65" w:type="dxa"/>
            </w:tcMar>
          </w:tcPr>
          <w:p>
            <w:pPr>
              <w:spacing w:before="30" w:after="30" w:line="252" w:lineRule="auto"/>
            </w:pPr>
            <w:r>
              <w:rPr>
                <w:rFonts w:ascii="Arial" w:hAnsi="Arial" w:eastAsia="宋体"/>
                <w:b w:val="0"/>
                <w:i w:val="0"/>
                <w:sz w:val="19"/>
              </w:rPr>
              <w:t>404 unsupported_action / not_found</w:t>
            </w:r>
          </w:p>
        </w:tc>
        <w:tc>
          <w:tcPr>
            <w:tcW w:type="dxa" w:w="3657"/>
            <w:vAlign w:val="top"/>
            <w:tcMar>
              <w:top w:w="65" w:type="dxa"/>
              <w:bottom w:w="65" w:type="dxa"/>
              <w:left w:w="65" w:type="dxa"/>
              <w:right w:w="65" w:type="dxa"/>
            </w:tcMar>
          </w:tcPr>
          <w:p>
            <w:pPr>
              <w:spacing w:before="30" w:after="30" w:line="252" w:lineRule="auto"/>
            </w:pPr>
            <w:r>
              <w:rPr>
                <w:rFonts w:ascii="Arial" w:hAnsi="Arial" w:eastAsia="宋体"/>
                <w:b w:val="0"/>
                <w:i w:val="0"/>
                <w:sz w:val="19"/>
              </w:rPr>
              <w:t>旧动作旁路或不存在接口，不能作为成功空操作</w:t>
            </w:r>
          </w:p>
        </w:tc>
      </w:tr>
      <w:tr>
        <w:trPr>
          <w:cantSplit/>
        </w:trPr>
        <w:tc>
          <w:tcPr>
            <w:tcW w:type="dxa" w:w="57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413 / 415</w:t>
            </w:r>
          </w:p>
        </w:tc>
        <w:tc>
          <w:tcPr>
            <w:tcW w:type="dxa" w:w="36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正文过大或Content-Type不正确</w:t>
            </w:r>
          </w:p>
        </w:tc>
      </w:tr>
      <w:tr>
        <w:trPr>
          <w:cantSplit/>
        </w:trPr>
        <w:tc>
          <w:tcPr>
            <w:tcW w:type="dxa" w:w="5749"/>
            <w:vAlign w:val="top"/>
            <w:tcMar>
              <w:top w:w="65" w:type="dxa"/>
              <w:bottom w:w="65" w:type="dxa"/>
              <w:left w:w="65" w:type="dxa"/>
              <w:right w:w="65" w:type="dxa"/>
            </w:tcMar>
          </w:tcPr>
          <w:p>
            <w:pPr>
              <w:spacing w:before="30" w:after="30" w:line="252" w:lineRule="auto"/>
            </w:pPr>
            <w:r>
              <w:rPr>
                <w:rFonts w:ascii="Arial" w:hAnsi="Arial" w:eastAsia="宋体"/>
                <w:b w:val="0"/>
                <w:i w:val="0"/>
                <w:sz w:val="19"/>
              </w:rPr>
              <w:t>500 internal</w:t>
            </w:r>
          </w:p>
        </w:tc>
        <w:tc>
          <w:tcPr>
            <w:tcW w:type="dxa" w:w="3657"/>
            <w:vAlign w:val="top"/>
            <w:tcMar>
              <w:top w:w="65" w:type="dxa"/>
              <w:bottom w:w="65" w:type="dxa"/>
              <w:left w:w="65" w:type="dxa"/>
              <w:right w:w="65" w:type="dxa"/>
            </w:tcMar>
          </w:tcPr>
          <w:p>
            <w:pPr>
              <w:spacing w:before="30" w:after="30" w:line="252" w:lineRule="auto"/>
            </w:pPr>
            <w:r>
              <w:rPr>
                <w:rFonts w:ascii="Arial" w:hAnsi="Arial" w:eastAsia="宋体"/>
                <w:b w:val="0"/>
                <w:i w:val="0"/>
                <w:sz w:val="19"/>
              </w:rPr>
              <w:t>读取或命令异常；界面显示统一错误，研发查看私有日志</w:t>
            </w:r>
          </w:p>
        </w:tc>
      </w:tr>
    </w:tbl>
    <w:p>
      <w:pPr>
        <w:spacing w:after="40"/>
      </w:pPr>
    </w:p>
    <w:p>
      <w:r>
        <w:rPr>
          <w:rFonts w:ascii="Arial" w:hAnsi="Arial" w:eastAsia="宋体"/>
          <w:b w:val="0"/>
          <w:i w:val="0"/>
        </w:rPr>
        <w:t>前端仅对revision_conflict自动重新读取最新状态并提示。其他409保留业务原因，不能一律用刷新掩盖锁定或下级未签核。</w:t>
      </w:r>
    </w:p>
    <w:p>
      <w:pPr>
        <w:pStyle w:val="Heading2"/>
      </w:pPr>
      <w:bookmarkStart w:id="23" w:name="epm_23"/>
      <w:r>
        <w:rPr>
          <w:rFonts w:ascii="Arial" w:hAnsi="Arial" w:eastAsia="宋体"/>
          <w:b w:val="0"/>
          <w:i w:val="0"/>
        </w:rPr>
        <w:t>6.5 bootstrap主要投影</w:t>
      </w:r>
      <w:bookmarkEnd w:id="23"/>
    </w:p>
    <w:tbl>
      <w:tblPr>
        <w:tblStyle w:val="TableGrid"/>
        <w:tblW w:type="auto" w:w="0"/>
        <w:jc w:val="center"/>
        <w:tblLayout w:type="fixed"/>
        <w:tblLook w:firstColumn="1" w:firstRow="1" w:lastColumn="0" w:lastRow="0" w:noHBand="0" w:noVBand="1" w:val="04A0"/>
      </w:tblPr>
      <w:tblGrid>
        <w:gridCol w:w="4737"/>
        <w:gridCol w:w="4669"/>
      </w:tblGrid>
      <w:tr>
        <w:trPr>
          <w:cantSplit/>
          <w:tblHeader w:val="true"/>
        </w:trPr>
        <w:tc>
          <w:tcPr>
            <w:tcW w:type="dxa" w:w="473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字段组</w:t>
            </w:r>
          </w:p>
        </w:tc>
        <w:tc>
          <w:tcPr>
            <w:tcW w:type="dxa" w:w="466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页面用途</w:t>
            </w:r>
          </w:p>
        </w:tc>
      </w:tr>
      <w:tr>
        <w:trPr>
          <w:cantSplit/>
        </w:trPr>
        <w:tc>
          <w:tcPr>
            <w:tcW w:type="dxa" w:w="4737"/>
            <w:vAlign w:val="top"/>
            <w:tcMar>
              <w:top w:w="65" w:type="dxa"/>
              <w:bottom w:w="65" w:type="dxa"/>
              <w:left w:w="65" w:type="dxa"/>
              <w:right w:w="65" w:type="dxa"/>
            </w:tcMar>
          </w:tcPr>
          <w:p>
            <w:pPr>
              <w:spacing w:before="30" w:after="30" w:line="252" w:lineRule="auto"/>
            </w:pPr>
            <w:r>
              <w:rPr>
                <w:rFonts w:ascii="Arial" w:hAnsi="Arial" w:eastAsia="宋体"/>
                <w:b w:val="0"/>
                <w:i w:val="0"/>
                <w:sz w:val="19"/>
              </w:rPr>
              <w:t>revision、context、companyName、settings</w:t>
            </w:r>
          </w:p>
        </w:tc>
        <w:tc>
          <w:tcPr>
            <w:tcW w:type="dxa" w:w="4669"/>
            <w:vAlign w:val="top"/>
            <w:tcMar>
              <w:top w:w="65" w:type="dxa"/>
              <w:bottom w:w="65" w:type="dxa"/>
              <w:left w:w="65" w:type="dxa"/>
              <w:right w:w="65" w:type="dxa"/>
            </w:tcMar>
          </w:tcPr>
          <w:p>
            <w:pPr>
              <w:spacing w:before="30" w:after="30" w:line="252" w:lineRule="auto"/>
            </w:pPr>
            <w:r>
              <w:rPr>
                <w:rFonts w:ascii="Arial" w:hAnsi="Arial" w:eastAsia="宋体"/>
                <w:b w:val="0"/>
                <w:i w:val="0"/>
                <w:sz w:val="19"/>
              </w:rPr>
              <w:t>版本、当前范围和基础显示</w:t>
            </w:r>
          </w:p>
        </w:tc>
      </w:tr>
      <w:tr>
        <w:trPr>
          <w:cantSplit/>
        </w:trPr>
        <w:tc>
          <w:tcPr>
            <w:tcW w:type="dxa" w:w="47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sessionRole、capabilities</w:t>
            </w:r>
          </w:p>
        </w:tc>
        <w:tc>
          <w:tcPr>
            <w:tcW w:type="dxa" w:w="46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显示本机演示职责和可用按钮</w:t>
            </w:r>
          </w:p>
        </w:tc>
      </w:tr>
      <w:tr>
        <w:trPr>
          <w:cantSplit/>
        </w:trPr>
        <w:tc>
          <w:tcPr>
            <w:tcW w:type="dxa" w:w="4737"/>
            <w:vAlign w:val="top"/>
            <w:tcMar>
              <w:top w:w="65" w:type="dxa"/>
              <w:bottom w:w="65" w:type="dxa"/>
              <w:left w:w="65" w:type="dxa"/>
              <w:right w:w="65" w:type="dxa"/>
            </w:tcMar>
          </w:tcPr>
          <w:p>
            <w:pPr>
              <w:spacing w:before="30" w:after="30" w:line="252" w:lineRule="auto"/>
            </w:pPr>
            <w:r>
              <w:rPr>
                <w:rFonts w:ascii="Arial" w:hAnsi="Arial" w:eastAsia="宋体"/>
                <w:b w:val="0"/>
                <w:i w:val="0"/>
                <w:sz w:val="19"/>
              </w:rPr>
              <w:t>entities、units、ownership、accounts</w:t>
            </w:r>
          </w:p>
        </w:tc>
        <w:tc>
          <w:tcPr>
            <w:tcW w:type="dxa" w:w="4669"/>
            <w:vAlign w:val="top"/>
            <w:tcMar>
              <w:top w:w="65" w:type="dxa"/>
              <w:bottom w:w="65" w:type="dxa"/>
              <w:left w:w="65" w:type="dxa"/>
              <w:right w:w="65" w:type="dxa"/>
            </w:tcMar>
          </w:tcPr>
          <w:p>
            <w:pPr>
              <w:spacing w:before="30" w:after="30" w:line="252" w:lineRule="auto"/>
            </w:pPr>
            <w:r>
              <w:rPr>
                <w:rFonts w:ascii="Arial" w:hAnsi="Arial" w:eastAsia="宋体"/>
                <w:b w:val="0"/>
                <w:i w:val="0"/>
                <w:sz w:val="19"/>
              </w:rPr>
              <w:t>法人、管理范围、实际持股与科目映射</w:t>
            </w:r>
          </w:p>
        </w:tc>
      </w:tr>
      <w:tr>
        <w:trPr>
          <w:cantSplit/>
        </w:trPr>
        <w:tc>
          <w:tcPr>
            <w:tcW w:type="dxa" w:w="47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sources、rateSets、eliminations</w:t>
            </w:r>
          </w:p>
        </w:tc>
        <w:tc>
          <w:tcPr>
            <w:tcW w:type="dxa" w:w="46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当前期间源数据、汇率历史与抵销事项</w:t>
            </w:r>
          </w:p>
        </w:tc>
      </w:tr>
      <w:tr>
        <w:trPr>
          <w:cantSplit/>
        </w:trPr>
        <w:tc>
          <w:tcPr>
            <w:tcW w:type="dxa" w:w="4737"/>
            <w:vAlign w:val="top"/>
            <w:tcMar>
              <w:top w:w="65" w:type="dxa"/>
              <w:bottom w:w="65" w:type="dxa"/>
              <w:left w:w="65" w:type="dxa"/>
              <w:right w:w="65" w:type="dxa"/>
            </w:tcMar>
          </w:tcPr>
          <w:p>
            <w:pPr>
              <w:spacing w:before="30" w:after="30" w:line="252" w:lineRule="auto"/>
            </w:pPr>
            <w:r>
              <w:rPr>
                <w:rFonts w:ascii="Arial" w:hAnsi="Arial" w:eastAsia="宋体"/>
                <w:b w:val="0"/>
                <w:i w:val="0"/>
                <w:sz w:val="19"/>
              </w:rPr>
              <w:t>currentResult、results、unitStatus、unitStates</w:t>
            </w:r>
          </w:p>
        </w:tc>
        <w:tc>
          <w:tcPr>
            <w:tcW w:type="dxa" w:w="4669"/>
            <w:vAlign w:val="top"/>
            <w:tcMar>
              <w:top w:w="65" w:type="dxa"/>
              <w:bottom w:w="65" w:type="dxa"/>
              <w:left w:w="65" w:type="dxa"/>
              <w:right w:w="65" w:type="dxa"/>
            </w:tcMar>
          </w:tcPr>
          <w:p>
            <w:pPr>
              <w:spacing w:before="30" w:after="30" w:line="252" w:lineRule="auto"/>
            </w:pPr>
            <w:r>
              <w:rPr>
                <w:rFonts w:ascii="Arial" w:hAnsi="Arial" w:eastAsia="宋体"/>
                <w:b w:val="0"/>
                <w:i w:val="0"/>
                <w:sz w:val="19"/>
              </w:rPr>
              <w:t>当前指针、历史结果和有效性/锁定状态</w:t>
            </w:r>
          </w:p>
        </w:tc>
      </w:tr>
      <w:tr>
        <w:trPr>
          <w:cantSplit/>
        </w:trPr>
        <w:tc>
          <w:tcPr>
            <w:tcW w:type="dxa" w:w="47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preconditions、checks、reportMode、reportError</w:t>
            </w:r>
          </w:p>
        </w:tc>
        <w:tc>
          <w:tcPr>
            <w:tcW w:type="dxa" w:w="46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计算前置、三表勾稽、正式/失效/预览提示</w:t>
            </w:r>
          </w:p>
        </w:tc>
      </w:tr>
      <w:tr>
        <w:trPr>
          <w:cantSplit/>
        </w:trPr>
        <w:tc>
          <w:tcPr>
            <w:tcW w:type="dxa" w:w="4737"/>
            <w:vAlign w:val="top"/>
            <w:tcMar>
              <w:top w:w="65" w:type="dxa"/>
              <w:bottom w:w="65" w:type="dxa"/>
              <w:left w:w="65" w:type="dxa"/>
              <w:right w:w="65" w:type="dxa"/>
            </w:tcMar>
          </w:tcPr>
          <w:p>
            <w:pPr>
              <w:spacing w:before="30" w:after="30" w:line="252" w:lineRule="auto"/>
            </w:pPr>
            <w:r>
              <w:rPr>
                <w:rFonts w:ascii="Arial" w:hAnsi="Arial" w:eastAsia="宋体"/>
                <w:b w:val="0"/>
                <w:i w:val="0"/>
                <w:sz w:val="19"/>
              </w:rPr>
              <w:t>statement、canonicalReport、monthlyActuals</w:t>
            </w:r>
          </w:p>
        </w:tc>
        <w:tc>
          <w:tcPr>
            <w:tcW w:type="dxa" w:w="4669"/>
            <w:vAlign w:val="top"/>
            <w:tcMar>
              <w:top w:w="65" w:type="dxa"/>
              <w:bottom w:w="65" w:type="dxa"/>
              <w:left w:w="65" w:type="dxa"/>
              <w:right w:w="65" w:type="dxa"/>
            </w:tcMar>
          </w:tcPr>
          <w:p>
            <w:pPr>
              <w:spacing w:before="30" w:after="30" w:line="252" w:lineRule="auto"/>
            </w:pPr>
            <w:r>
              <w:rPr>
                <w:rFonts w:ascii="Arial" w:hAnsi="Arial" w:eastAsia="宋体"/>
                <w:b w:val="0"/>
                <w:i w:val="0"/>
                <w:sz w:val="19"/>
              </w:rPr>
              <w:t>报表显示、标准财务模型及趋势</w:t>
            </w:r>
          </w:p>
        </w:tc>
      </w:tr>
      <w:tr>
        <w:trPr>
          <w:cantSplit/>
        </w:trPr>
        <w:tc>
          <w:tcPr>
            <w:tcW w:type="dxa" w:w="47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entityActuals</w:t>
            </w:r>
          </w:p>
        </w:tc>
        <w:tc>
          <w:tcPr>
            <w:tcW w:type="dxa" w:w="46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同来源/汇率版本的法人贡献，明确为合并抵销前</w:t>
            </w:r>
          </w:p>
        </w:tc>
      </w:tr>
      <w:tr>
        <w:trPr>
          <w:cantSplit/>
        </w:trPr>
        <w:tc>
          <w:tcPr>
            <w:tcW w:type="dxa" w:w="4737"/>
            <w:vAlign w:val="top"/>
            <w:tcMar>
              <w:top w:w="65" w:type="dxa"/>
              <w:bottom w:w="65" w:type="dxa"/>
              <w:left w:w="65" w:type="dxa"/>
              <w:right w:w="65" w:type="dxa"/>
            </w:tcMar>
          </w:tcPr>
          <w:p>
            <w:pPr>
              <w:spacing w:before="30" w:after="30" w:line="252" w:lineRule="auto"/>
            </w:pPr>
            <w:r>
              <w:rPr>
                <w:rFonts w:ascii="Arial" w:hAnsi="Arial" w:eastAsia="宋体"/>
                <w:b w:val="0"/>
                <w:i w:val="0"/>
                <w:sz w:val="19"/>
              </w:rPr>
              <w:t>budget、budgetComparable</w:t>
            </w:r>
          </w:p>
        </w:tc>
        <w:tc>
          <w:tcPr>
            <w:tcW w:type="dxa" w:w="4669"/>
            <w:vAlign w:val="top"/>
            <w:tcMar>
              <w:top w:w="65" w:type="dxa"/>
              <w:bottom w:w="65" w:type="dxa"/>
              <w:left w:w="65" w:type="dxa"/>
              <w:right w:w="65" w:type="dxa"/>
            </w:tcMar>
          </w:tcPr>
          <w:p>
            <w:pPr>
              <w:spacing w:before="30" w:after="30" w:line="252" w:lineRule="auto"/>
            </w:pPr>
            <w:r>
              <w:rPr>
                <w:rFonts w:ascii="Arial" w:hAnsi="Arial" w:eastAsia="宋体"/>
                <w:b w:val="0"/>
                <w:i w:val="0"/>
                <w:sz w:val="19"/>
              </w:rPr>
              <w:t>独立集团人民币预算和可比较标识</w:t>
            </w:r>
          </w:p>
        </w:tc>
      </w:tr>
      <w:tr>
        <w:trPr>
          <w:cantSplit/>
        </w:trPr>
        <w:tc>
          <w:tcPr>
            <w:tcW w:type="dxa" w:w="47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erp</w:t>
            </w:r>
          </w:p>
        </w:tc>
        <w:tc>
          <w:tcPr>
            <w:tcW w:type="dxa" w:w="46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批次、有效映射/期初/凭证、本期法人报表、当前范围匹配、模板及未连接在线ERP的标识</w:t>
            </w:r>
          </w:p>
        </w:tc>
      </w:tr>
      <w:tr>
        <w:trPr>
          <w:cantSplit/>
        </w:trPr>
        <w:tc>
          <w:tcPr>
            <w:tcW w:type="dxa" w:w="4737"/>
            <w:vAlign w:val="top"/>
            <w:tcMar>
              <w:top w:w="65" w:type="dxa"/>
              <w:bottom w:w="65" w:type="dxa"/>
              <w:left w:w="65" w:type="dxa"/>
              <w:right w:w="65" w:type="dxa"/>
            </w:tcMar>
          </w:tcPr>
          <w:p>
            <w:pPr>
              <w:spacing w:before="30" w:after="30" w:line="252" w:lineRule="auto"/>
            </w:pPr>
            <w:r>
              <w:rPr>
                <w:rFonts w:ascii="Arial" w:hAnsi="Arial" w:eastAsia="宋体"/>
                <w:b w:val="0"/>
                <w:i w:val="0"/>
                <w:sz w:val="19"/>
              </w:rPr>
              <w:t>commentary、activities</w:t>
            </w:r>
          </w:p>
        </w:tc>
        <w:tc>
          <w:tcPr>
            <w:tcW w:type="dxa" w:w="4669"/>
            <w:vAlign w:val="top"/>
            <w:tcMar>
              <w:top w:w="65" w:type="dxa"/>
              <w:bottom w:w="65" w:type="dxa"/>
              <w:left w:w="65" w:type="dxa"/>
              <w:right w:w="65" w:type="dxa"/>
            </w:tcMar>
          </w:tcPr>
          <w:p>
            <w:pPr>
              <w:spacing w:before="30" w:after="30" w:line="252" w:lineRule="auto"/>
            </w:pPr>
            <w:r>
              <w:rPr>
                <w:rFonts w:ascii="Arial" w:hAnsi="Arial" w:eastAsia="宋体"/>
                <w:b w:val="0"/>
                <w:i w:val="0"/>
                <w:sz w:val="19"/>
              </w:rPr>
              <w:t>经营说明和真实提交轨迹</w:t>
            </w:r>
          </w:p>
        </w:tc>
      </w:tr>
    </w:tbl>
    <w:p>
      <w:pPr>
        <w:spacing w:after="40"/>
      </w:pPr>
    </w:p>
    <w:p>
      <w:r>
        <w:rPr>
          <w:rFonts w:ascii="Arial" w:hAnsi="Arial" w:eastAsia="宋体"/>
          <w:b w:val="0"/>
          <w:i w:val="0"/>
        </w:rPr>
        <w:t>results包含当前期间各单元所有版本，currentResult是当前所选单元的active指针。有效性是独立状态，历史“已签核”并不自动意味着当前仍可上卷。</w:t>
      </w:r>
    </w:p>
    <w:p>
      <w:pPr>
        <w:pStyle w:val="Heading1"/>
      </w:pPr>
      <w:bookmarkStart w:id="24" w:name="epm_24"/>
      <w:r>
        <w:rPr>
          <w:rFonts w:ascii="Arial" w:hAnsi="Arial" w:eastAsia="宋体"/>
          <w:b w:val="0"/>
          <w:i w:val="0"/>
        </w:rPr>
        <w:t>七、命令怎样进入事务</w:t>
      </w:r>
      <w:bookmarkEnd w:id="24"/>
    </w:p>
    <w:p>
      <w:pPr>
        <w:pStyle w:val="Heading2"/>
      </w:pPr>
      <w:bookmarkStart w:id="25" w:name="epm_25"/>
      <w:r>
        <w:rPr>
          <w:rFonts w:ascii="Arial" w:hAnsi="Arial" w:eastAsia="宋体"/>
          <w:b w:val="0"/>
          <w:i w:val="0"/>
        </w:rPr>
        <w:t>7.1 原子提交顺序</w:t>
      </w:r>
      <w:bookmarkEnd w:id="25"/>
    </w:p>
    <w:p>
      <w:pPr>
        <w:spacing w:before="0" w:after="0" w:line="240" w:lineRule="auto"/>
        <w:ind w:left="113"/>
        <w:shd w:fill="F4F6FA"/>
      </w:pPr>
      <w:r>
        <w:rPr>
          <w:rFonts w:ascii="Consolas" w:hAnsi="Consolas" w:eastAsia="宋体"/>
          <w:sz w:val="16"/>
        </w:rPr>
        <w:t>浏览器读取bootstrap与revision</w:t>
      </w:r>
    </w:p>
    <w:p>
      <w:pPr>
        <w:spacing w:before="0" w:after="0" w:line="240" w:lineRule="auto"/>
        <w:ind w:left="113"/>
        <w:shd w:fill="F4F6FA"/>
      </w:pPr>
      <w:r>
        <w:rPr>
          <w:rFonts w:ascii="Consolas" w:hAnsi="Consolas" w:eastAsia="宋体"/>
          <w:sz w:val="16"/>
        </w:rPr>
        <w:t xml:space="preserve">  → 填写表单，点击保存</w:t>
      </w:r>
    </w:p>
    <w:p>
      <w:pPr>
        <w:spacing w:before="0" w:after="0" w:line="240" w:lineRule="auto"/>
        <w:ind w:left="113"/>
        <w:shd w:fill="F4F6FA"/>
      </w:pPr>
      <w:r>
        <w:rPr>
          <w:rFonts w:ascii="Consolas" w:hAnsi="Consolas" w:eastAsia="宋体"/>
          <w:sz w:val="16"/>
        </w:rPr>
        <w:t xml:space="preserve">  → server检查Host / Origin / Cookie / CSRF / JSON</w:t>
      </w:r>
    </w:p>
    <w:p>
      <w:pPr>
        <w:spacing w:before="0" w:after="0" w:line="240" w:lineRule="auto"/>
        <w:ind w:left="113"/>
        <w:shd w:fill="F4F6FA"/>
      </w:pPr>
      <w:r>
        <w:rPr>
          <w:rFonts w:ascii="Consolas" w:hAnsi="Consolas" w:eastAsia="宋体"/>
          <w:sz w:val="16"/>
        </w:rPr>
        <w:t xml:space="preserve">  → Store BEGIN IMMEDIATE</w:t>
      </w:r>
    </w:p>
    <w:p>
      <w:pPr>
        <w:spacing w:before="0" w:after="0" w:line="240" w:lineRule="auto"/>
        <w:ind w:left="113"/>
        <w:shd w:fill="F4F6FA"/>
      </w:pPr>
      <w:r>
        <w:rPr>
          <w:rFonts w:ascii="Consolas" w:hAnsi="Consolas" w:eastAsia="宋体"/>
          <w:sz w:val="16"/>
        </w:rPr>
        <w:t xml:space="preserve">  → 读取数据库revision并比较</w:t>
      </w:r>
    </w:p>
    <w:p>
      <w:pPr>
        <w:spacing w:before="0" w:after="0" w:line="240" w:lineRule="auto"/>
        <w:ind w:left="113"/>
        <w:shd w:fill="F4F6FA"/>
      </w:pPr>
      <w:r>
        <w:rPr>
          <w:rFonts w:ascii="Consolas" w:hAnsi="Consolas" w:eastAsia="宋体"/>
          <w:sz w:val="16"/>
        </w:rPr>
        <w:t xml:space="preserve">  → engine分发预算或多层领域命令</w:t>
      </w:r>
    </w:p>
    <w:p>
      <w:pPr>
        <w:spacing w:before="0" w:after="0" w:line="240" w:lineRule="auto"/>
        <w:ind w:left="113"/>
        <w:shd w:fill="F4F6FA"/>
      </w:pPr>
      <w:r>
        <w:rPr>
          <w:rFonts w:ascii="Consolas" w:hAnsi="Consolas" w:eastAsia="宋体"/>
          <w:sz w:val="16"/>
        </w:rPr>
        <w:t xml:space="preserve">  → 校验权限、锁定、字段、来源及财务规则</w:t>
      </w:r>
    </w:p>
    <w:p>
      <w:pPr>
        <w:spacing w:before="0" w:after="0" w:line="240" w:lineRule="auto"/>
        <w:ind w:left="113"/>
        <w:shd w:fill="F4F6FA"/>
      </w:pPr>
      <w:r>
        <w:rPr>
          <w:rFonts w:ascii="Consolas" w:hAnsi="Consolas" w:eastAsia="宋体"/>
          <w:sz w:val="16"/>
        </w:rPr>
        <w:t xml:space="preserve">  → 修改内存state；生成审计说明</w:t>
      </w:r>
    </w:p>
    <w:p>
      <w:pPr>
        <w:spacing w:before="0" w:after="0" w:line="240" w:lineRule="auto"/>
        <w:ind w:left="113"/>
        <w:shd w:fill="F4F6FA"/>
      </w:pPr>
      <w:r>
        <w:rPr>
          <w:rFonts w:ascii="Consolas" w:hAnsi="Consolas" w:eastAsia="宋体"/>
          <w:sz w:val="16"/>
        </w:rPr>
        <w:t xml:space="preserve">  → 写state并revision+1，同时插入audit</w:t>
      </w:r>
    </w:p>
    <w:p>
      <w:pPr>
        <w:spacing w:before="0" w:after="0" w:line="240" w:lineRule="auto"/>
        <w:ind w:left="113"/>
        <w:shd w:fill="F4F6FA"/>
      </w:pPr>
      <w:r>
        <w:rPr>
          <w:rFonts w:ascii="Consolas" w:hAnsi="Consolas" w:eastAsia="宋体"/>
          <w:sz w:val="16"/>
        </w:rPr>
        <w:t xml:space="preserve">  → COMMIT</w:t>
      </w:r>
    </w:p>
    <w:p>
      <w:pPr>
        <w:spacing w:before="0" w:after="0" w:line="240" w:lineRule="auto"/>
        <w:ind w:left="113"/>
        <w:shd w:fill="F4F6FA"/>
      </w:pPr>
      <w:r>
        <w:rPr>
          <w:rFonts w:ascii="Consolas" w:hAnsi="Consolas" w:eastAsia="宋体"/>
          <w:sz w:val="16"/>
        </w:rPr>
        <w:t xml:space="preserve">  → 重新投影bootstrap，页面显示已保存</w:t>
      </w:r>
    </w:p>
    <w:p>
      <w:pPr>
        <w:spacing w:after="20"/>
      </w:pPr>
    </w:p>
    <w:p>
      <w:r>
        <w:rPr>
          <w:rFonts w:ascii="Arial" w:hAnsi="Arial" w:eastAsia="宋体"/>
          <w:b w:val="0"/>
          <w:i w:val="0"/>
        </w:rPr>
        <w:t>任何提交前领域异常均ROLLBACK，state和audit不会留下半笔成功。完整CSV多法人导入也在同一事务内执行。需要注意：单条保存成功不是整个月已完成合并；它只代表当前命令通过，后续仍要计算和签核。</w:t>
      </w:r>
    </w:p>
    <w:p>
      <w:pPr>
        <w:pStyle w:val="Heading2"/>
      </w:pPr>
      <w:bookmarkStart w:id="26" w:name="epm_26"/>
      <w:r>
        <w:rPr>
          <w:rFonts w:ascii="Arial" w:hAnsi="Arial" w:eastAsia="宋体"/>
          <w:b w:val="0"/>
          <w:i w:val="0"/>
        </w:rPr>
        <w:t>7.2 并发和重复提交</w:t>
      </w:r>
      <w:bookmarkEnd w:id="26"/>
    </w:p>
    <w:p>
      <w:r>
        <w:rPr>
          <w:rFonts w:ascii="Arial" w:hAnsi="Arial" w:eastAsia="宋体"/>
          <w:b w:val="0"/>
          <w:i w:val="0"/>
        </w:rPr>
        <w:t>SQLite启用WAL，连接busy_timeout为15000毫秒。BEGIN IMMEDIATE串行处理写入；revision是业务层乐观并发控制。两个页面同时读revision=20，第一个成功提交为21后，第二个带20保存应409拒绝。前端保存期间设置busy状态，减少重复点击；服务端状态和revision校验仍是最终依据。</w:t>
      </w:r>
    </w:p>
    <w:p>
      <w:r>
        <w:rPr>
          <w:rFonts w:ascii="Arial" w:hAnsi="Arial" w:eastAsia="宋体"/>
          <w:b w:val="0"/>
          <w:i w:val="0"/>
        </w:rPr>
        <w:t>本Demo没有实现跨服务器分布式并发、长期幂等请求表、任务队列或生产级行锁。结果签核、预算审批和抵销审批对状态有重复动作拒绝，不能据此宣称通用分布式幂等已完成。</w:t>
      </w:r>
    </w:p>
    <w:p>
      <w:pPr>
        <w:pStyle w:val="Heading2"/>
      </w:pPr>
      <w:bookmarkStart w:id="27" w:name="epm_27"/>
      <w:r>
        <w:rPr>
          <w:rFonts w:ascii="Arial" w:hAnsi="Arial" w:eastAsia="宋体"/>
          <w:b w:val="0"/>
          <w:i w:val="0"/>
        </w:rPr>
        <w:t>7.3 审计生成</w:t>
      </w:r>
      <w:bookmarkEnd w:id="27"/>
    </w:p>
    <w:p>
      <w:r>
        <w:rPr>
          <w:rFonts w:ascii="Arial" w:hAnsi="Arial" w:eastAsia="宋体"/>
          <w:b w:val="0"/>
          <w:i w:val="0"/>
        </w:rPr>
        <w:t>audit记录提交时间、当前演示角色、动作、业务说明与新revision，和state处于同一事务。页面读取最近200条，不提供真实生产用户身份、电子签名、外部防篡改存证或无限容量审计检索。本机角色可以主动切换，因此审计role表示演示职责，不能据此判定公司真实审批人的身份。</w:t>
      </w:r>
    </w:p>
    <w:p>
      <w:pPr>
        <w:pStyle w:val="Heading1"/>
      </w:pPr>
      <w:bookmarkStart w:id="28" w:name="epm_28"/>
      <w:r>
        <w:rPr>
          <w:rFonts w:ascii="Arial" w:hAnsi="Arial" w:eastAsia="宋体"/>
          <w:b w:val="0"/>
          <w:i w:val="0"/>
        </w:rPr>
        <w:t>八、SQLite物理结构与业务JSON</w:t>
      </w:r>
      <w:bookmarkEnd w:id="28"/>
    </w:p>
    <w:p>
      <w:pPr>
        <w:pStyle w:val="Heading2"/>
      </w:pPr>
      <w:bookmarkStart w:id="29" w:name="epm_29"/>
      <w:r>
        <w:rPr>
          <w:rFonts w:ascii="Arial" w:hAnsi="Arial" w:eastAsia="宋体"/>
          <w:b w:val="0"/>
          <w:i w:val="0"/>
        </w:rPr>
        <w:t>8.1 当前只有两张业务物理表</w:t>
      </w:r>
      <w:bookmarkEnd w:id="29"/>
    </w:p>
    <w:tbl>
      <w:tblPr>
        <w:tblStyle w:val="TableGrid"/>
        <w:tblW w:type="auto" w:w="0"/>
        <w:jc w:val="center"/>
        <w:tblLayout w:type="fixed"/>
        <w:tblLook w:firstColumn="1" w:firstRow="1" w:lastColumn="0" w:lastRow="0" w:noHBand="0" w:noVBand="1" w:val="04A0"/>
      </w:tblPr>
      <w:tblGrid>
        <w:gridCol w:w="1440"/>
        <w:gridCol w:w="4250"/>
        <w:gridCol w:w="3717"/>
      </w:tblGrid>
      <w:tr>
        <w:trPr>
          <w:cantSplit/>
          <w:tblHeader w:val="true"/>
        </w:trPr>
        <w:tc>
          <w:tcPr>
            <w:tcW w:type="dxa" w:w="144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表</w:t>
            </w:r>
          </w:p>
        </w:tc>
        <w:tc>
          <w:tcPr>
            <w:tcW w:type="dxa" w:w="425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列</w:t>
            </w:r>
          </w:p>
        </w:tc>
        <w:tc>
          <w:tcPr>
            <w:tcW w:type="dxa" w:w="371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说明</w:t>
            </w:r>
          </w:p>
        </w:tc>
      </w:tr>
      <w:tr>
        <w:trPr>
          <w:cantSplit/>
        </w:trPr>
        <w:tc>
          <w:tcPr>
            <w:tcW w:type="dxa" w:w="1440"/>
            <w:vAlign w:val="top"/>
            <w:tcMar>
              <w:top w:w="65" w:type="dxa"/>
              <w:bottom w:w="65" w:type="dxa"/>
              <w:left w:w="65" w:type="dxa"/>
              <w:right w:w="65" w:type="dxa"/>
            </w:tcMar>
          </w:tcPr>
          <w:p>
            <w:pPr>
              <w:spacing w:before="30" w:after="30" w:line="252" w:lineRule="auto"/>
            </w:pPr>
            <w:r>
              <w:rPr>
                <w:rFonts w:ascii="Arial" w:hAnsi="Arial" w:eastAsia="宋体"/>
                <w:b w:val="0"/>
                <w:i w:val="0"/>
                <w:sz w:val="19"/>
              </w:rPr>
              <w:t>state</w:t>
            </w:r>
          </w:p>
        </w:tc>
        <w:tc>
          <w:tcPr>
            <w:tcW w:type="dxa" w:w="4250"/>
            <w:vAlign w:val="top"/>
            <w:tcMar>
              <w:top w:w="65" w:type="dxa"/>
              <w:bottom w:w="65" w:type="dxa"/>
              <w:left w:w="65" w:type="dxa"/>
              <w:right w:w="65" w:type="dxa"/>
            </w:tcMar>
          </w:tcPr>
          <w:p>
            <w:pPr>
              <w:spacing w:before="30" w:after="30" w:line="252" w:lineRule="auto"/>
            </w:pPr>
            <w:r>
              <w:rPr>
                <w:rFonts w:ascii="Arial" w:hAnsi="Arial" w:eastAsia="宋体"/>
                <w:b w:val="0"/>
                <w:i w:val="0"/>
                <w:sz w:val="19"/>
              </w:rPr>
              <w:t>id INTEGER PRIMARY KEY，CHECK(id=1)</w:t>
            </w:r>
          </w:p>
        </w:tc>
        <w:tc>
          <w:tcPr>
            <w:tcW w:type="dxa" w:w="3717"/>
            <w:vAlign w:val="top"/>
            <w:tcMar>
              <w:top w:w="65" w:type="dxa"/>
              <w:bottom w:w="65" w:type="dxa"/>
              <w:left w:w="65" w:type="dxa"/>
              <w:right w:w="65" w:type="dxa"/>
            </w:tcMar>
          </w:tcPr>
          <w:p>
            <w:pPr>
              <w:spacing w:before="30" w:after="30" w:line="252" w:lineRule="auto"/>
            </w:pPr>
            <w:r>
              <w:rPr>
                <w:rFonts w:ascii="Arial" w:hAnsi="Arial" w:eastAsia="宋体"/>
                <w:b w:val="0"/>
                <w:i w:val="0"/>
                <w:sz w:val="19"/>
              </w:rPr>
              <w:t>单一当前业务状态行</w:t>
            </w:r>
          </w:p>
        </w:tc>
      </w:tr>
      <w:tr>
        <w:trPr>
          <w:cantSplit/>
        </w:trPr>
        <w:tc>
          <w:tcPr>
            <w:tcW w:type="dxa" w:w="14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state</w:t>
            </w:r>
          </w:p>
        </w:tc>
        <w:tc>
          <w:tcPr>
            <w:tcW w:type="dxa" w:w="42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revision INTEGER NOT NULL</w:t>
            </w:r>
          </w:p>
        </w:tc>
        <w:tc>
          <w:tcPr>
            <w:tcW w:type="dxa" w:w="371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每次已提交业务命令递增</w:t>
            </w:r>
          </w:p>
        </w:tc>
      </w:tr>
      <w:tr>
        <w:trPr>
          <w:cantSplit/>
        </w:trPr>
        <w:tc>
          <w:tcPr>
            <w:tcW w:type="dxa" w:w="1440"/>
            <w:vAlign w:val="top"/>
            <w:tcMar>
              <w:top w:w="65" w:type="dxa"/>
              <w:bottom w:w="65" w:type="dxa"/>
              <w:left w:w="65" w:type="dxa"/>
              <w:right w:w="65" w:type="dxa"/>
            </w:tcMar>
          </w:tcPr>
          <w:p>
            <w:pPr>
              <w:spacing w:before="30" w:after="30" w:line="252" w:lineRule="auto"/>
            </w:pPr>
            <w:r>
              <w:rPr>
                <w:rFonts w:ascii="Arial" w:hAnsi="Arial" w:eastAsia="宋体"/>
                <w:b w:val="0"/>
                <w:i w:val="0"/>
                <w:sz w:val="19"/>
              </w:rPr>
              <w:t>state</w:t>
            </w:r>
          </w:p>
        </w:tc>
        <w:tc>
          <w:tcPr>
            <w:tcW w:type="dxa" w:w="4250"/>
            <w:vAlign w:val="top"/>
            <w:tcMar>
              <w:top w:w="65" w:type="dxa"/>
              <w:bottom w:w="65" w:type="dxa"/>
              <w:left w:w="65" w:type="dxa"/>
              <w:right w:w="65" w:type="dxa"/>
            </w:tcMar>
          </w:tcPr>
          <w:p>
            <w:pPr>
              <w:spacing w:before="30" w:after="30" w:line="252" w:lineRule="auto"/>
            </w:pPr>
            <w:r>
              <w:rPr>
                <w:rFonts w:ascii="Arial" w:hAnsi="Arial" w:eastAsia="宋体"/>
                <w:b w:val="0"/>
                <w:i w:val="0"/>
                <w:sz w:val="19"/>
              </w:rPr>
              <w:t>document TEXT NOT NULL</w:t>
            </w:r>
          </w:p>
        </w:tc>
        <w:tc>
          <w:tcPr>
            <w:tcW w:type="dxa" w:w="3717"/>
            <w:vAlign w:val="top"/>
            <w:tcMar>
              <w:top w:w="65" w:type="dxa"/>
              <w:bottom w:w="65" w:type="dxa"/>
              <w:left w:w="65" w:type="dxa"/>
              <w:right w:w="65" w:type="dxa"/>
            </w:tcMar>
          </w:tcPr>
          <w:p>
            <w:pPr>
              <w:spacing w:before="30" w:after="30" w:line="252" w:lineRule="auto"/>
            </w:pPr>
            <w:r>
              <w:rPr>
                <w:rFonts w:ascii="Arial" w:hAnsi="Arial" w:eastAsia="宋体"/>
                <w:b w:val="0"/>
                <w:i w:val="0"/>
                <w:sz w:val="19"/>
              </w:rPr>
              <w:t>UTF-8 JSON，保存配置、源、预算、结果快照及有效性</w:t>
            </w:r>
          </w:p>
        </w:tc>
      </w:tr>
      <w:tr>
        <w:trPr>
          <w:cantSplit/>
        </w:trPr>
        <w:tc>
          <w:tcPr>
            <w:tcW w:type="dxa" w:w="14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audit</w:t>
            </w:r>
          </w:p>
        </w:tc>
        <w:tc>
          <w:tcPr>
            <w:tcW w:type="dxa" w:w="42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id INTEGER PRIMARY KEY AUTOINCREMENT</w:t>
            </w:r>
          </w:p>
        </w:tc>
        <w:tc>
          <w:tcPr>
            <w:tcW w:type="dxa" w:w="371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递增操作序号</w:t>
            </w:r>
          </w:p>
        </w:tc>
      </w:tr>
      <w:tr>
        <w:trPr>
          <w:cantSplit/>
        </w:trPr>
        <w:tc>
          <w:tcPr>
            <w:tcW w:type="dxa" w:w="1440"/>
            <w:vAlign w:val="top"/>
            <w:tcMar>
              <w:top w:w="65" w:type="dxa"/>
              <w:bottom w:w="65" w:type="dxa"/>
              <w:left w:w="65" w:type="dxa"/>
              <w:right w:w="65" w:type="dxa"/>
            </w:tcMar>
          </w:tcPr>
          <w:p>
            <w:pPr>
              <w:spacing w:before="30" w:after="30" w:line="252" w:lineRule="auto"/>
            </w:pPr>
            <w:r>
              <w:rPr>
                <w:rFonts w:ascii="Arial" w:hAnsi="Arial" w:eastAsia="宋体"/>
                <w:b w:val="0"/>
                <w:i w:val="0"/>
                <w:sz w:val="19"/>
              </w:rPr>
              <w:t>audit</w:t>
            </w:r>
          </w:p>
        </w:tc>
        <w:tc>
          <w:tcPr>
            <w:tcW w:type="dxa" w:w="4250"/>
            <w:vAlign w:val="top"/>
            <w:tcMar>
              <w:top w:w="65" w:type="dxa"/>
              <w:bottom w:w="65" w:type="dxa"/>
              <w:left w:w="65" w:type="dxa"/>
              <w:right w:w="65" w:type="dxa"/>
            </w:tcMar>
          </w:tcPr>
          <w:p>
            <w:pPr>
              <w:spacing w:before="30" w:after="30" w:line="252" w:lineRule="auto"/>
            </w:pPr>
            <w:r>
              <w:rPr>
                <w:rFonts w:ascii="Arial" w:hAnsi="Arial" w:eastAsia="宋体"/>
                <w:b w:val="0"/>
                <w:i w:val="0"/>
                <w:sz w:val="19"/>
              </w:rPr>
              <w:t>time TEXT NOT NULL</w:t>
            </w:r>
          </w:p>
        </w:tc>
        <w:tc>
          <w:tcPr>
            <w:tcW w:type="dxa" w:w="3717"/>
            <w:vAlign w:val="top"/>
            <w:tcMar>
              <w:top w:w="65" w:type="dxa"/>
              <w:bottom w:w="65" w:type="dxa"/>
              <w:left w:w="65" w:type="dxa"/>
              <w:right w:w="65" w:type="dxa"/>
            </w:tcMar>
          </w:tcPr>
          <w:p>
            <w:pPr>
              <w:spacing w:before="30" w:after="30" w:line="252" w:lineRule="auto"/>
            </w:pPr>
            <w:r>
              <w:rPr>
                <w:rFonts w:ascii="Arial" w:hAnsi="Arial" w:eastAsia="宋体"/>
                <w:b w:val="0"/>
                <w:i w:val="0"/>
                <w:sz w:val="19"/>
              </w:rPr>
              <w:t>服务端操作时间</w:t>
            </w:r>
          </w:p>
        </w:tc>
      </w:tr>
      <w:tr>
        <w:trPr>
          <w:cantSplit/>
        </w:trPr>
        <w:tc>
          <w:tcPr>
            <w:tcW w:type="dxa" w:w="14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audit</w:t>
            </w:r>
          </w:p>
        </w:tc>
        <w:tc>
          <w:tcPr>
            <w:tcW w:type="dxa" w:w="42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role TEXT NOT NULL</w:t>
            </w:r>
          </w:p>
        </w:tc>
        <w:tc>
          <w:tcPr>
            <w:tcW w:type="dxa" w:w="371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演示角色名称</w:t>
            </w:r>
          </w:p>
        </w:tc>
      </w:tr>
      <w:tr>
        <w:trPr>
          <w:cantSplit/>
        </w:trPr>
        <w:tc>
          <w:tcPr>
            <w:tcW w:type="dxa" w:w="1440"/>
            <w:vAlign w:val="top"/>
            <w:tcMar>
              <w:top w:w="65" w:type="dxa"/>
              <w:bottom w:w="65" w:type="dxa"/>
              <w:left w:w="65" w:type="dxa"/>
              <w:right w:w="65" w:type="dxa"/>
            </w:tcMar>
          </w:tcPr>
          <w:p>
            <w:pPr>
              <w:spacing w:before="30" w:after="30" w:line="252" w:lineRule="auto"/>
            </w:pPr>
            <w:r>
              <w:rPr>
                <w:rFonts w:ascii="Arial" w:hAnsi="Arial" w:eastAsia="宋体"/>
                <w:b w:val="0"/>
                <w:i w:val="0"/>
                <w:sz w:val="19"/>
              </w:rPr>
              <w:t>audit</w:t>
            </w:r>
          </w:p>
        </w:tc>
        <w:tc>
          <w:tcPr>
            <w:tcW w:type="dxa" w:w="4250"/>
            <w:vAlign w:val="top"/>
            <w:tcMar>
              <w:top w:w="65" w:type="dxa"/>
              <w:bottom w:w="65" w:type="dxa"/>
              <w:left w:w="65" w:type="dxa"/>
              <w:right w:w="65" w:type="dxa"/>
            </w:tcMar>
          </w:tcPr>
          <w:p>
            <w:pPr>
              <w:spacing w:before="30" w:after="30" w:line="252" w:lineRule="auto"/>
            </w:pPr>
            <w:r>
              <w:rPr>
                <w:rFonts w:ascii="Arial" w:hAnsi="Arial" w:eastAsia="宋体"/>
                <w:b w:val="0"/>
                <w:i w:val="0"/>
                <w:sz w:val="19"/>
              </w:rPr>
              <w:t>action TEXT NOT NULL</w:t>
            </w:r>
          </w:p>
        </w:tc>
        <w:tc>
          <w:tcPr>
            <w:tcW w:type="dxa" w:w="3717"/>
            <w:vAlign w:val="top"/>
            <w:tcMar>
              <w:top w:w="65" w:type="dxa"/>
              <w:bottom w:w="65" w:type="dxa"/>
              <w:left w:w="65" w:type="dxa"/>
              <w:right w:w="65" w:type="dxa"/>
            </w:tcMar>
          </w:tcPr>
          <w:p>
            <w:pPr>
              <w:spacing w:before="30" w:after="30" w:line="252" w:lineRule="auto"/>
            </w:pPr>
            <w:r>
              <w:rPr>
                <w:rFonts w:ascii="Arial" w:hAnsi="Arial" w:eastAsia="宋体"/>
                <w:b w:val="0"/>
                <w:i w:val="0"/>
                <w:sz w:val="19"/>
              </w:rPr>
              <w:t>实际命令名称</w:t>
            </w:r>
          </w:p>
        </w:tc>
      </w:tr>
      <w:tr>
        <w:trPr>
          <w:cantSplit/>
        </w:trPr>
        <w:tc>
          <w:tcPr>
            <w:tcW w:type="dxa" w:w="14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audit</w:t>
            </w:r>
          </w:p>
        </w:tc>
        <w:tc>
          <w:tcPr>
            <w:tcW w:type="dxa" w:w="42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detail TEXT NOT NULL</w:t>
            </w:r>
          </w:p>
        </w:tc>
        <w:tc>
          <w:tcPr>
            <w:tcW w:type="dxa" w:w="371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服务端生成的中文业务说明</w:t>
            </w:r>
          </w:p>
        </w:tc>
      </w:tr>
      <w:tr>
        <w:trPr>
          <w:cantSplit/>
        </w:trPr>
        <w:tc>
          <w:tcPr>
            <w:tcW w:type="dxa" w:w="1440"/>
            <w:vAlign w:val="top"/>
            <w:tcMar>
              <w:top w:w="65" w:type="dxa"/>
              <w:bottom w:w="65" w:type="dxa"/>
              <w:left w:w="65" w:type="dxa"/>
              <w:right w:w="65" w:type="dxa"/>
            </w:tcMar>
          </w:tcPr>
          <w:p>
            <w:pPr>
              <w:spacing w:before="30" w:after="30" w:line="252" w:lineRule="auto"/>
            </w:pPr>
            <w:r>
              <w:rPr>
                <w:rFonts w:ascii="Arial" w:hAnsi="Arial" w:eastAsia="宋体"/>
                <w:b w:val="0"/>
                <w:i w:val="0"/>
                <w:sz w:val="19"/>
              </w:rPr>
              <w:t>audit</w:t>
            </w:r>
          </w:p>
        </w:tc>
        <w:tc>
          <w:tcPr>
            <w:tcW w:type="dxa" w:w="4250"/>
            <w:vAlign w:val="top"/>
            <w:tcMar>
              <w:top w:w="65" w:type="dxa"/>
              <w:bottom w:w="65" w:type="dxa"/>
              <w:left w:w="65" w:type="dxa"/>
              <w:right w:w="65" w:type="dxa"/>
            </w:tcMar>
          </w:tcPr>
          <w:p>
            <w:pPr>
              <w:spacing w:before="30" w:after="30" w:line="252" w:lineRule="auto"/>
            </w:pPr>
            <w:r>
              <w:rPr>
                <w:rFonts w:ascii="Arial" w:hAnsi="Arial" w:eastAsia="宋体"/>
                <w:b w:val="0"/>
                <w:i w:val="0"/>
                <w:sz w:val="19"/>
              </w:rPr>
              <w:t>revision INTEGER NOT NULL</w:t>
            </w:r>
          </w:p>
        </w:tc>
        <w:tc>
          <w:tcPr>
            <w:tcW w:type="dxa" w:w="3717"/>
            <w:vAlign w:val="top"/>
            <w:tcMar>
              <w:top w:w="65" w:type="dxa"/>
              <w:bottom w:w="65" w:type="dxa"/>
              <w:left w:w="65" w:type="dxa"/>
              <w:right w:w="65" w:type="dxa"/>
            </w:tcMar>
          </w:tcPr>
          <w:p>
            <w:pPr>
              <w:spacing w:before="30" w:after="30" w:line="252" w:lineRule="auto"/>
            </w:pPr>
            <w:r>
              <w:rPr>
                <w:rFonts w:ascii="Arial" w:hAnsi="Arial" w:eastAsia="宋体"/>
                <w:b w:val="0"/>
                <w:i w:val="0"/>
                <w:sz w:val="19"/>
              </w:rPr>
              <w:t>对应提交后的版本</w:t>
            </w:r>
          </w:p>
        </w:tc>
      </w:tr>
    </w:tbl>
    <w:p>
      <w:pPr>
        <w:spacing w:after="40"/>
      </w:pPr>
    </w:p>
    <w:p>
      <w:r>
        <w:rPr>
          <w:rFonts w:ascii="Arial" w:hAnsi="Arial" w:eastAsia="宋体"/>
          <w:b w:val="0"/>
          <w:i w:val="0"/>
        </w:rPr>
        <w:t>数据库文件名epm-demo.sqlite3。实体、汇率和结果在本版以JSON数组/映射保存，不是已经建成独立的entity、result或budget关系表。PRD可以给出正式研发拆表建议，但必须与当前实际结构分列。</w:t>
      </w:r>
    </w:p>
    <w:p>
      <w:pPr>
        <w:pStyle w:val="Heading2"/>
      </w:pPr>
      <w:bookmarkStart w:id="30" w:name="epm_30"/>
      <w:r>
        <w:rPr>
          <w:rFonts w:ascii="Arial" w:hAnsi="Arial" w:eastAsia="宋体"/>
          <w:b w:val="0"/>
          <w:i w:val="0"/>
        </w:rPr>
        <w:t>8.2 关键JSON路径与生命周期</w:t>
      </w:r>
      <w:bookmarkEnd w:id="30"/>
    </w:p>
    <w:tbl>
      <w:tblPr>
        <w:tblStyle w:val="TableGrid"/>
        <w:tblW w:type="auto" w:w="0"/>
        <w:jc w:val="center"/>
        <w:tblLayout w:type="fixed"/>
        <w:tblLook w:firstColumn="1" w:firstRow="1" w:lastColumn="0" w:lastRow="0" w:noHBand="0" w:noVBand="1" w:val="04A0"/>
      </w:tblPr>
      <w:tblGrid>
        <w:gridCol w:w="3334"/>
        <w:gridCol w:w="2196"/>
        <w:gridCol w:w="3876"/>
      </w:tblGrid>
      <w:tr>
        <w:trPr>
          <w:cantSplit/>
          <w:tblHeader w:val="true"/>
        </w:trPr>
        <w:tc>
          <w:tcPr>
            <w:tcW w:type="dxa" w:w="333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路径</w:t>
            </w:r>
          </w:p>
        </w:tc>
        <w:tc>
          <w:tcPr>
            <w:tcW w:type="dxa" w:w="219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内容</w:t>
            </w:r>
          </w:p>
        </w:tc>
        <w:tc>
          <w:tcPr>
            <w:tcW w:type="dxa" w:w="387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更新方式</w:t>
            </w:r>
          </w:p>
        </w:tc>
      </w:tr>
      <w:tr>
        <w:trPr>
          <w:cantSplit/>
        </w:trPr>
        <w:tc>
          <w:tcPr>
            <w:tcW w:type="dxa" w:w="3334"/>
            <w:vAlign w:val="top"/>
            <w:tcMar>
              <w:top w:w="65" w:type="dxa"/>
              <w:bottom w:w="65" w:type="dxa"/>
              <w:left w:w="65" w:type="dxa"/>
              <w:right w:w="65" w:type="dxa"/>
            </w:tcMar>
          </w:tcPr>
          <w:p>
            <w:pPr>
              <w:spacing w:before="30" w:after="30" w:line="252" w:lineRule="auto"/>
            </w:pPr>
            <w:r>
              <w:rPr>
                <w:rFonts w:ascii="Arial" w:hAnsi="Arial" w:eastAsia="宋体"/>
                <w:b w:val="0"/>
                <w:i w:val="0"/>
                <w:sz w:val="19"/>
              </w:rPr>
              <w:t>entities、ownership、units、accounts</w:t>
            </w:r>
          </w:p>
        </w:tc>
        <w:tc>
          <w:tcPr>
            <w:tcW w:type="dxa" w:w="2196"/>
            <w:vAlign w:val="top"/>
            <w:tcMar>
              <w:top w:w="65" w:type="dxa"/>
              <w:bottom w:w="65" w:type="dxa"/>
              <w:left w:w="65" w:type="dxa"/>
              <w:right w:w="65" w:type="dxa"/>
            </w:tcMar>
          </w:tcPr>
          <w:p>
            <w:pPr>
              <w:spacing w:before="30" w:after="30" w:line="252" w:lineRule="auto"/>
            </w:pPr>
            <w:r>
              <w:rPr>
                <w:rFonts w:ascii="Arial" w:hAnsi="Arial" w:eastAsia="宋体"/>
                <w:b w:val="0"/>
                <w:i w:val="0"/>
                <w:sz w:val="19"/>
              </w:rPr>
              <w:t>法人、真实股权、管理树和映射</w:t>
            </w:r>
          </w:p>
        </w:tc>
        <w:tc>
          <w:tcPr>
            <w:tcW w:type="dxa" w:w="3876"/>
            <w:vAlign w:val="top"/>
            <w:tcMar>
              <w:top w:w="65" w:type="dxa"/>
              <w:bottom w:w="65" w:type="dxa"/>
              <w:left w:w="65" w:type="dxa"/>
              <w:right w:w="65" w:type="dxa"/>
            </w:tcMar>
          </w:tcPr>
          <w:p>
            <w:pPr>
              <w:spacing w:before="30" w:after="30" w:line="252" w:lineRule="auto"/>
            </w:pPr>
            <w:r>
              <w:rPr>
                <w:rFonts w:ascii="Arial" w:hAnsi="Arial" w:eastAsia="宋体"/>
                <w:b w:val="0"/>
                <w:i w:val="0"/>
                <w:sz w:val="19"/>
              </w:rPr>
              <w:t>服务端校验后更新配置版本</w:t>
            </w:r>
          </w:p>
        </w:tc>
      </w:tr>
      <w:tr>
        <w:trPr>
          <w:cantSplit/>
        </w:trPr>
        <w:tc>
          <w:tcPr>
            <w:tcW w:type="dxa" w:w="33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sources[month][entityId]</w:t>
            </w:r>
          </w:p>
        </w:tc>
        <w:tc>
          <w:tcPr>
            <w:tcW w:type="dxa" w:w="21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手工完整源或ERP凭证派生的三表及月发生</w:t>
            </w:r>
          </w:p>
        </w:tc>
        <w:tc>
          <w:tcPr>
            <w:tcW w:type="dxa" w:w="38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source.version递增；ERP源另带ledgerFingerprint、ledgerTrace和ledgerSnapshot</w:t>
            </w:r>
          </w:p>
        </w:tc>
      </w:tr>
      <w:tr>
        <w:trPr>
          <w:cantSplit/>
        </w:trPr>
        <w:tc>
          <w:tcPr>
            <w:tcW w:type="dxa" w:w="3334"/>
            <w:vAlign w:val="top"/>
            <w:tcMar>
              <w:top w:w="65" w:type="dxa"/>
              <w:bottom w:w="65" w:type="dxa"/>
              <w:left w:w="65" w:type="dxa"/>
              <w:right w:w="65" w:type="dxa"/>
            </w:tcMar>
          </w:tcPr>
          <w:p>
            <w:pPr>
              <w:spacing w:before="30" w:after="30" w:line="252" w:lineRule="auto"/>
            </w:pPr>
            <w:r>
              <w:rPr>
                <w:rFonts w:ascii="Arial" w:hAnsi="Arial" w:eastAsia="宋体"/>
                <w:b w:val="0"/>
                <w:i w:val="0"/>
                <w:sz w:val="19"/>
              </w:rPr>
              <w:t>erp.mappings/openings/vouchers/batches</w:t>
            </w:r>
          </w:p>
        </w:tc>
        <w:tc>
          <w:tcPr>
            <w:tcW w:type="dxa" w:w="2196"/>
            <w:vAlign w:val="top"/>
            <w:tcMar>
              <w:top w:w="65" w:type="dxa"/>
              <w:bottom w:w="65" w:type="dxa"/>
              <w:left w:w="65" w:type="dxa"/>
              <w:right w:w="65" w:type="dxa"/>
            </w:tcMar>
          </w:tcPr>
          <w:p>
            <w:pPr>
              <w:spacing w:before="30" w:after="30" w:line="252" w:lineRule="auto"/>
            </w:pPr>
            <w:r>
              <w:rPr>
                <w:rFonts w:ascii="Arial" w:hAnsi="Arial" w:eastAsia="宋体"/>
                <w:b w:val="0"/>
                <w:i w:val="0"/>
                <w:sz w:val="19"/>
              </w:rPr>
              <w:t>科目映射、年初借贷、本币凭证与导入批次</w:t>
            </w:r>
          </w:p>
        </w:tc>
        <w:tc>
          <w:tcPr>
            <w:tcW w:type="dxa" w:w="3876"/>
            <w:vAlign w:val="top"/>
            <w:tcMar>
              <w:top w:w="65" w:type="dxa"/>
              <w:bottom w:w="65" w:type="dxa"/>
              <w:left w:w="65" w:type="dxa"/>
              <w:right w:w="65" w:type="dxa"/>
            </w:tcMar>
          </w:tcPr>
          <w:p>
            <w:pPr>
              <w:spacing w:before="30" w:after="30" w:line="252" w:lineRule="auto"/>
            </w:pPr>
            <w:r>
              <w:rPr>
                <w:rFonts w:ascii="Arial" w:hAnsi="Arial" w:eastAsia="宋体"/>
                <w:b w:val="0"/>
                <w:i w:val="0"/>
                <w:sz w:val="19"/>
              </w:rPr>
              <w:t>原始行、源文件、活动标志及规范化输入留档</w:t>
            </w:r>
          </w:p>
        </w:tc>
      </w:tr>
      <w:tr>
        <w:trPr>
          <w:cantSplit/>
        </w:trPr>
        <w:tc>
          <w:tcPr>
            <w:tcW w:type="dxa" w:w="33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erp.bookMappings/counterpartyMappings/importOptions</w:t>
            </w:r>
          </w:p>
        </w:tc>
        <w:tc>
          <w:tcPr>
            <w:tcW w:type="dxa" w:w="21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NC账簿/本位币、辅助客商、关联号等适配规则</w:t>
            </w:r>
          </w:p>
        </w:tc>
        <w:tc>
          <w:tcPr>
            <w:tcW w:type="dxa" w:w="38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明确配置，只影响后续导入解释，不重写已导入原行</w:t>
            </w:r>
          </w:p>
        </w:tc>
      </w:tr>
      <w:tr>
        <w:trPr>
          <w:cantSplit/>
        </w:trPr>
        <w:tc>
          <w:tcPr>
            <w:tcW w:type="dxa" w:w="3334"/>
            <w:vAlign w:val="top"/>
            <w:tcMar>
              <w:top w:w="65" w:type="dxa"/>
              <w:bottom w:w="65" w:type="dxa"/>
              <w:left w:w="65" w:type="dxa"/>
              <w:right w:w="65" w:type="dxa"/>
            </w:tcMar>
          </w:tcPr>
          <w:p>
            <w:pPr>
              <w:spacing w:before="30" w:after="30" w:line="252" w:lineRule="auto"/>
            </w:pPr>
            <w:r>
              <w:rPr>
                <w:rFonts w:ascii="Arial" w:hAnsi="Arial" w:eastAsia="宋体"/>
                <w:b w:val="0"/>
                <w:i w:val="0"/>
                <w:sz w:val="19"/>
              </w:rPr>
              <w:t>erp.reports、erp.matchingByScope</w:t>
            </w:r>
          </w:p>
        </w:tc>
        <w:tc>
          <w:tcPr>
            <w:tcW w:type="dxa" w:w="2196"/>
            <w:vAlign w:val="top"/>
            <w:tcMar>
              <w:top w:w="65" w:type="dxa"/>
              <w:bottom w:w="65" w:type="dxa"/>
              <w:left w:w="65" w:type="dxa"/>
              <w:right w:w="65" w:type="dxa"/>
            </w:tcMar>
          </w:tcPr>
          <w:p>
            <w:pPr>
              <w:spacing w:before="30" w:after="30" w:line="252" w:lineRule="auto"/>
            </w:pPr>
            <w:r>
              <w:rPr>
                <w:rFonts w:ascii="Arial" w:hAnsi="Arial" w:eastAsia="宋体"/>
                <w:b w:val="0"/>
                <w:i w:val="0"/>
                <w:sz w:val="19"/>
              </w:rPr>
              <w:t>单体派生源及范围匹配的当前版本</w:t>
            </w:r>
          </w:p>
        </w:tc>
        <w:tc>
          <w:tcPr>
            <w:tcW w:type="dxa" w:w="3876"/>
            <w:vAlign w:val="top"/>
            <w:tcMar>
              <w:top w:w="65" w:type="dxa"/>
              <w:bottom w:w="65" w:type="dxa"/>
              <w:left w:w="65" w:type="dxa"/>
              <w:right w:w="65" w:type="dxa"/>
            </w:tcMar>
          </w:tcPr>
          <w:p>
            <w:pPr>
              <w:spacing w:before="30" w:after="30" w:line="252" w:lineRule="auto"/>
            </w:pPr>
            <w:r>
              <w:rPr>
                <w:rFonts w:ascii="Arial" w:hAnsi="Arial" w:eastAsia="宋体"/>
                <w:b w:val="0"/>
                <w:i w:val="0"/>
                <w:sz w:val="19"/>
              </w:rPr>
              <w:t>输入变动失效；必须再生成/匹配后才进入严格分级合并</w:t>
            </w:r>
          </w:p>
        </w:tc>
      </w:tr>
      <w:tr>
        <w:trPr>
          <w:cantSplit/>
        </w:trPr>
        <w:tc>
          <w:tcPr>
            <w:tcW w:type="dxa" w:w="33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erp.annotations及vouchers[].annotations</w:t>
            </w:r>
          </w:p>
        </w:tc>
        <w:tc>
          <w:tcPr>
            <w:tcW w:type="dxa" w:w="21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规范化核对补注的原因、时间、角色及前后值</w:t>
            </w:r>
          </w:p>
        </w:tc>
        <w:tc>
          <w:tcPr>
            <w:tcW w:type="dxa" w:w="38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不改原始NC字段或金额；历史ledgerSnapshot保留当时输入</w:t>
            </w:r>
          </w:p>
        </w:tc>
      </w:tr>
      <w:tr>
        <w:trPr>
          <w:cantSplit/>
        </w:trPr>
        <w:tc>
          <w:tcPr>
            <w:tcW w:type="dxa" w:w="3334"/>
            <w:vAlign w:val="top"/>
            <w:tcMar>
              <w:top w:w="65" w:type="dxa"/>
              <w:bottom w:w="65" w:type="dxa"/>
              <w:left w:w="65" w:type="dxa"/>
              <w:right w:w="65" w:type="dxa"/>
            </w:tcMar>
          </w:tcPr>
          <w:p>
            <w:pPr>
              <w:spacing w:before="30" w:after="30" w:line="252" w:lineRule="auto"/>
            </w:pPr>
            <w:r>
              <w:rPr>
                <w:rFonts w:ascii="Arial" w:hAnsi="Arial" w:eastAsia="宋体"/>
                <w:b w:val="0"/>
                <w:i w:val="0"/>
                <w:sz w:val="19"/>
              </w:rPr>
              <w:t>fxRates</w:t>
            </w:r>
          </w:p>
        </w:tc>
        <w:tc>
          <w:tcPr>
            <w:tcW w:type="dxa" w:w="2196"/>
            <w:vAlign w:val="top"/>
            <w:tcMar>
              <w:top w:w="65" w:type="dxa"/>
              <w:bottom w:w="65" w:type="dxa"/>
              <w:left w:w="65" w:type="dxa"/>
              <w:right w:w="65" w:type="dxa"/>
            </w:tcMar>
          </w:tcPr>
          <w:p>
            <w:pPr>
              <w:spacing w:before="30" w:after="30" w:line="252" w:lineRule="auto"/>
            </w:pPr>
            <w:r>
              <w:rPr>
                <w:rFonts w:ascii="Arial" w:hAnsi="Arial" w:eastAsia="宋体"/>
                <w:b w:val="0"/>
                <w:i w:val="0"/>
                <w:sz w:val="19"/>
              </w:rPr>
              <w:t>各期间分类汇率版本</w:t>
            </w:r>
          </w:p>
        </w:tc>
        <w:tc>
          <w:tcPr>
            <w:tcW w:type="dxa" w:w="3876"/>
            <w:vAlign w:val="top"/>
            <w:tcMar>
              <w:top w:w="65" w:type="dxa"/>
              <w:bottom w:w="65" w:type="dxa"/>
              <w:left w:w="65" w:type="dxa"/>
              <w:right w:w="65" w:type="dxa"/>
            </w:tcMar>
          </w:tcPr>
          <w:p>
            <w:pPr>
              <w:spacing w:before="30" w:after="30" w:line="252" w:lineRule="auto"/>
            </w:pPr>
            <w:r>
              <w:rPr>
                <w:rFonts w:ascii="Arial" w:hAnsi="Arial" w:eastAsia="宋体"/>
                <w:b w:val="0"/>
                <w:i w:val="0"/>
                <w:sz w:val="19"/>
              </w:rPr>
              <w:t>新增版本并切换active，历史金额保留</w:t>
            </w:r>
          </w:p>
        </w:tc>
      </w:tr>
      <w:tr>
        <w:trPr>
          <w:cantSplit/>
        </w:trPr>
        <w:tc>
          <w:tcPr>
            <w:tcW w:type="dxa" w:w="33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eliminations</w:t>
            </w:r>
          </w:p>
        </w:tc>
        <w:tc>
          <w:tcPr>
            <w:tcW w:type="dxa" w:w="21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销售/投资抵销、月度明细和状态</w:t>
            </w:r>
          </w:p>
        </w:tc>
        <w:tc>
          <w:tcPr>
            <w:tcW w:type="dxa" w:w="38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保存草稿、审批或原因停用，保留来源标识</w:t>
            </w:r>
          </w:p>
        </w:tc>
      </w:tr>
      <w:tr>
        <w:trPr>
          <w:cantSplit/>
        </w:trPr>
        <w:tc>
          <w:tcPr>
            <w:tcW w:type="dxa" w:w="3334"/>
            <w:vAlign w:val="top"/>
            <w:tcMar>
              <w:top w:w="65" w:type="dxa"/>
              <w:bottom w:w="65" w:type="dxa"/>
              <w:left w:w="65" w:type="dxa"/>
              <w:right w:w="65" w:type="dxa"/>
            </w:tcMar>
          </w:tcPr>
          <w:p>
            <w:pPr>
              <w:spacing w:before="30" w:after="30" w:line="252" w:lineRule="auto"/>
            </w:pPr>
            <w:r>
              <w:rPr>
                <w:rFonts w:ascii="Arial" w:hAnsi="Arial" w:eastAsia="宋体"/>
                <w:b w:val="0"/>
                <w:i w:val="0"/>
                <w:sz w:val="19"/>
              </w:rPr>
              <w:t>results</w:t>
            </w:r>
          </w:p>
        </w:tc>
        <w:tc>
          <w:tcPr>
            <w:tcW w:type="dxa" w:w="2196"/>
            <w:vAlign w:val="top"/>
            <w:tcMar>
              <w:top w:w="65" w:type="dxa"/>
              <w:bottom w:w="65" w:type="dxa"/>
              <w:left w:w="65" w:type="dxa"/>
              <w:right w:w="65" w:type="dxa"/>
            </w:tcMar>
          </w:tcPr>
          <w:p>
            <w:pPr>
              <w:spacing w:before="30" w:after="30" w:line="252" w:lineRule="auto"/>
            </w:pPr>
            <w:r>
              <w:rPr>
                <w:rFonts w:ascii="Arial" w:hAnsi="Arial" w:eastAsia="宋体"/>
                <w:b w:val="0"/>
                <w:i w:val="0"/>
                <w:sz w:val="19"/>
              </w:rPr>
              <w:t>各单元各期间各次计算及批准信息</w:t>
            </w:r>
          </w:p>
        </w:tc>
        <w:tc>
          <w:tcPr>
            <w:tcW w:type="dxa" w:w="3876"/>
            <w:vAlign w:val="top"/>
            <w:tcMar>
              <w:top w:w="65" w:type="dxa"/>
              <w:bottom w:w="65" w:type="dxa"/>
              <w:left w:w="65" w:type="dxa"/>
              <w:right w:w="65" w:type="dxa"/>
            </w:tcMar>
          </w:tcPr>
          <w:p>
            <w:pPr>
              <w:spacing w:before="30" w:after="30" w:line="252" w:lineRule="auto"/>
            </w:pPr>
            <w:r>
              <w:rPr>
                <w:rFonts w:ascii="Arial" w:hAnsi="Arial" w:eastAsia="宋体"/>
                <w:b w:val="0"/>
                <w:i w:val="0"/>
                <w:sz w:val="19"/>
              </w:rPr>
              <w:t>只追加新的计算结果，金额快照不覆盖</w:t>
            </w:r>
          </w:p>
        </w:tc>
      </w:tr>
      <w:tr>
        <w:trPr>
          <w:cantSplit/>
        </w:trPr>
        <w:tc>
          <w:tcPr>
            <w:tcW w:type="dxa" w:w="33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resultValidity[resultId]</w:t>
            </w:r>
          </w:p>
        </w:tc>
        <w:tc>
          <w:tcPr>
            <w:tcW w:type="dxa" w:w="21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是否可作当前有效引用、失效原因</w:t>
            </w:r>
          </w:p>
        </w:tc>
        <w:tc>
          <w:tcPr>
            <w:tcW w:type="dxa" w:w="38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变更时独立标记，不重写原报告金额</w:t>
            </w:r>
          </w:p>
        </w:tc>
      </w:tr>
      <w:tr>
        <w:trPr>
          <w:cantSplit/>
        </w:trPr>
        <w:tc>
          <w:tcPr>
            <w:tcW w:type="dxa" w:w="3334"/>
            <w:vAlign w:val="top"/>
            <w:tcMar>
              <w:top w:w="65" w:type="dxa"/>
              <w:bottom w:w="65" w:type="dxa"/>
              <w:left w:w="65" w:type="dxa"/>
              <w:right w:w="65" w:type="dxa"/>
            </w:tcMar>
          </w:tcPr>
          <w:p>
            <w:pPr>
              <w:spacing w:before="30" w:after="30" w:line="252" w:lineRule="auto"/>
            </w:pPr>
            <w:r>
              <w:rPr>
                <w:rFonts w:ascii="Arial" w:hAnsi="Arial" w:eastAsia="宋体"/>
                <w:b w:val="0"/>
                <w:i w:val="0"/>
                <w:sz w:val="19"/>
              </w:rPr>
              <w:t>unitPeriods[unitId:month]</w:t>
            </w:r>
          </w:p>
        </w:tc>
        <w:tc>
          <w:tcPr>
            <w:tcW w:type="dxa" w:w="2196"/>
            <w:vAlign w:val="top"/>
            <w:tcMar>
              <w:top w:w="65" w:type="dxa"/>
              <w:bottom w:w="65" w:type="dxa"/>
              <w:left w:w="65" w:type="dxa"/>
              <w:right w:w="65" w:type="dxa"/>
            </w:tcMar>
          </w:tcPr>
          <w:p>
            <w:pPr>
              <w:spacing w:before="30" w:after="30" w:line="252" w:lineRule="auto"/>
            </w:pPr>
            <w:r>
              <w:rPr>
                <w:rFonts w:ascii="Arial" w:hAnsi="Arial" w:eastAsia="宋体"/>
                <w:b w:val="0"/>
                <w:i w:val="0"/>
                <w:sz w:val="19"/>
              </w:rPr>
              <w:t>activeResultId、locked、重开信息</w:t>
            </w:r>
          </w:p>
        </w:tc>
        <w:tc>
          <w:tcPr>
            <w:tcW w:type="dxa" w:w="3876"/>
            <w:vAlign w:val="top"/>
            <w:tcMar>
              <w:top w:w="65" w:type="dxa"/>
              <w:bottom w:w="65" w:type="dxa"/>
              <w:left w:w="65" w:type="dxa"/>
              <w:right w:w="65" w:type="dxa"/>
            </w:tcMar>
          </w:tcPr>
          <w:p>
            <w:pPr>
              <w:spacing w:before="30" w:after="30" w:line="252" w:lineRule="auto"/>
            </w:pPr>
            <w:r>
              <w:rPr>
                <w:rFonts w:ascii="Arial" w:hAnsi="Arial" w:eastAsia="宋体"/>
                <w:b w:val="0"/>
                <w:i w:val="0"/>
                <w:sz w:val="19"/>
              </w:rPr>
              <w:t>切换当前指针及当前期间锁</w:t>
            </w:r>
          </w:p>
        </w:tc>
      </w:tr>
      <w:tr>
        <w:trPr>
          <w:cantSplit/>
        </w:trPr>
        <w:tc>
          <w:tcPr>
            <w:tcW w:type="dxa" w:w="33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budget</w:t>
            </w:r>
          </w:p>
        </w:tc>
        <w:tc>
          <w:tcPr>
            <w:tcW w:type="dxa" w:w="21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当前目标及完整版本、业务预算和调整申请</w:t>
            </w:r>
          </w:p>
        </w:tc>
        <w:tc>
          <w:tcPr>
            <w:tcW w:type="dxa" w:w="38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按预算动作及状态机修改</w:t>
            </w:r>
          </w:p>
        </w:tc>
      </w:tr>
      <w:tr>
        <w:trPr>
          <w:cantSplit/>
        </w:trPr>
        <w:tc>
          <w:tcPr>
            <w:tcW w:type="dxa" w:w="3334"/>
            <w:vAlign w:val="top"/>
            <w:tcMar>
              <w:top w:w="65" w:type="dxa"/>
              <w:bottom w:w="65" w:type="dxa"/>
              <w:left w:w="65" w:type="dxa"/>
              <w:right w:w="65" w:type="dxa"/>
            </w:tcMar>
          </w:tcPr>
          <w:p>
            <w:pPr>
              <w:spacing w:before="30" w:after="30" w:line="252" w:lineRule="auto"/>
            </w:pPr>
            <w:r>
              <w:rPr>
                <w:rFonts w:ascii="Arial" w:hAnsi="Arial" w:eastAsia="宋体"/>
                <w:b w:val="0"/>
                <w:i w:val="0"/>
                <w:sz w:val="19"/>
              </w:rPr>
              <w:t>commentaries[unitId:month]</w:t>
            </w:r>
          </w:p>
        </w:tc>
        <w:tc>
          <w:tcPr>
            <w:tcW w:type="dxa" w:w="2196"/>
            <w:vAlign w:val="top"/>
            <w:tcMar>
              <w:top w:w="65" w:type="dxa"/>
              <w:bottom w:w="65" w:type="dxa"/>
              <w:left w:w="65" w:type="dxa"/>
              <w:right w:w="65" w:type="dxa"/>
            </w:tcMar>
          </w:tcPr>
          <w:p>
            <w:pPr>
              <w:spacing w:before="30" w:after="30" w:line="252" w:lineRule="auto"/>
            </w:pPr>
            <w:r>
              <w:rPr>
                <w:rFonts w:ascii="Arial" w:hAnsi="Arial" w:eastAsia="宋体"/>
                <w:b w:val="0"/>
                <w:i w:val="0"/>
                <w:sz w:val="19"/>
              </w:rPr>
              <w:t>经营说明、更新时间和角色</w:t>
            </w:r>
          </w:p>
        </w:tc>
        <w:tc>
          <w:tcPr>
            <w:tcW w:type="dxa" w:w="3876"/>
            <w:vAlign w:val="top"/>
            <w:tcMar>
              <w:top w:w="65" w:type="dxa"/>
              <w:bottom w:w="65" w:type="dxa"/>
              <w:left w:w="65" w:type="dxa"/>
              <w:right w:w="65" w:type="dxa"/>
            </w:tcMar>
          </w:tcPr>
          <w:p>
            <w:pPr>
              <w:spacing w:before="30" w:after="30" w:line="252" w:lineRule="auto"/>
            </w:pPr>
            <w:r>
              <w:rPr>
                <w:rFonts w:ascii="Arial" w:hAnsi="Arial" w:eastAsia="宋体"/>
                <w:b w:val="0"/>
                <w:i w:val="0"/>
                <w:sz w:val="19"/>
              </w:rPr>
              <w:t>独立保存；不是合并利润金额补差</w:t>
            </w:r>
          </w:p>
        </w:tc>
      </w:tr>
    </w:tbl>
    <w:p>
      <w:pPr>
        <w:spacing w:after="40"/>
      </w:pPr>
    </w:p>
    <w:p>
      <w:pPr>
        <w:pStyle w:val="Heading2"/>
      </w:pPr>
      <w:bookmarkStart w:id="31" w:name="epm_31"/>
      <w:r>
        <w:rPr>
          <w:rFonts w:ascii="Arial" w:hAnsi="Arial" w:eastAsia="宋体"/>
          <w:b w:val="0"/>
          <w:i w:val="0"/>
        </w:rPr>
        <w:t>8.3 模式识别和旧账套保护</w:t>
      </w:r>
      <w:bookmarkEnd w:id="31"/>
    </w:p>
    <w:p>
      <w:r>
        <w:rPr>
          <w:rFonts w:ascii="Arial" w:hAnsi="Arial" w:eastAsia="宋体"/>
          <w:b w:val="0"/>
          <w:i w:val="0"/>
        </w:rPr>
        <w:t>Store对已存在文件先以只读方式识别schemaVersion=3和产品标识；不匹配时拒绝改写。新版默认目录TianyuanEPMVoucherDemo，旧多层Demo目录TianyuanEPMGroupDemo、旧中文Demo目录TianyuanEPMDemo和旧平台目录SelfDevelopedEPM保持独立。ERP版schema3不自动迁入这些旧库。本版没有通用数据迁移程序，不能通过手动复制旧库到新版目录或修改JSON产品名完成安全迁移。</w:t>
      </w:r>
    </w:p>
    <w:p>
      <w:pPr>
        <w:pStyle w:val="Heading1"/>
      </w:pPr>
      <w:bookmarkStart w:id="32" w:name="epm_32"/>
      <w:r>
        <w:rPr>
          <w:rFonts w:ascii="Arial" w:hAnsi="Arial" w:eastAsia="宋体"/>
          <w:b w:val="0"/>
          <w:i w:val="0"/>
        </w:rPr>
        <w:t>九、财务源报送与导入链</w:t>
      </w:r>
      <w:bookmarkEnd w:id="32"/>
    </w:p>
    <w:p>
      <w:pPr>
        <w:pStyle w:val="Heading2"/>
      </w:pPr>
      <w:bookmarkStart w:id="33" w:name="epm_33"/>
      <w:r>
        <w:rPr>
          <w:rFonts w:ascii="Arial" w:hAnsi="Arial" w:eastAsia="宋体"/>
          <w:b w:val="0"/>
          <w:i w:val="0"/>
        </w:rPr>
        <w:t>9.1 标准源模型</w:t>
      </w:r>
      <w:bookmarkEnd w:id="33"/>
    </w:p>
    <w:p>
      <w:r>
        <w:rPr>
          <w:rFonts w:ascii="Arial" w:hAnsi="Arial" w:eastAsia="宋体"/>
          <w:b w:val="0"/>
          <w:i w:val="0"/>
        </w:rPr>
        <w:t>每个法人每期保存以下数据区：期初资产负债opening、期末资产负债closing、累计损益profit、累计现金流cashflow、逐月损益monthlyProfit、逐月现金流monthlyCashflow、capitalMovement及equityHistory。金额单位为各法人本位币万元，USD为万美元。</w:t>
      </w:r>
    </w:p>
    <w:p>
      <w:r>
        <w:rPr>
          <w:rFonts w:ascii="Arial" w:hAnsi="Arial" w:eastAsia="宋体"/>
          <w:b w:val="0"/>
          <w:i w:val="0"/>
        </w:rPr>
        <w:t>源报表必须分别满足期初平衡、期末平衡、现金流勾稽和权益滚动。期末留存收益已含当期净利润，汇总时不得重复结转。现金流作为明确报送输入，不根据现金差额倒挤经营活动净额。月发生必须覆盖1至当前月，按字段求和等于累计区。</w:t>
      </w:r>
    </w:p>
    <w:p>
      <w:pPr>
        <w:pStyle w:val="Heading2"/>
      </w:pPr>
      <w:bookmarkStart w:id="34" w:name="epm_34"/>
      <w:r>
        <w:rPr>
          <w:rFonts w:ascii="Arial" w:hAnsi="Arial" w:eastAsia="宋体"/>
          <w:b w:val="0"/>
          <w:i w:val="0"/>
        </w:rPr>
        <w:t>9.2 当前源校验边界</w:t>
      </w:r>
      <w:bookmarkEnd w:id="34"/>
    </w:p>
    <w:tbl>
      <w:tblPr>
        <w:tblStyle w:val="TableGrid"/>
        <w:tblW w:type="auto" w:w="0"/>
        <w:jc w:val="center"/>
        <w:tblLayout w:type="fixed"/>
        <w:tblLook w:firstColumn="1" w:firstRow="1" w:lastColumn="0" w:lastRow="0" w:noHBand="0" w:noVBand="1" w:val="04A0"/>
      </w:tblPr>
      <w:tblGrid>
        <w:gridCol w:w="1998"/>
        <w:gridCol w:w="7408"/>
      </w:tblGrid>
      <w:tr>
        <w:trPr>
          <w:cantSplit/>
          <w:tblHeader w:val="true"/>
        </w:trPr>
        <w:tc>
          <w:tcPr>
            <w:tcW w:type="dxa" w:w="199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类别</w:t>
            </w:r>
          </w:p>
        </w:tc>
        <w:tc>
          <w:tcPr>
            <w:tcW w:type="dxa" w:w="740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当前要求</w:t>
            </w:r>
          </w:p>
        </w:tc>
      </w:tr>
      <w:tr>
        <w:trPr>
          <w:cantSplit/>
        </w:trPr>
        <w:tc>
          <w:tcPr>
            <w:tcW w:type="dxa" w:w="1998"/>
            <w:vAlign w:val="top"/>
            <w:tcMar>
              <w:top w:w="65" w:type="dxa"/>
              <w:bottom w:w="65" w:type="dxa"/>
              <w:left w:w="65" w:type="dxa"/>
              <w:right w:w="65" w:type="dxa"/>
            </w:tcMar>
          </w:tcPr>
          <w:p>
            <w:pPr>
              <w:spacing w:before="30" w:after="30" w:line="252" w:lineRule="auto"/>
            </w:pPr>
            <w:r>
              <w:rPr>
                <w:rFonts w:ascii="Arial" w:hAnsi="Arial" w:eastAsia="宋体"/>
                <w:b w:val="0"/>
                <w:i w:val="0"/>
                <w:sz w:val="19"/>
              </w:rPr>
              <w:t>金额</w:t>
            </w:r>
          </w:p>
        </w:tc>
        <w:tc>
          <w:tcPr>
            <w:tcW w:type="dxa" w:w="7408"/>
            <w:vAlign w:val="top"/>
            <w:tcMar>
              <w:top w:w="65" w:type="dxa"/>
              <w:bottom w:w="65" w:type="dxa"/>
              <w:left w:w="65" w:type="dxa"/>
              <w:right w:w="65" w:type="dxa"/>
            </w:tcMar>
          </w:tcPr>
          <w:p>
            <w:pPr>
              <w:spacing w:before="30" w:after="30" w:line="252" w:lineRule="auto"/>
            </w:pPr>
            <w:r>
              <w:rPr>
                <w:rFonts w:ascii="Arial" w:hAnsi="Arial" w:eastAsia="宋体"/>
                <w:b w:val="0"/>
                <w:i w:val="0"/>
                <w:sz w:val="19"/>
              </w:rPr>
              <w:t>有效有限数字，财务报表金额最多6位小数（万元单位保留到分），绝对值不超过10^12；bool不算有效金额</w:t>
            </w:r>
          </w:p>
        </w:tc>
      </w:tr>
      <w:tr>
        <w:trPr>
          <w:cantSplit/>
        </w:trPr>
        <w:tc>
          <w:tcPr>
            <w:tcW w:type="dxa" w:w="19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币种</w:t>
            </w:r>
          </w:p>
        </w:tc>
        <w:tc>
          <w:tcPr>
            <w:tcW w:type="dxa" w:w="74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与法人记账本位币一致，已有报送的法人不能直接改币种重标历史</w:t>
            </w:r>
          </w:p>
        </w:tc>
      </w:tr>
      <w:tr>
        <w:trPr>
          <w:cantSplit/>
        </w:trPr>
        <w:tc>
          <w:tcPr>
            <w:tcW w:type="dxa" w:w="1998"/>
            <w:vAlign w:val="top"/>
            <w:tcMar>
              <w:top w:w="65" w:type="dxa"/>
              <w:bottom w:w="65" w:type="dxa"/>
              <w:left w:w="65" w:type="dxa"/>
              <w:right w:w="65" w:type="dxa"/>
            </w:tcMar>
          </w:tcPr>
          <w:p>
            <w:pPr>
              <w:spacing w:before="30" w:after="30" w:line="252" w:lineRule="auto"/>
            </w:pPr>
            <w:r>
              <w:rPr>
                <w:rFonts w:ascii="Arial" w:hAnsi="Arial" w:eastAsia="宋体"/>
                <w:b w:val="0"/>
                <w:i w:val="0"/>
                <w:sz w:val="19"/>
              </w:rPr>
              <w:t>期初/期末</w:t>
            </w:r>
          </w:p>
        </w:tc>
        <w:tc>
          <w:tcPr>
            <w:tcW w:type="dxa" w:w="7408"/>
            <w:vAlign w:val="top"/>
            <w:tcMar>
              <w:top w:w="65" w:type="dxa"/>
              <w:bottom w:w="65" w:type="dxa"/>
              <w:left w:w="65" w:type="dxa"/>
              <w:right w:w="65" w:type="dxa"/>
            </w:tcMar>
          </w:tcPr>
          <w:p>
            <w:pPr>
              <w:spacing w:before="30" w:after="30" w:line="252" w:lineRule="auto"/>
            </w:pPr>
            <w:r>
              <w:rPr>
                <w:rFonts w:ascii="Arial" w:hAnsi="Arial" w:eastAsia="宋体"/>
                <w:b w:val="0"/>
                <w:i w:val="0"/>
                <w:sz w:val="19"/>
              </w:rPr>
              <w:t>18项内置余额字段完整，禁止未知字段</w:t>
            </w:r>
          </w:p>
        </w:tc>
      </w:tr>
      <w:tr>
        <w:trPr>
          <w:cantSplit/>
        </w:trPr>
        <w:tc>
          <w:tcPr>
            <w:tcW w:type="dxa" w:w="19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损益</w:t>
            </w:r>
          </w:p>
        </w:tc>
        <w:tc>
          <w:tcPr>
            <w:tcW w:type="dxa" w:w="74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收入、成本、期间费用、财务费用、所得税5项；净利派生</w:t>
            </w:r>
          </w:p>
        </w:tc>
      </w:tr>
      <w:tr>
        <w:trPr>
          <w:cantSplit/>
        </w:trPr>
        <w:tc>
          <w:tcPr>
            <w:tcW w:type="dxa" w:w="1998"/>
            <w:vAlign w:val="top"/>
            <w:tcMar>
              <w:top w:w="65" w:type="dxa"/>
              <w:bottom w:w="65" w:type="dxa"/>
              <w:left w:w="65" w:type="dxa"/>
              <w:right w:w="65" w:type="dxa"/>
            </w:tcMar>
          </w:tcPr>
          <w:p>
            <w:pPr>
              <w:spacing w:before="30" w:after="30" w:line="252" w:lineRule="auto"/>
            </w:pPr>
            <w:r>
              <w:rPr>
                <w:rFonts w:ascii="Arial" w:hAnsi="Arial" w:eastAsia="宋体"/>
                <w:b w:val="0"/>
                <w:i w:val="0"/>
                <w:sz w:val="19"/>
              </w:rPr>
              <w:t>现金流</w:t>
            </w:r>
          </w:p>
        </w:tc>
        <w:tc>
          <w:tcPr>
            <w:tcW w:type="dxa" w:w="7408"/>
            <w:vAlign w:val="top"/>
            <w:tcMar>
              <w:top w:w="65" w:type="dxa"/>
              <w:bottom w:w="65" w:type="dxa"/>
              <w:left w:w="65" w:type="dxa"/>
              <w:right w:w="65" w:type="dxa"/>
            </w:tcMar>
          </w:tcPr>
          <w:p>
            <w:pPr>
              <w:spacing w:before="30" w:after="30" w:line="252" w:lineRule="auto"/>
            </w:pPr>
            <w:r>
              <w:rPr>
                <w:rFonts w:ascii="Arial" w:hAnsi="Arial" w:eastAsia="宋体"/>
                <w:b w:val="0"/>
                <w:i w:val="0"/>
                <w:sz w:val="19"/>
              </w:rPr>
              <w:t>经营、投资、筹资、现金汇率影响4项；本位币源fx必须0</w:t>
            </w:r>
          </w:p>
        </w:tc>
      </w:tr>
      <w:tr>
        <w:trPr>
          <w:cantSplit/>
        </w:trPr>
        <w:tc>
          <w:tcPr>
            <w:tcW w:type="dxa" w:w="19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月度</w:t>
            </w:r>
          </w:p>
        </w:tc>
        <w:tc>
          <w:tcPr>
            <w:tcW w:type="dxa" w:w="74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各月全部字段齐备、无未来月、无重复，合计与累计相同</w:t>
            </w:r>
          </w:p>
        </w:tc>
      </w:tr>
      <w:tr>
        <w:trPr>
          <w:cantSplit/>
        </w:trPr>
        <w:tc>
          <w:tcPr>
            <w:tcW w:type="dxa" w:w="1998"/>
            <w:vAlign w:val="top"/>
            <w:tcMar>
              <w:top w:w="65" w:type="dxa"/>
              <w:bottom w:w="65" w:type="dxa"/>
              <w:left w:w="65" w:type="dxa"/>
              <w:right w:w="65" w:type="dxa"/>
            </w:tcMar>
          </w:tcPr>
          <w:p>
            <w:pPr>
              <w:spacing w:before="30" w:after="30" w:line="252" w:lineRule="auto"/>
            </w:pPr>
            <w:r>
              <w:rPr>
                <w:rFonts w:ascii="Arial" w:hAnsi="Arial" w:eastAsia="宋体"/>
                <w:b w:val="0"/>
                <w:i w:val="0"/>
                <w:sz w:val="19"/>
              </w:rPr>
              <w:t>历史资本</w:t>
            </w:r>
          </w:p>
        </w:tc>
        <w:tc>
          <w:tcPr>
            <w:tcW w:type="dxa" w:w="7408"/>
            <w:vAlign w:val="top"/>
            <w:tcMar>
              <w:top w:w="65" w:type="dxa"/>
              <w:bottom w:w="65" w:type="dxa"/>
              <w:left w:w="65" w:type="dxa"/>
              <w:right w:w="65" w:type="dxa"/>
            </w:tcMar>
          </w:tcPr>
          <w:p>
            <w:pPr>
              <w:spacing w:before="30" w:after="30" w:line="252" w:lineRule="auto"/>
            </w:pPr>
            <w:r>
              <w:rPr>
                <w:rFonts w:ascii="Arial" w:hAnsi="Arial" w:eastAsia="宋体"/>
                <w:b w:val="0"/>
                <w:i w:val="0"/>
                <w:sz w:val="19"/>
              </w:rPr>
              <w:t>capitalByEntity仅当前法人，等于该法人期初及期末资本</w:t>
            </w:r>
          </w:p>
        </w:tc>
      </w:tr>
      <w:tr>
        <w:trPr>
          <w:cantSplit/>
        </w:trPr>
        <w:tc>
          <w:tcPr>
            <w:tcW w:type="dxa" w:w="19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期间权益</w:t>
            </w:r>
          </w:p>
        </w:tc>
        <w:tc>
          <w:tcPr>
            <w:tcW w:type="dxa" w:w="74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本轮capitalMovement=0、少数股东权益0、无分红；期末留存=期初留存+本期利润</w:t>
            </w:r>
          </w:p>
        </w:tc>
      </w:tr>
      <w:tr>
        <w:trPr>
          <w:cantSplit/>
        </w:trPr>
        <w:tc>
          <w:tcPr>
            <w:tcW w:type="dxa" w:w="1998"/>
            <w:vAlign w:val="top"/>
            <w:tcMar>
              <w:top w:w="65" w:type="dxa"/>
              <w:bottom w:w="65" w:type="dxa"/>
              <w:left w:w="65" w:type="dxa"/>
              <w:right w:w="65" w:type="dxa"/>
            </w:tcMar>
          </w:tcPr>
          <w:p>
            <w:pPr>
              <w:spacing w:before="30" w:after="30" w:line="252" w:lineRule="auto"/>
            </w:pPr>
            <w:r>
              <w:rPr>
                <w:rFonts w:ascii="Arial" w:hAnsi="Arial" w:eastAsia="宋体"/>
                <w:b w:val="0"/>
                <w:i w:val="0"/>
                <w:sz w:val="19"/>
              </w:rPr>
              <w:t>源CTA</w:t>
            </w:r>
          </w:p>
        </w:tc>
        <w:tc>
          <w:tcPr>
            <w:tcW w:type="dxa" w:w="7408"/>
            <w:vAlign w:val="top"/>
            <w:tcMar>
              <w:top w:w="65" w:type="dxa"/>
              <w:bottom w:w="65" w:type="dxa"/>
              <w:left w:w="65" w:type="dxa"/>
              <w:right w:w="65" w:type="dxa"/>
            </w:tcMar>
          </w:tcPr>
          <w:p>
            <w:pPr>
              <w:spacing w:before="30" w:after="30" w:line="252" w:lineRule="auto"/>
            </w:pPr>
            <w:r>
              <w:rPr>
                <w:rFonts w:ascii="Arial" w:hAnsi="Arial" w:eastAsia="宋体"/>
                <w:b w:val="0"/>
                <w:i w:val="0"/>
                <w:sz w:val="19"/>
              </w:rPr>
              <w:t>本位币源cta为0，由上卷财务折算独立产生</w:t>
            </w:r>
          </w:p>
        </w:tc>
      </w:tr>
      <w:tr>
        <w:trPr>
          <w:cantSplit/>
        </w:trPr>
        <w:tc>
          <w:tcPr>
            <w:tcW w:type="dxa" w:w="19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美元期初留存</w:t>
            </w:r>
          </w:p>
        </w:tc>
        <w:tc>
          <w:tcPr>
            <w:tcW w:type="dxa" w:w="74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非零时须提供已经确认的期初人民币留存余额，不能用期末率重算</w:t>
            </w:r>
          </w:p>
        </w:tc>
      </w:tr>
    </w:tbl>
    <w:p>
      <w:pPr>
        <w:spacing w:after="40"/>
      </w:pPr>
    </w:p>
    <w:p>
      <w:pPr>
        <w:pStyle w:val="Heading2"/>
      </w:pPr>
      <w:bookmarkStart w:id="35" w:name="epm_35"/>
      <w:r>
        <w:rPr>
          <w:rFonts w:ascii="Arial" w:hAnsi="Arial" w:eastAsia="宋体"/>
          <w:b w:val="0"/>
          <w:i w:val="0"/>
        </w:rPr>
        <w:t>9.3 中文表单与演示助手</w:t>
      </w:r>
      <w:bookmarkEnd w:id="35"/>
    </w:p>
    <w:p>
      <w:r>
        <w:rPr>
          <w:rFonts w:ascii="Arial" w:hAnsi="Arial" w:eastAsia="宋体"/>
          <w:b w:val="0"/>
          <w:i w:val="0"/>
        </w:rPr>
        <w:t>报送页面提供中文字段表单，助手可将一个明确的本月现金销售或现金费用变更同步填入相关累计、月发生、现金、留存和经营现金流字段。助手只填写表单，用户仍需核对并提交source_save；服务端再次验证完整源，不能把前端助手当成绕过三表规则的自动平衡引擎。</w:t>
      </w:r>
    </w:p>
    <w:p>
      <w:pPr>
        <w:pStyle w:val="Heading2"/>
      </w:pPr>
      <w:bookmarkStart w:id="36" w:name="epm_36"/>
      <w:r>
        <w:rPr>
          <w:rFonts w:ascii="Arial" w:hAnsi="Arial" w:eastAsia="宋体"/>
          <w:b w:val="0"/>
          <w:i w:val="0"/>
        </w:rPr>
        <w:t>9.4 完整CSV的处理</w:t>
      </w:r>
      <w:bookmarkEnd w:id="36"/>
    </w:p>
    <w:p>
      <w:r>
        <w:rPr>
          <w:rFonts w:ascii="Arial" w:hAnsi="Arial" w:eastAsia="宋体"/>
          <w:b w:val="0"/>
          <w:i w:val="0"/>
        </w:rPr>
        <w:t>表头固定为“法人编码,期间,数据区,项目编码,金额,月份”。UTF-8可带BOM。期间与context一致；累计区月份留空，月度区填写1至当前月。法人编码映射已存在法人；同一法人要给完整源，不能只上传一行增量或仅收入。</w:t>
      </w:r>
    </w:p>
    <w:p>
      <w:r>
        <w:rPr>
          <w:rFonts w:ascii="Arial" w:hAnsi="Arial" w:eastAsia="宋体"/>
          <w:b w:val="0"/>
          <w:i w:val="0"/>
        </w:rPr>
        <w:t>导入器先逐行解析、校验表头/列数、法人、期间、数据区/字段、金额和重复键，再建立每个法人的完整对象。所有受影响已签核范围须先重开。所有法人都通过校验后才一次更新sources和失效相关结果。任一行不通过，整批不写入。</w:t>
      </w:r>
    </w:p>
    <w:p>
      <w:r>
        <w:rPr>
          <w:rFonts w:ascii="Arial" w:hAnsi="Arial" w:eastAsia="宋体"/>
          <w:b w:val="0"/>
          <w:i w:val="0"/>
        </w:rPr>
        <w:t>旧五列试算接口tb_import仅是兼容入口，要求已存在本期完整源并保留明确现金流；与既有现金流不符时拒绝。它不能代替完整三表CSV，也不能估计现金流填平。</w:t>
      </w:r>
    </w:p>
    <w:p>
      <w:pPr>
        <w:pStyle w:val="Heading1"/>
      </w:pPr>
      <w:bookmarkStart w:id="37" w:name="epm_37"/>
      <w:r>
        <w:rPr>
          <w:rFonts w:ascii="Arial" w:hAnsi="Arial" w:eastAsia="宋体"/>
          <w:b w:val="0"/>
          <w:i w:val="0"/>
        </w:rPr>
        <w:t>十、分级合并与签核快照</w:t>
      </w:r>
      <w:bookmarkEnd w:id="37"/>
    </w:p>
    <w:p>
      <w:pPr>
        <w:pStyle w:val="Heading2"/>
      </w:pPr>
      <w:bookmarkStart w:id="38" w:name="epm_38"/>
      <w:r>
        <w:rPr>
          <w:rFonts w:ascii="Arial" w:hAnsi="Arial" w:eastAsia="宋体"/>
          <w:b w:val="0"/>
          <w:i w:val="0"/>
        </w:rPr>
        <w:t>10.1 正式计算的输入</w:t>
      </w:r>
      <w:bookmarkEnd w:id="38"/>
    </w:p>
    <w:p>
      <w:r>
        <w:rPr>
          <w:rFonts w:ascii="Arial" w:hAnsi="Arial" w:eastAsia="宋体"/>
          <w:b w:val="0"/>
          <w:i w:val="0"/>
        </w:rPr>
        <w:t>正式calculate_unit对每个直接成员分别处理：法人读取本期源版本；下级单元必须提供当前有效、已签核且同期间/同单元/同配置币种的结果。上级不会遇到缺失下级时自行递归汇总单体并假称已获批准。</w:t>
      </w:r>
    </w:p>
    <w:p>
      <w:r>
        <w:rPr>
          <w:rFonts w:ascii="Arial" w:hAnsi="Arial" w:eastAsia="宋体"/>
          <w:b w:val="0"/>
          <w:i w:val="0"/>
        </w:rPr>
        <w:t>严格模式还检查下级叶子、源版本、单元版本、实际汇率和抵销版本、四项勾稽及内容fingerprint。新增或撤销下级已审批抵销也使原下级依赖不再成立，不能只检查原快照已有的抵销ID。</w:t>
      </w:r>
    </w:p>
    <w:p>
      <w:pPr>
        <w:pStyle w:val="Heading2"/>
      </w:pPr>
      <w:bookmarkStart w:id="39" w:name="epm_39"/>
      <w:r>
        <w:rPr>
          <w:rFonts w:ascii="Arial" w:hAnsi="Arial" w:eastAsia="宋体"/>
          <w:b w:val="0"/>
          <w:i w:val="0"/>
        </w:rPr>
        <w:t>10.2 计算顺序</w:t>
      </w:r>
      <w:bookmarkEnd w:id="39"/>
    </w:p>
    <w:p>
      <w:pPr>
        <w:spacing w:before="0" w:after="0" w:line="240" w:lineRule="auto"/>
        <w:ind w:left="113"/>
        <w:shd w:fill="F4F6FA"/>
      </w:pPr>
      <w:r>
        <w:rPr>
          <w:rFonts w:ascii="Consolas" w:hAnsi="Consolas" w:eastAsia="宋体"/>
          <w:sz w:val="16"/>
        </w:rPr>
        <w:t>校验树与期间</w:t>
      </w:r>
    </w:p>
    <w:p>
      <w:pPr>
        <w:spacing w:before="0" w:after="0" w:line="240" w:lineRule="auto"/>
        <w:ind w:left="113"/>
        <w:shd w:fill="F4F6FA"/>
      </w:pPr>
      <w:r>
        <w:rPr>
          <w:rFonts w:ascii="Consolas" w:hAnsi="Consolas" w:eastAsia="宋体"/>
          <w:sz w:val="16"/>
        </w:rPr>
        <w:t xml:space="preserve"> → 检查直接法人源、下级有效签核及本层无未处理草稿</w:t>
      </w:r>
    </w:p>
    <w:p>
      <w:pPr>
        <w:spacing w:before="0" w:after="0" w:line="240" w:lineRule="auto"/>
        <w:ind w:left="113"/>
        <w:shd w:fill="F4F6FA"/>
      </w:pPr>
      <w:r>
        <w:rPr>
          <w:rFonts w:ascii="Consolas" w:hAnsi="Consolas" w:eastAsia="宋体"/>
          <w:sz w:val="16"/>
        </w:rPr>
        <w:t xml:space="preserve"> → 逐个读取本层输入</w:t>
      </w:r>
    </w:p>
    <w:p>
      <w:pPr>
        <w:spacing w:before="0" w:after="0" w:line="240" w:lineRule="auto"/>
        <w:ind w:left="113"/>
        <w:shd w:fill="F4F6FA"/>
      </w:pPr>
      <w:r>
        <w:rPr>
          <w:rFonts w:ascii="Consolas" w:hAnsi="Consolas" w:eastAsia="宋体"/>
          <w:sz w:val="16"/>
        </w:rPr>
        <w:t xml:space="preserve"> → 需要时按输入结果USD→本层CNY分类折算</w:t>
      </w:r>
    </w:p>
    <w:p>
      <w:pPr>
        <w:spacing w:before="0" w:after="0" w:line="240" w:lineRule="auto"/>
        <w:ind w:left="113"/>
        <w:shd w:fill="F4F6FA"/>
      </w:pPr>
      <w:r>
        <w:rPr>
          <w:rFonts w:ascii="Consolas" w:hAnsi="Consolas" w:eastAsia="宋体"/>
          <w:sz w:val="16"/>
        </w:rPr>
        <w:t xml:space="preserve"> → 检查叶子与继承抵销来源无重复</w:t>
      </w:r>
    </w:p>
    <w:p>
      <w:pPr>
        <w:spacing w:before="0" w:after="0" w:line="240" w:lineRule="auto"/>
        <w:ind w:left="113"/>
        <w:shd w:fill="F4F6FA"/>
      </w:pPr>
      <w:r>
        <w:rPr>
          <w:rFonts w:ascii="Consolas" w:hAnsi="Consolas" w:eastAsia="宋体"/>
          <w:sz w:val="16"/>
        </w:rPr>
        <w:t xml:space="preserve"> → 合并完整期初/期末/损益/现金流/月发生</w:t>
      </w:r>
    </w:p>
    <w:p>
      <w:pPr>
        <w:spacing w:before="0" w:after="0" w:line="240" w:lineRule="auto"/>
        <w:ind w:left="113"/>
        <w:shd w:fill="F4F6FA"/>
      </w:pPr>
      <w:r>
        <w:rPr>
          <w:rFonts w:ascii="Consolas" w:hAnsi="Consolas" w:eastAsia="宋体"/>
          <w:sz w:val="16"/>
        </w:rPr>
        <w:t xml:space="preserve"> → 应用本层已审批抵销及月度效果</w:t>
      </w:r>
    </w:p>
    <w:p>
      <w:pPr>
        <w:spacing w:before="0" w:after="0" w:line="240" w:lineRule="auto"/>
        <w:ind w:left="113"/>
        <w:shd w:fill="F4F6FA"/>
      </w:pPr>
      <w:r>
        <w:rPr>
          <w:rFonts w:ascii="Consolas" w:hAnsi="Consolas" w:eastAsia="宋体"/>
          <w:sz w:val="16"/>
        </w:rPr>
        <w:t xml:space="preserve"> → 四项会计勾稽</w:t>
      </w:r>
    </w:p>
    <w:p>
      <w:pPr>
        <w:spacing w:before="0" w:after="0" w:line="240" w:lineRule="auto"/>
        <w:ind w:left="113"/>
        <w:shd w:fill="F4F6FA"/>
      </w:pPr>
      <w:r>
        <w:rPr>
          <w:rFonts w:ascii="Consolas" w:hAnsi="Consolas" w:eastAsia="宋体"/>
          <w:sz w:val="16"/>
        </w:rPr>
        <w:t xml:space="preserve"> → 保存全新版本、输入快照及来源信息</w:t>
      </w:r>
    </w:p>
    <w:p>
      <w:pPr>
        <w:spacing w:before="0" w:after="0" w:line="240" w:lineRule="auto"/>
        <w:ind w:left="113"/>
        <w:shd w:fill="F4F6FA"/>
      </w:pPr>
      <w:r>
        <w:rPr>
          <w:rFonts w:ascii="Consolas" w:hAnsi="Consolas" w:eastAsia="宋体"/>
          <w:sz w:val="16"/>
        </w:rPr>
        <w:t xml:space="preserve"> → 用户核对后签核</w:t>
      </w:r>
    </w:p>
    <w:p>
      <w:pPr>
        <w:spacing w:after="20"/>
      </w:pPr>
    </w:p>
    <w:p>
      <w:r>
        <w:rPr>
          <w:rFonts w:ascii="Arial" w:hAnsi="Arial" w:eastAsia="宋体"/>
          <w:b w:val="0"/>
          <w:i w:val="0"/>
        </w:rPr>
        <w:t>纯计算模块只处理内存，没有数据库或会话副作用。领域run负责执行前置、调用计算器、补充留档、追加结果版本、维护active指针并将旧引用置失效。</w:t>
      </w:r>
    </w:p>
    <w:p>
      <w:pPr>
        <w:pStyle w:val="Heading2"/>
      </w:pPr>
      <w:bookmarkStart w:id="40" w:name="epm_40"/>
      <w:r>
        <w:rPr>
          <w:rFonts w:ascii="Arial" w:hAnsi="Arial" w:eastAsia="宋体"/>
          <w:b w:val="0"/>
          <w:i w:val="0"/>
        </w:rPr>
        <w:t>10.3 结果版本与快照字段</w:t>
      </w:r>
      <w:bookmarkEnd w:id="40"/>
    </w:p>
    <w:p>
      <w:r>
        <w:rPr>
          <w:rFonts w:ascii="Arial" w:hAnsi="Arial" w:eastAsia="宋体"/>
          <w:b w:val="0"/>
          <w:i w:val="0"/>
        </w:rPr>
        <w:t>结果ID形式为RES-单元ID-2026MM-V版本；同单元同期间版本递增。每次正式计算产生新版本，签核在该版本行增加批准信息并锁定当前单元；新版本不能覆盖旧版金额。</w:t>
      </w:r>
    </w:p>
    <w:tbl>
      <w:tblPr>
        <w:tblStyle w:val="TableGrid"/>
        <w:tblW w:type="auto" w:w="0"/>
        <w:jc w:val="center"/>
        <w:tblLayout w:type="fixed"/>
        <w:tblLook w:firstColumn="1" w:firstRow="1" w:lastColumn="0" w:lastRow="0" w:noHBand="0" w:noVBand="1" w:val="04A0"/>
      </w:tblPr>
      <w:tblGrid>
        <w:gridCol w:w="4788"/>
        <w:gridCol w:w="4618"/>
      </w:tblGrid>
      <w:tr>
        <w:trPr>
          <w:cantSplit/>
          <w:tblHeader w:val="true"/>
        </w:trPr>
        <w:tc>
          <w:tcPr>
            <w:tcW w:type="dxa" w:w="478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字段</w:t>
            </w:r>
          </w:p>
        </w:tc>
        <w:tc>
          <w:tcPr>
            <w:tcW w:type="dxa" w:w="461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技术目的</w:t>
            </w:r>
          </w:p>
        </w:tc>
      </w:tr>
      <w:tr>
        <w:trPr>
          <w:cantSplit/>
        </w:trPr>
        <w:tc>
          <w:tcPr>
            <w:tcW w:type="dxa" w:w="4788"/>
            <w:vAlign w:val="top"/>
            <w:tcMar>
              <w:top w:w="65" w:type="dxa"/>
              <w:bottom w:w="65" w:type="dxa"/>
              <w:left w:w="65" w:type="dxa"/>
              <w:right w:w="65" w:type="dxa"/>
            </w:tcMar>
          </w:tcPr>
          <w:p>
            <w:pPr>
              <w:spacing w:before="30" w:after="30" w:line="252" w:lineRule="auto"/>
            </w:pPr>
            <w:r>
              <w:rPr>
                <w:rFonts w:ascii="Arial" w:hAnsi="Arial" w:eastAsia="宋体"/>
                <w:b w:val="0"/>
                <w:i w:val="0"/>
                <w:sz w:val="19"/>
              </w:rPr>
              <w:t>id、unitId、month、version</w:t>
            </w:r>
          </w:p>
        </w:tc>
        <w:tc>
          <w:tcPr>
            <w:tcW w:type="dxa" w:w="4618"/>
            <w:vAlign w:val="top"/>
            <w:tcMar>
              <w:top w:w="65" w:type="dxa"/>
              <w:bottom w:w="65" w:type="dxa"/>
              <w:left w:w="65" w:type="dxa"/>
              <w:right w:w="65" w:type="dxa"/>
            </w:tcMar>
          </w:tcPr>
          <w:p>
            <w:pPr>
              <w:spacing w:before="30" w:after="30" w:line="252" w:lineRule="auto"/>
            </w:pPr>
            <w:r>
              <w:rPr>
                <w:rFonts w:ascii="Arial" w:hAnsi="Arial" w:eastAsia="宋体"/>
                <w:b w:val="0"/>
                <w:i w:val="0"/>
                <w:sz w:val="19"/>
              </w:rPr>
              <w:t>定位本次结果</w:t>
            </w:r>
          </w:p>
        </w:tc>
      </w:tr>
      <w:tr>
        <w:trPr>
          <w:cantSplit/>
        </w:trPr>
        <w:tc>
          <w:tcPr>
            <w:tcW w:type="dxa" w:w="47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origin、createdAt、approvalStatus、approvedAt、approvedBy</w:t>
            </w:r>
          </w:p>
        </w:tc>
        <w:tc>
          <w:tcPr>
            <w:tcW w:type="dxa" w:w="461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区分初始化/用户计算、计算与批准时间及演示职责</w:t>
            </w:r>
          </w:p>
        </w:tc>
      </w:tr>
      <w:tr>
        <w:trPr>
          <w:cantSplit/>
        </w:trPr>
        <w:tc>
          <w:tcPr>
            <w:tcW w:type="dxa" w:w="4788"/>
            <w:vAlign w:val="top"/>
            <w:tcMar>
              <w:top w:w="65" w:type="dxa"/>
              <w:bottom w:w="65" w:type="dxa"/>
              <w:left w:w="65" w:type="dxa"/>
              <w:right w:w="65" w:type="dxa"/>
            </w:tcMar>
          </w:tcPr>
          <w:p>
            <w:pPr>
              <w:spacing w:before="30" w:after="30" w:line="252" w:lineRule="auto"/>
            </w:pPr>
            <w:r>
              <w:rPr>
                <w:rFonts w:ascii="Arial" w:hAnsi="Arial" w:eastAsia="宋体"/>
                <w:b w:val="0"/>
                <w:i w:val="0"/>
                <w:sz w:val="19"/>
              </w:rPr>
              <w:t>snapshot.report、statement、checks</w:t>
            </w:r>
          </w:p>
        </w:tc>
        <w:tc>
          <w:tcPr>
            <w:tcW w:type="dxa" w:w="4618"/>
            <w:vAlign w:val="top"/>
            <w:tcMar>
              <w:top w:w="65" w:type="dxa"/>
              <w:bottom w:w="65" w:type="dxa"/>
              <w:left w:w="65" w:type="dxa"/>
              <w:right w:w="65" w:type="dxa"/>
            </w:tcMar>
          </w:tcPr>
          <w:p>
            <w:pPr>
              <w:spacing w:before="30" w:after="30" w:line="252" w:lineRule="auto"/>
            </w:pPr>
            <w:r>
              <w:rPr>
                <w:rFonts w:ascii="Arial" w:hAnsi="Arial" w:eastAsia="宋体"/>
                <w:b w:val="0"/>
                <w:i w:val="0"/>
                <w:sz w:val="19"/>
              </w:rPr>
              <w:t>标准三表、显示结构与勾稽值</w:t>
            </w:r>
          </w:p>
        </w:tc>
      </w:tr>
      <w:tr>
        <w:trPr>
          <w:cantSplit/>
        </w:trPr>
        <w:tc>
          <w:tcPr>
            <w:tcW w:type="dxa" w:w="47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inputs</w:t>
            </w:r>
          </w:p>
        </w:tc>
        <w:tc>
          <w:tcPr>
            <w:tcW w:type="dxa" w:w="461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直接输入类型、子结果ID/版本或法人源版本</w:t>
            </w:r>
          </w:p>
        </w:tc>
      </w:tr>
      <w:tr>
        <w:trPr>
          <w:cantSplit/>
        </w:trPr>
        <w:tc>
          <w:tcPr>
            <w:tcW w:type="dxa" w:w="4788"/>
            <w:vAlign w:val="top"/>
            <w:tcMar>
              <w:top w:w="65" w:type="dxa"/>
              <w:bottom w:w="65" w:type="dxa"/>
              <w:left w:w="65" w:type="dxa"/>
              <w:right w:w="65" w:type="dxa"/>
            </w:tcMar>
          </w:tcPr>
          <w:p>
            <w:pPr>
              <w:spacing w:before="30" w:after="30" w:line="252" w:lineRule="auto"/>
            </w:pPr>
            <w:r>
              <w:rPr>
                <w:rFonts w:ascii="Arial" w:hAnsi="Arial" w:eastAsia="宋体"/>
                <w:b w:val="0"/>
                <w:i w:val="0"/>
                <w:sz w:val="19"/>
              </w:rPr>
              <w:t>leafIds、eliminationIds</w:t>
            </w:r>
          </w:p>
        </w:tc>
        <w:tc>
          <w:tcPr>
            <w:tcW w:type="dxa" w:w="4618"/>
            <w:vAlign w:val="top"/>
            <w:tcMar>
              <w:top w:w="65" w:type="dxa"/>
              <w:bottom w:w="65" w:type="dxa"/>
              <w:left w:w="65" w:type="dxa"/>
              <w:right w:w="65" w:type="dxa"/>
            </w:tcMar>
          </w:tcPr>
          <w:p>
            <w:pPr>
              <w:spacing w:before="30" w:after="30" w:line="252" w:lineRule="auto"/>
            </w:pPr>
            <w:r>
              <w:rPr>
                <w:rFonts w:ascii="Arial" w:hAnsi="Arial" w:eastAsia="宋体"/>
                <w:b w:val="0"/>
                <w:i w:val="0"/>
                <w:sz w:val="19"/>
              </w:rPr>
              <w:t>底层法人唯一纳入、抵销来源继承去重</w:t>
            </w:r>
          </w:p>
        </w:tc>
      </w:tr>
      <w:tr>
        <w:trPr>
          <w:cantSplit/>
        </w:trPr>
        <w:tc>
          <w:tcPr>
            <w:tcW w:type="dxa" w:w="47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dependencies</w:t>
            </w:r>
          </w:p>
        </w:tc>
        <w:tc>
          <w:tcPr>
            <w:tcW w:type="dxa" w:w="461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源、单元、汇率、抵销及下级版本依赖</w:t>
            </w:r>
          </w:p>
        </w:tc>
      </w:tr>
      <w:tr>
        <w:trPr>
          <w:cantSplit/>
        </w:trPr>
        <w:tc>
          <w:tcPr>
            <w:tcW w:type="dxa" w:w="4788"/>
            <w:vAlign w:val="top"/>
            <w:tcMar>
              <w:top w:w="65" w:type="dxa"/>
              <w:bottom w:w="65" w:type="dxa"/>
              <w:left w:w="65" w:type="dxa"/>
              <w:right w:w="65" w:type="dxa"/>
            </w:tcMar>
          </w:tcPr>
          <w:p>
            <w:pPr>
              <w:spacing w:before="30" w:after="30" w:line="252" w:lineRule="auto"/>
            </w:pPr>
            <w:r>
              <w:rPr>
                <w:rFonts w:ascii="Arial" w:hAnsi="Arial" w:eastAsia="宋体"/>
                <w:b w:val="0"/>
                <w:i w:val="0"/>
                <w:sz w:val="19"/>
              </w:rPr>
              <w:t>sourceSnapshots、rateSnapshots、unitSnapshots</w:t>
            </w:r>
          </w:p>
        </w:tc>
        <w:tc>
          <w:tcPr>
            <w:tcW w:type="dxa" w:w="4618"/>
            <w:vAlign w:val="top"/>
            <w:tcMar>
              <w:top w:w="65" w:type="dxa"/>
              <w:bottom w:w="65" w:type="dxa"/>
              <w:left w:w="65" w:type="dxa"/>
              <w:right w:w="65" w:type="dxa"/>
            </w:tcMar>
          </w:tcPr>
          <w:p>
            <w:pPr>
              <w:spacing w:before="30" w:after="30" w:line="252" w:lineRule="auto"/>
            </w:pPr>
            <w:r>
              <w:rPr>
                <w:rFonts w:ascii="Arial" w:hAnsi="Arial" w:eastAsia="宋体"/>
                <w:b w:val="0"/>
                <w:i w:val="0"/>
                <w:sz w:val="19"/>
              </w:rPr>
              <w:t>当次完整源、适用汇率及配置留档</w:t>
            </w:r>
          </w:p>
        </w:tc>
      </w:tr>
      <w:tr>
        <w:trPr>
          <w:cantSplit/>
        </w:trPr>
        <w:tc>
          <w:tcPr>
            <w:tcW w:type="dxa" w:w="47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eliminationSnapshots、ownershipSnapshot</w:t>
            </w:r>
          </w:p>
        </w:tc>
        <w:tc>
          <w:tcPr>
            <w:tcW w:type="dxa" w:w="461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当次抵销及实际股权依据</w:t>
            </w:r>
          </w:p>
        </w:tc>
      </w:tr>
      <w:tr>
        <w:trPr>
          <w:cantSplit/>
        </w:trPr>
        <w:tc>
          <w:tcPr>
            <w:tcW w:type="dxa" w:w="4788"/>
            <w:vAlign w:val="top"/>
            <w:tcMar>
              <w:top w:w="65" w:type="dxa"/>
              <w:bottom w:w="65" w:type="dxa"/>
              <w:left w:w="65" w:type="dxa"/>
              <w:right w:w="65" w:type="dxa"/>
            </w:tcMar>
          </w:tcPr>
          <w:p>
            <w:pPr>
              <w:spacing w:before="30" w:after="30" w:line="252" w:lineRule="auto"/>
            </w:pPr>
            <w:r>
              <w:rPr>
                <w:rFonts w:ascii="Arial" w:hAnsi="Arial" w:eastAsia="宋体"/>
                <w:b w:val="0"/>
                <w:i w:val="0"/>
                <w:sz w:val="19"/>
              </w:rPr>
              <w:t>trace</w:t>
            </w:r>
          </w:p>
        </w:tc>
        <w:tc>
          <w:tcPr>
            <w:tcW w:type="dxa" w:w="4618"/>
            <w:vAlign w:val="top"/>
            <w:tcMar>
              <w:top w:w="65" w:type="dxa"/>
              <w:bottom w:w="65" w:type="dxa"/>
              <w:left w:w="65" w:type="dxa"/>
              <w:right w:w="65" w:type="dxa"/>
            </w:tcMar>
          </w:tcPr>
          <w:p>
            <w:pPr>
              <w:spacing w:before="30" w:after="30" w:line="252" w:lineRule="auto"/>
            </w:pPr>
            <w:r>
              <w:rPr>
                <w:rFonts w:ascii="Arial" w:hAnsi="Arial" w:eastAsia="宋体"/>
                <w:b w:val="0"/>
                <w:i w:val="0"/>
                <w:sz w:val="19"/>
              </w:rPr>
              <w:t>法人、继承/本层抵销、原币及折算证据</w:t>
            </w:r>
          </w:p>
        </w:tc>
      </w:tr>
      <w:tr>
        <w:trPr>
          <w:cantSplit/>
        </w:trPr>
        <w:tc>
          <w:tcPr>
            <w:tcW w:type="dxa" w:w="47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sourceInfo</w:t>
            </w:r>
          </w:p>
        </w:tc>
        <w:tc>
          <w:tcPr>
            <w:tcW w:type="dxa" w:w="461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产品、模式、引擎/模型版本及核心代码摘要</w:t>
            </w:r>
          </w:p>
        </w:tc>
      </w:tr>
      <w:tr>
        <w:trPr>
          <w:cantSplit/>
        </w:trPr>
        <w:tc>
          <w:tcPr>
            <w:tcW w:type="dxa" w:w="4788"/>
            <w:vAlign w:val="top"/>
            <w:tcMar>
              <w:top w:w="65" w:type="dxa"/>
              <w:bottom w:w="65" w:type="dxa"/>
              <w:left w:w="65" w:type="dxa"/>
              <w:right w:w="65" w:type="dxa"/>
            </w:tcMar>
          </w:tcPr>
          <w:p>
            <w:pPr>
              <w:spacing w:before="30" w:after="30" w:line="252" w:lineRule="auto"/>
            </w:pPr>
            <w:r>
              <w:rPr>
                <w:rFonts w:ascii="Arial" w:hAnsi="Arial" w:eastAsia="宋体"/>
                <w:b w:val="0"/>
                <w:i w:val="0"/>
                <w:sz w:val="19"/>
              </w:rPr>
              <w:t>fingerprint</w:t>
            </w:r>
          </w:p>
        </w:tc>
        <w:tc>
          <w:tcPr>
            <w:tcW w:type="dxa" w:w="4618"/>
            <w:vAlign w:val="top"/>
            <w:tcMar>
              <w:top w:w="65" w:type="dxa"/>
              <w:bottom w:w="65" w:type="dxa"/>
              <w:left w:w="65" w:type="dxa"/>
              <w:right w:w="65" w:type="dxa"/>
            </w:tcMar>
          </w:tcPr>
          <w:p>
            <w:pPr>
              <w:spacing w:before="30" w:after="30" w:line="252" w:lineRule="auto"/>
            </w:pPr>
            <w:r>
              <w:rPr>
                <w:rFonts w:ascii="Arial" w:hAnsi="Arial" w:eastAsia="宋体"/>
                <w:b w:val="0"/>
                <w:i w:val="0"/>
                <w:sz w:val="19"/>
              </w:rPr>
              <w:t>纯计算内容摘要：dependencies/report/leafIds/eliminationIds</w:t>
            </w:r>
          </w:p>
        </w:tc>
      </w:tr>
      <w:tr>
        <w:trPr>
          <w:cantSplit/>
        </w:trPr>
        <w:tc>
          <w:tcPr>
            <w:tcW w:type="dxa" w:w="47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inputFingerprint</w:t>
            </w:r>
          </w:p>
        </w:tc>
        <w:tc>
          <w:tcPr>
            <w:tcW w:type="dxa" w:w="461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领域输入摘要：签核前检查依赖仍与计算时相同</w:t>
            </w:r>
          </w:p>
        </w:tc>
      </w:tr>
      <w:tr>
        <w:trPr>
          <w:cantSplit/>
        </w:trPr>
        <w:tc>
          <w:tcPr>
            <w:tcW w:type="dxa" w:w="4788"/>
            <w:vAlign w:val="top"/>
            <w:tcMar>
              <w:top w:w="65" w:type="dxa"/>
              <w:bottom w:w="65" w:type="dxa"/>
              <w:left w:w="65" w:type="dxa"/>
              <w:right w:w="65" w:type="dxa"/>
            </w:tcMar>
          </w:tcPr>
          <w:p>
            <w:pPr>
              <w:spacing w:before="30" w:after="30" w:line="252" w:lineRule="auto"/>
            </w:pPr>
            <w:r>
              <w:rPr>
                <w:rFonts w:ascii="Arial" w:hAnsi="Arial" w:eastAsia="宋体"/>
                <w:b w:val="0"/>
                <w:i w:val="0"/>
                <w:sz w:val="19"/>
              </w:rPr>
              <w:t>snapshotHash</w:t>
            </w:r>
          </w:p>
        </w:tc>
        <w:tc>
          <w:tcPr>
            <w:tcW w:type="dxa" w:w="4618"/>
            <w:vAlign w:val="top"/>
            <w:tcMar>
              <w:top w:w="65" w:type="dxa"/>
              <w:bottom w:w="65" w:type="dxa"/>
              <w:left w:w="65" w:type="dxa"/>
              <w:right w:w="65" w:type="dxa"/>
            </w:tcMar>
          </w:tcPr>
          <w:p>
            <w:pPr>
              <w:spacing w:before="30" w:after="30" w:line="252" w:lineRule="auto"/>
            </w:pPr>
            <w:r>
              <w:rPr>
                <w:rFonts w:ascii="Arial" w:hAnsi="Arial" w:eastAsia="宋体"/>
                <w:b w:val="0"/>
                <w:i w:val="0"/>
                <w:sz w:val="19"/>
              </w:rPr>
              <w:t>完整计算留档JSON的摘要</w:t>
            </w:r>
          </w:p>
        </w:tc>
      </w:tr>
    </w:tbl>
    <w:p>
      <w:pPr>
        <w:spacing w:after="40"/>
      </w:pPr>
    </w:p>
    <w:p>
      <w:r>
        <w:rPr>
          <w:rFonts w:ascii="Arial" w:hAnsi="Arial" w:eastAsia="宋体"/>
          <w:b w:val="0"/>
          <w:i w:val="0"/>
        </w:rPr>
        <w:t>上述三个哈希目的不同，投影时不能互相覆盖。它们用于一致性和来源核对，不是外部电子签章或数据库防篡改服务。</w:t>
      </w:r>
    </w:p>
    <w:p>
      <w:pPr>
        <w:pStyle w:val="Heading2"/>
      </w:pPr>
      <w:bookmarkStart w:id="41" w:name="epm_41"/>
      <w:r>
        <w:rPr>
          <w:rFonts w:ascii="Arial" w:hAnsi="Arial" w:eastAsia="宋体"/>
          <w:b w:val="0"/>
          <w:i w:val="0"/>
        </w:rPr>
        <w:t>10.4 签核、重开和历史有效性</w:t>
      </w:r>
      <w:bookmarkEnd w:id="41"/>
    </w:p>
    <w:tbl>
      <w:tblPr>
        <w:tblStyle w:val="TableGrid"/>
        <w:tblW w:type="auto" w:w="0"/>
        <w:jc w:val="center"/>
        <w:tblLayout w:type="fixed"/>
        <w:tblLook w:firstColumn="1" w:firstRow="1" w:lastColumn="0" w:lastRow="0" w:noHBand="0" w:noVBand="1" w:val="04A0"/>
      </w:tblPr>
      <w:tblGrid>
        <w:gridCol w:w="1535"/>
        <w:gridCol w:w="4164"/>
        <w:gridCol w:w="3706"/>
      </w:tblGrid>
      <w:tr>
        <w:trPr>
          <w:cantSplit/>
          <w:tblHeader w:val="true"/>
        </w:trPr>
        <w:tc>
          <w:tcPr>
            <w:tcW w:type="dxa" w:w="153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动作</w:t>
            </w:r>
          </w:p>
        </w:tc>
        <w:tc>
          <w:tcPr>
            <w:tcW w:type="dxa" w:w="416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前置</w:t>
            </w:r>
          </w:p>
        </w:tc>
        <w:tc>
          <w:tcPr>
            <w:tcW w:type="dxa" w:w="370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结果</w:t>
            </w:r>
          </w:p>
        </w:tc>
      </w:tr>
      <w:tr>
        <w:trPr>
          <w:cantSplit/>
        </w:trPr>
        <w:tc>
          <w:tcPr>
            <w:tcW w:type="dxa" w:w="1535"/>
            <w:vAlign w:val="top"/>
            <w:tcMar>
              <w:top w:w="65" w:type="dxa"/>
              <w:bottom w:w="65" w:type="dxa"/>
              <w:left w:w="65" w:type="dxa"/>
              <w:right w:w="65" w:type="dxa"/>
            </w:tcMar>
          </w:tcPr>
          <w:p>
            <w:pPr>
              <w:spacing w:before="30" w:after="30" w:line="252" w:lineRule="auto"/>
            </w:pPr>
            <w:r>
              <w:rPr>
                <w:rFonts w:ascii="Arial" w:hAnsi="Arial" w:eastAsia="宋体"/>
                <w:b w:val="0"/>
                <w:i w:val="0"/>
                <w:sz w:val="19"/>
              </w:rPr>
              <w:t>计算新版本</w:t>
            </w:r>
          </w:p>
        </w:tc>
        <w:tc>
          <w:tcPr>
            <w:tcW w:type="dxa" w:w="4164"/>
            <w:vAlign w:val="top"/>
            <w:tcMar>
              <w:top w:w="65" w:type="dxa"/>
              <w:bottom w:w="65" w:type="dxa"/>
              <w:left w:w="65" w:type="dxa"/>
              <w:right w:w="65" w:type="dxa"/>
            </w:tcMar>
          </w:tcPr>
          <w:p>
            <w:pPr>
              <w:spacing w:before="30" w:after="30" w:line="252" w:lineRule="auto"/>
            </w:pPr>
            <w:r>
              <w:rPr>
                <w:rFonts w:ascii="Arial" w:hAnsi="Arial" w:eastAsia="宋体"/>
                <w:b w:val="0"/>
                <w:i w:val="0"/>
                <w:sz w:val="19"/>
              </w:rPr>
              <w:t>当前层开放，源及下级签核有效，无未处理本层草稿</w:t>
            </w:r>
          </w:p>
        </w:tc>
        <w:tc>
          <w:tcPr>
            <w:tcW w:type="dxa" w:w="3706"/>
            <w:vAlign w:val="top"/>
            <w:tcMar>
              <w:top w:w="65" w:type="dxa"/>
              <w:bottom w:w="65" w:type="dxa"/>
              <w:left w:w="65" w:type="dxa"/>
              <w:right w:w="65" w:type="dxa"/>
            </w:tcMar>
          </w:tcPr>
          <w:p>
            <w:pPr>
              <w:spacing w:before="30" w:after="30" w:line="252" w:lineRule="auto"/>
            </w:pPr>
            <w:r>
              <w:rPr>
                <w:rFonts w:ascii="Arial" w:hAnsi="Arial" w:eastAsia="宋体"/>
                <w:b w:val="0"/>
                <w:i w:val="0"/>
                <w:sz w:val="19"/>
              </w:rPr>
              <w:t>新增已计算结果，更新active，祖先旧引用失效</w:t>
            </w:r>
          </w:p>
        </w:tc>
      </w:tr>
      <w:tr>
        <w:trPr>
          <w:cantSplit/>
        </w:trPr>
        <w:tc>
          <w:tcPr>
            <w:tcW w:type="dxa" w:w="15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签核当前结果</w:t>
            </w:r>
          </w:p>
        </w:tc>
        <w:tc>
          <w:tcPr>
            <w:tcW w:type="dxa" w:w="416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结果为active、有效、已计算；输入摘要未变；四项校验及下级前置通过</w:t>
            </w:r>
          </w:p>
        </w:tc>
        <w:tc>
          <w:tcPr>
            <w:tcW w:type="dxa" w:w="37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approvalStatus=已签核，锁定本单元本期</w:t>
            </w:r>
          </w:p>
        </w:tc>
      </w:tr>
      <w:tr>
        <w:trPr>
          <w:cantSplit/>
        </w:trPr>
        <w:tc>
          <w:tcPr>
            <w:tcW w:type="dxa" w:w="1535"/>
            <w:vAlign w:val="top"/>
            <w:tcMar>
              <w:top w:w="65" w:type="dxa"/>
              <w:bottom w:w="65" w:type="dxa"/>
              <w:left w:w="65" w:type="dxa"/>
              <w:right w:w="65" w:type="dxa"/>
            </w:tcMar>
          </w:tcPr>
          <w:p>
            <w:pPr>
              <w:spacing w:before="30" w:after="30" w:line="252" w:lineRule="auto"/>
            </w:pPr>
            <w:r>
              <w:rPr>
                <w:rFonts w:ascii="Arial" w:hAnsi="Arial" w:eastAsia="宋体"/>
                <w:b w:val="0"/>
                <w:i w:val="0"/>
                <w:sz w:val="19"/>
              </w:rPr>
              <w:t>重新开启及祖先</w:t>
            </w:r>
          </w:p>
        </w:tc>
        <w:tc>
          <w:tcPr>
            <w:tcW w:type="dxa" w:w="4164"/>
            <w:vAlign w:val="top"/>
            <w:tcMar>
              <w:top w:w="65" w:type="dxa"/>
              <w:bottom w:w="65" w:type="dxa"/>
              <w:left w:w="65" w:type="dxa"/>
              <w:right w:w="65" w:type="dxa"/>
            </w:tcMar>
          </w:tcPr>
          <w:p>
            <w:pPr>
              <w:spacing w:before="30" w:after="30" w:line="252" w:lineRule="auto"/>
            </w:pPr>
            <w:r>
              <w:rPr>
                <w:rFonts w:ascii="Arial" w:hAnsi="Arial" w:eastAsia="宋体"/>
                <w:b w:val="0"/>
                <w:i w:val="0"/>
                <w:sz w:val="19"/>
              </w:rPr>
              <w:t>负责人、填写原因、cascade=true</w:t>
            </w:r>
          </w:p>
        </w:tc>
        <w:tc>
          <w:tcPr>
            <w:tcW w:type="dxa" w:w="3706"/>
            <w:vAlign w:val="top"/>
            <w:tcMar>
              <w:top w:w="65" w:type="dxa"/>
              <w:bottom w:w="65" w:type="dxa"/>
              <w:left w:w="65" w:type="dxa"/>
              <w:right w:w="65" w:type="dxa"/>
            </w:tcMar>
          </w:tcPr>
          <w:p>
            <w:pPr>
              <w:spacing w:before="30" w:after="30" w:line="252" w:lineRule="auto"/>
            </w:pPr>
            <w:r>
              <w:rPr>
                <w:rFonts w:ascii="Arial" w:hAnsi="Arial" w:eastAsia="宋体"/>
                <w:b w:val="0"/>
                <w:i w:val="0"/>
                <w:sz w:val="19"/>
              </w:rPr>
              <w:t>当前单元及祖先解锁并置旧结果失效，历史金额/原签核信息保留</w:t>
            </w:r>
          </w:p>
        </w:tc>
      </w:tr>
      <w:tr>
        <w:trPr>
          <w:cantSplit/>
        </w:trPr>
        <w:tc>
          <w:tcPr>
            <w:tcW w:type="dxa" w:w="15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修改源/抵销</w:t>
            </w:r>
          </w:p>
        </w:tc>
        <w:tc>
          <w:tcPr>
            <w:tcW w:type="dxa" w:w="416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所有相关已签核依赖已重开</w:t>
            </w:r>
          </w:p>
        </w:tc>
        <w:tc>
          <w:tcPr>
            <w:tcW w:type="dxa" w:w="37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更新版本，相关单元和祖先待重算</w:t>
            </w:r>
          </w:p>
        </w:tc>
      </w:tr>
      <w:tr>
        <w:trPr>
          <w:cantSplit/>
        </w:trPr>
        <w:tc>
          <w:tcPr>
            <w:tcW w:type="dxa" w:w="1535"/>
            <w:vAlign w:val="top"/>
            <w:tcMar>
              <w:top w:w="65" w:type="dxa"/>
              <w:bottom w:w="65" w:type="dxa"/>
              <w:left w:w="65" w:type="dxa"/>
              <w:right w:w="65" w:type="dxa"/>
            </w:tcMar>
          </w:tcPr>
          <w:p>
            <w:pPr>
              <w:spacing w:before="30" w:after="30" w:line="252" w:lineRule="auto"/>
            </w:pPr>
            <w:r>
              <w:rPr>
                <w:rFonts w:ascii="Arial" w:hAnsi="Arial" w:eastAsia="宋体"/>
                <w:b w:val="0"/>
                <w:i w:val="0"/>
                <w:sz w:val="19"/>
              </w:rPr>
              <w:t>发布新适用汇率</w:t>
            </w:r>
          </w:p>
        </w:tc>
        <w:tc>
          <w:tcPr>
            <w:tcW w:type="dxa" w:w="4164"/>
            <w:vAlign w:val="top"/>
            <w:tcMar>
              <w:top w:w="65" w:type="dxa"/>
              <w:bottom w:w="65" w:type="dxa"/>
              <w:left w:w="65" w:type="dxa"/>
              <w:right w:w="65" w:type="dxa"/>
            </w:tcMar>
          </w:tcPr>
          <w:p>
            <w:pPr>
              <w:spacing w:before="30" w:after="30" w:line="252" w:lineRule="auto"/>
            </w:pPr>
            <w:r>
              <w:rPr>
                <w:rFonts w:ascii="Arial" w:hAnsi="Arial" w:eastAsia="宋体"/>
                <w:b w:val="0"/>
                <w:i w:val="0"/>
                <w:sz w:val="19"/>
              </w:rPr>
              <w:t>负责人，分类率完整有效</w:t>
            </w:r>
          </w:p>
        </w:tc>
        <w:tc>
          <w:tcPr>
            <w:tcW w:type="dxa" w:w="3706"/>
            <w:vAlign w:val="top"/>
            <w:tcMar>
              <w:top w:w="65" w:type="dxa"/>
              <w:bottom w:w="65" w:type="dxa"/>
              <w:left w:w="65" w:type="dxa"/>
              <w:right w:w="65" w:type="dxa"/>
            </w:tcMar>
          </w:tcPr>
          <w:p>
            <w:pPr>
              <w:spacing w:before="30" w:after="30" w:line="252" w:lineRule="auto"/>
            </w:pPr>
            <w:r>
              <w:rPr>
                <w:rFonts w:ascii="Arial" w:hAnsi="Arial" w:eastAsia="宋体"/>
                <w:b w:val="0"/>
                <w:i w:val="0"/>
                <w:sz w:val="19"/>
              </w:rPr>
              <w:t>激活新版本，实际使用折算的相关层失效并解锁</w:t>
            </w:r>
          </w:p>
        </w:tc>
      </w:tr>
    </w:tbl>
    <w:p>
      <w:pPr>
        <w:spacing w:after="40"/>
      </w:pPr>
    </w:p>
    <w:p>
      <w:r>
        <w:rPr>
          <w:rFonts w:ascii="Arial" w:hAnsi="Arial" w:eastAsia="宋体"/>
          <w:b w:val="0"/>
          <w:i w:val="0"/>
        </w:rPr>
        <w:t>“历史已签核且已失效”是合法状态：表示当时的批准和金额保留，但不能继续作为当前有效输入。展示页面必须同时显示批准状态和有效性，不能只凭“已签核”绿色标识允许上卷。</w:t>
      </w:r>
    </w:p>
    <w:p>
      <w:pPr>
        <w:pStyle w:val="Heading1"/>
      </w:pPr>
      <w:bookmarkStart w:id="42" w:name="epm_42"/>
      <w:r>
        <w:rPr>
          <w:rFonts w:ascii="Arial" w:hAnsi="Arial" w:eastAsia="宋体"/>
          <w:b w:val="0"/>
          <w:i w:val="0"/>
        </w:rPr>
        <w:t>十一、分层抵销与真实投资边界</w:t>
      </w:r>
      <w:bookmarkEnd w:id="42"/>
    </w:p>
    <w:p>
      <w:pPr>
        <w:pStyle w:val="Heading2"/>
      </w:pPr>
      <w:bookmarkStart w:id="43" w:name="epm_43"/>
      <w:r>
        <w:rPr>
          <w:rFonts w:ascii="Arial" w:hAnsi="Arial" w:eastAsia="宋体"/>
          <w:b w:val="0"/>
          <w:i w:val="0"/>
        </w:rPr>
        <w:t>11.1 内部销售抵销</w:t>
      </w:r>
      <w:bookmarkEnd w:id="43"/>
    </w:p>
    <w:p>
      <w:r>
        <w:rPr>
          <w:rFonts w:ascii="Arial" w:hAnsi="Arial" w:eastAsia="宋体"/>
          <w:b w:val="0"/>
          <w:i w:val="0"/>
        </w:rPr>
        <w:t>最低共同合并层是包含交易双方的最深共同管理单元。鸿旺内部销售在HW_GROUP处理；鸿旺与OTHER间交易在TY_GROUP处理。sourceId表示同一交易来源，本期不得在其他层再次配置同来源。上级继承下级已处理来源，只追加自己的本层事项。</w:t>
      </w:r>
    </w:p>
    <w:p>
      <w:r>
        <w:rPr>
          <w:rFonts w:ascii="Arial" w:hAnsi="Arial" w:eastAsia="宋体"/>
          <w:b w:val="0"/>
          <w:i w:val="0"/>
        </w:rPr>
        <w:t>手工基准销售示例为已结算内部交易，收入与成本等额减少，净利和现金流不因该抵销改变。ERP版新增按双方原凭证和期初辅助余额匹配的内部应收/应付抵销，见第十九章。若需库存未实现利润、内部股利、内部固定资产、递延税或跨期转回，应另建会计规则和源模型，不能仅复用此销售金额框。</w:t>
      </w:r>
    </w:p>
    <w:p>
      <w:pPr>
        <w:pStyle w:val="Heading2"/>
      </w:pPr>
      <w:bookmarkStart w:id="44" w:name="epm_44"/>
      <w:r>
        <w:rPr>
          <w:rFonts w:ascii="Arial" w:hAnsi="Arial" w:eastAsia="宋体"/>
          <w:b w:val="0"/>
          <w:i w:val="0"/>
        </w:rPr>
        <w:t>11.2 月度抵销</w:t>
      </w:r>
      <w:bookmarkEnd w:id="44"/>
    </w:p>
    <w:p>
      <w:r>
        <w:rPr>
          <w:rFonts w:ascii="Arial" w:hAnsi="Arial" w:eastAsia="宋体"/>
          <w:b w:val="0"/>
          <w:i w:val="0"/>
        </w:rPr>
        <w:t>monthlyAmounts存业务发生月分配，服务端生成monthlyEffects，累计必须与effects/amount一致。USD层上卷时先在各月抵销，再分别使用该月平均率；不能把历史累计抵销全部记到期末月，或按当期收入比例自动摊销。未传逐月分配的事项明确表示全部发生于当前月，不代表系统自动识别了真实交易月份。</w:t>
      </w:r>
    </w:p>
    <w:p>
      <w:r>
        <w:rPr>
          <w:rFonts w:ascii="Arial" w:hAnsi="Arial" w:eastAsia="宋体"/>
          <w:b w:val="0"/>
          <w:i w:val="0"/>
        </w:rPr>
        <w:t>独立专项示例：在独立手工源账套2期基线的法人源中先额外报送1月内部销售收入及对应成本4、2月5，并同步各法人的三表/月发生；再新增两月4/5抵销。1月平均率8、2月6，抵销后海外月收入分别11.12和11.10，折算合计155.56人民币万元。不能直接在未增加内部交易的基线上减9。当前纯函数复核记录见evidence/两月抵销文档金样复核.json；该案例用于捕捉错期，不冒称已在本版重跑旧ML专项的HTTP或浏览器验收。</w:t>
      </w:r>
    </w:p>
    <w:p>
      <w:pPr>
        <w:pStyle w:val="Heading2"/>
      </w:pPr>
      <w:bookmarkStart w:id="45" w:name="epm_45"/>
      <w:r>
        <w:rPr>
          <w:rFonts w:ascii="Arial" w:hAnsi="Arial" w:eastAsia="宋体"/>
          <w:b w:val="0"/>
          <w:i w:val="0"/>
        </w:rPr>
        <w:t>11.3 投资权益抵销</w:t>
      </w:r>
      <w:bookmarkEnd w:id="45"/>
    </w:p>
    <w:p>
      <w:r>
        <w:rPr>
          <w:rFonts w:ascii="Arial" w:hAnsi="Arial" w:eastAsia="宋体"/>
          <w:b w:val="0"/>
          <w:i w:val="0"/>
        </w:rPr>
        <w:t>本期初始TY对子公司投资950。投资抵销保留investmentPairs中的真实母子法人、子公司原币资本及本层币种投资，逐项核对子源期初/期末资本、100%持股、历史率，核对母投资总额，并在期初/期末等额消除投资与资本。国内资本300加海外历史资本650，合计950。</w:t>
      </w:r>
    </w:p>
    <w:p>
      <w:r>
        <w:rPr>
          <w:rFonts w:ascii="Arial" w:hAnsi="Arial" w:eastAsia="宋体"/>
          <w:b w:val="0"/>
          <w:i w:val="0"/>
        </w:rPr>
        <w:t>本版公开维护使用统一资本历史率。investmentPairs是本次抵销配对，不是按每家被投资法人独立维护的原始投资账簿。不同历史收购批次、商誉/差额、部分投资账面分摊、少数股东和复杂权益事件尚需正式研发，不能用CTA或利润把差额补平。</w:t>
      </w:r>
    </w:p>
    <w:p>
      <w:pPr>
        <w:pStyle w:val="Heading2"/>
      </w:pPr>
      <w:bookmarkStart w:id="46" w:name="epm_46"/>
      <w:r>
        <w:rPr>
          <w:rFonts w:ascii="Arial" w:hAnsi="Arial" w:eastAsia="宋体"/>
          <w:b w:val="0"/>
          <w:i w:val="0"/>
        </w:rPr>
        <w:t>11.4 草稿、审批和停用</w:t>
      </w:r>
      <w:bookmarkEnd w:id="46"/>
    </w:p>
    <w:p>
      <w:r>
        <w:rPr>
          <w:rFonts w:ascii="Arial" w:hAnsi="Arial" w:eastAsia="宋体"/>
          <w:b w:val="0"/>
          <w:i w:val="0"/>
        </w:rPr>
        <w:t>elimination_save保存草稿且使相关结果待重算；存在草稿时阻止形成新正式结果。负责人审批后才能纳入。误建或需撤回时，通过elimination_cancel填写原因停用，保留记录与历史快照；停用不再作为待审批事项阻止计算，也不删除原已签核结果中使用过的凭证依据。</w:t>
      </w:r>
    </w:p>
    <w:p>
      <w:pPr>
        <w:pStyle w:val="Heading1"/>
      </w:pPr>
      <w:bookmarkStart w:id="47" w:name="epm_47"/>
      <w:r>
        <w:rPr>
          <w:rFonts w:ascii="Arial" w:hAnsi="Arial" w:eastAsia="宋体"/>
          <w:b w:val="0"/>
          <w:i w:val="0"/>
        </w:rPr>
        <w:t>十二、美元财务报表分类折算</w:t>
      </w:r>
      <w:bookmarkEnd w:id="47"/>
    </w:p>
    <w:p>
      <w:pPr>
        <w:pStyle w:val="Heading2"/>
      </w:pPr>
      <w:bookmarkStart w:id="48" w:name="epm_48"/>
      <w:r>
        <w:rPr>
          <w:rFonts w:ascii="Arial" w:hAnsi="Arial" w:eastAsia="宋体"/>
          <w:b w:val="0"/>
          <w:i w:val="0"/>
        </w:rPr>
        <w:t>12.1 只在输入与本层报表币种不同时转换</w:t>
      </w:r>
      <w:bookmarkEnd w:id="48"/>
    </w:p>
    <w:p>
      <w:r>
        <w:rPr>
          <w:rFonts w:ascii="Arial" w:hAnsi="Arial" w:eastAsia="宋体"/>
          <w:b w:val="0"/>
          <w:i w:val="0"/>
        </w:rPr>
        <w:t>海外美元法人先在OS_GROUP以USD完成合并。集团需要CNY而该直接输入仍USD时，translate_result对整个已签核海外结果应用分类规则。若某下级已是CNY，上级同CNY直接汇总，不能再把其金额当USD乘一次。原币结果仍保留，翻译生成的是该上卷输入的CNY报告及证据。</w:t>
      </w:r>
    </w:p>
    <w:p>
      <w:r>
        <w:rPr>
          <w:rFonts w:ascii="Arial" w:hAnsi="Arial" w:eastAsia="宋体"/>
          <w:b w:val="0"/>
          <w:i w:val="0"/>
        </w:rPr>
        <w:t>报价统一为1 USD = 若干CNY；美元金额乘汇率。前端money只是格式化金额，不执行除以单一展示汇率的财务换算。</w:t>
      </w:r>
    </w:p>
    <w:p>
      <w:pPr>
        <w:pStyle w:val="Heading2"/>
      </w:pPr>
      <w:bookmarkStart w:id="49" w:name="epm_49"/>
      <w:r>
        <w:rPr>
          <w:rFonts w:ascii="Arial" w:hAnsi="Arial" w:eastAsia="宋体"/>
          <w:b w:val="0"/>
          <w:i w:val="0"/>
        </w:rPr>
        <w:t>12.2 分类率及计算公式</w:t>
      </w:r>
      <w:bookmarkEnd w:id="49"/>
    </w:p>
    <w:tbl>
      <w:tblPr>
        <w:tblStyle w:val="TableGrid"/>
        <w:tblW w:type="auto" w:w="0"/>
        <w:jc w:val="center"/>
        <w:tblLayout w:type="fixed"/>
        <w:tblLook w:firstColumn="1" w:firstRow="1" w:lastColumn="0" w:lastRow="0" w:noHBand="0" w:noVBand="1" w:val="04A0"/>
      </w:tblPr>
      <w:tblGrid>
        <w:gridCol w:w="3591"/>
        <w:gridCol w:w="5815"/>
      </w:tblGrid>
      <w:tr>
        <w:trPr>
          <w:cantSplit/>
          <w:tblHeader w:val="true"/>
        </w:trPr>
        <w:tc>
          <w:tcPr>
            <w:tcW w:type="dxa" w:w="359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项目</w:t>
            </w:r>
          </w:p>
        </w:tc>
        <w:tc>
          <w:tcPr>
            <w:tcW w:type="dxa" w:w="581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当前计算规则</w:t>
            </w:r>
          </w:p>
        </w:tc>
      </w:tr>
      <w:tr>
        <w:trPr>
          <w:cantSplit/>
        </w:trPr>
        <w:tc>
          <w:tcPr>
            <w:tcW w:type="dxa" w:w="3591"/>
            <w:vAlign w:val="top"/>
            <w:tcMar>
              <w:top w:w="65" w:type="dxa"/>
              <w:bottom w:w="65" w:type="dxa"/>
              <w:left w:w="65" w:type="dxa"/>
              <w:right w:w="65" w:type="dxa"/>
            </w:tcMar>
          </w:tcPr>
          <w:p>
            <w:pPr>
              <w:spacing w:before="30" w:after="30" w:line="252" w:lineRule="auto"/>
            </w:pPr>
            <w:r>
              <w:rPr>
                <w:rFonts w:ascii="Arial" w:hAnsi="Arial" w:eastAsia="宋体"/>
                <w:b w:val="0"/>
                <w:i w:val="0"/>
                <w:sz w:val="19"/>
              </w:rPr>
              <w:t>期初资产/负债</w:t>
            </w:r>
          </w:p>
        </w:tc>
        <w:tc>
          <w:tcPr>
            <w:tcW w:type="dxa" w:w="5815"/>
            <w:vAlign w:val="top"/>
            <w:tcMar>
              <w:top w:w="65" w:type="dxa"/>
              <w:bottom w:w="65" w:type="dxa"/>
              <w:left w:w="65" w:type="dxa"/>
              <w:right w:w="65" w:type="dxa"/>
            </w:tcMar>
          </w:tcPr>
          <w:p>
            <w:pPr>
              <w:spacing w:before="30" w:after="30" w:line="252" w:lineRule="auto"/>
            </w:pPr>
            <w:r>
              <w:rPr>
                <w:rFonts w:ascii="Arial" w:hAnsi="Arial" w:eastAsia="宋体"/>
                <w:b w:val="0"/>
                <w:i w:val="0"/>
                <w:sz w:val="19"/>
              </w:rPr>
              <w:t>原币期初余额×opening</w:t>
            </w:r>
          </w:p>
        </w:tc>
      </w:tr>
      <w:tr>
        <w:trPr>
          <w:cantSplit/>
        </w:trPr>
        <w:tc>
          <w:tcPr>
            <w:tcW w:type="dxa" w:w="35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期末资产/负债</w:t>
            </w:r>
          </w:p>
        </w:tc>
        <w:tc>
          <w:tcPr>
            <w:tcW w:type="dxa" w:w="581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原币期末余额×closing</w:t>
            </w:r>
          </w:p>
        </w:tc>
      </w:tr>
      <w:tr>
        <w:trPr>
          <w:cantSplit/>
        </w:trPr>
        <w:tc>
          <w:tcPr>
            <w:tcW w:type="dxa" w:w="3591"/>
            <w:vAlign w:val="top"/>
            <w:tcMar>
              <w:top w:w="65" w:type="dxa"/>
              <w:bottom w:w="65" w:type="dxa"/>
              <w:left w:w="65" w:type="dxa"/>
              <w:right w:w="65" w:type="dxa"/>
            </w:tcMar>
          </w:tcPr>
          <w:p>
            <w:pPr>
              <w:spacing w:before="30" w:after="30" w:line="252" w:lineRule="auto"/>
            </w:pPr>
            <w:r>
              <w:rPr>
                <w:rFonts w:ascii="Arial" w:hAnsi="Arial" w:eastAsia="宋体"/>
                <w:b w:val="0"/>
                <w:i w:val="0"/>
                <w:sz w:val="19"/>
              </w:rPr>
              <w:t>各月收入、成本、费用、财务费用、税</w:t>
            </w:r>
          </w:p>
        </w:tc>
        <w:tc>
          <w:tcPr>
            <w:tcW w:type="dxa" w:w="5815"/>
            <w:vAlign w:val="top"/>
            <w:tcMar>
              <w:top w:w="65" w:type="dxa"/>
              <w:bottom w:w="65" w:type="dxa"/>
              <w:left w:w="65" w:type="dxa"/>
              <w:right w:w="65" w:type="dxa"/>
            </w:tcMar>
          </w:tcPr>
          <w:p>
            <w:pPr>
              <w:spacing w:before="30" w:after="30" w:line="252" w:lineRule="auto"/>
            </w:pPr>
            <w:r>
              <w:rPr>
                <w:rFonts w:ascii="Arial" w:hAnsi="Arial" w:eastAsia="宋体"/>
                <w:b w:val="0"/>
                <w:i w:val="0"/>
                <w:sz w:val="19"/>
              </w:rPr>
              <w:t>各月发生额×该月averages，按万元保留6位再累计</w:t>
            </w:r>
          </w:p>
        </w:tc>
      </w:tr>
      <w:tr>
        <w:trPr>
          <w:cantSplit/>
        </w:trPr>
        <w:tc>
          <w:tcPr>
            <w:tcW w:type="dxa" w:w="35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历史资本</w:t>
            </w:r>
          </w:p>
        </w:tc>
        <w:tc>
          <w:tcPr>
            <w:tcW w:type="dxa" w:w="581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按资本明细×适用历史率；公开接口提供统一historicalCapital</w:t>
            </w:r>
          </w:p>
        </w:tc>
      </w:tr>
      <w:tr>
        <w:trPr>
          <w:cantSplit/>
        </w:trPr>
        <w:tc>
          <w:tcPr>
            <w:tcW w:type="dxa" w:w="3591"/>
            <w:vAlign w:val="top"/>
            <w:tcMar>
              <w:top w:w="65" w:type="dxa"/>
              <w:bottom w:w="65" w:type="dxa"/>
              <w:left w:w="65" w:type="dxa"/>
              <w:right w:w="65" w:type="dxa"/>
            </w:tcMar>
          </w:tcPr>
          <w:p>
            <w:pPr>
              <w:spacing w:before="30" w:after="30" w:line="252" w:lineRule="auto"/>
            </w:pPr>
            <w:r>
              <w:rPr>
                <w:rFonts w:ascii="Arial" w:hAnsi="Arial" w:eastAsia="宋体"/>
                <w:b w:val="0"/>
                <w:i w:val="0"/>
                <w:sz w:val="19"/>
              </w:rPr>
              <w:t>期初留存收益</w:t>
            </w:r>
          </w:p>
        </w:tc>
        <w:tc>
          <w:tcPr>
            <w:tcW w:type="dxa" w:w="5815"/>
            <w:vAlign w:val="top"/>
            <w:tcMar>
              <w:top w:w="65" w:type="dxa"/>
              <w:bottom w:w="65" w:type="dxa"/>
              <w:left w:w="65" w:type="dxa"/>
              <w:right w:w="65" w:type="dxa"/>
            </w:tcMar>
          </w:tcPr>
          <w:p>
            <w:pPr>
              <w:spacing w:before="30" w:after="30" w:line="252" w:lineRule="auto"/>
            </w:pPr>
            <w:r>
              <w:rPr>
                <w:rFonts w:ascii="Arial" w:hAnsi="Arial" w:eastAsia="宋体"/>
                <w:b w:val="0"/>
                <w:i w:val="0"/>
                <w:sz w:val="19"/>
              </w:rPr>
              <w:t>已确认的openingRetainedCny；源期初留存非零时不可缺省</w:t>
            </w:r>
          </w:p>
        </w:tc>
      </w:tr>
      <w:tr>
        <w:trPr>
          <w:cantSplit/>
        </w:trPr>
        <w:tc>
          <w:tcPr>
            <w:tcW w:type="dxa" w:w="35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期末留存收益</w:t>
            </w:r>
          </w:p>
        </w:tc>
        <w:tc>
          <w:tcPr>
            <w:tcW w:type="dxa" w:w="581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确认期初人民币留存+逐月折算净利润</w:t>
            </w:r>
          </w:p>
        </w:tc>
      </w:tr>
      <w:tr>
        <w:trPr>
          <w:cantSplit/>
        </w:trPr>
        <w:tc>
          <w:tcPr>
            <w:tcW w:type="dxa" w:w="3591"/>
            <w:vAlign w:val="top"/>
            <w:tcMar>
              <w:top w:w="65" w:type="dxa"/>
              <w:bottom w:w="65" w:type="dxa"/>
              <w:left w:w="65" w:type="dxa"/>
              <w:right w:w="65" w:type="dxa"/>
            </w:tcMar>
          </w:tcPr>
          <w:p>
            <w:pPr>
              <w:spacing w:before="30" w:after="30" w:line="252" w:lineRule="auto"/>
            </w:pPr>
            <w:r>
              <w:rPr>
                <w:rFonts w:ascii="Arial" w:hAnsi="Arial" w:eastAsia="宋体"/>
                <w:b w:val="0"/>
                <w:i w:val="0"/>
                <w:sz w:val="19"/>
              </w:rPr>
              <w:t>折算差额CTA</w:t>
            </w:r>
          </w:p>
        </w:tc>
        <w:tc>
          <w:tcPr>
            <w:tcW w:type="dxa" w:w="5815"/>
            <w:vAlign w:val="top"/>
            <w:tcMar>
              <w:top w:w="65" w:type="dxa"/>
              <w:bottom w:w="65" w:type="dxa"/>
              <w:left w:w="65" w:type="dxa"/>
              <w:right w:w="65" w:type="dxa"/>
            </w:tcMar>
          </w:tcPr>
          <w:p>
            <w:pPr>
              <w:spacing w:before="30" w:after="30" w:line="252" w:lineRule="auto"/>
            </w:pPr>
            <w:r>
              <w:rPr>
                <w:rFonts w:ascii="Arial" w:hAnsi="Arial" w:eastAsia="宋体"/>
                <w:b w:val="0"/>
                <w:i w:val="0"/>
                <w:sz w:val="19"/>
              </w:rPr>
              <w:t>折算资产−折算负债−历史资本−人民币留存−其他已支持权益</w:t>
            </w:r>
          </w:p>
        </w:tc>
      </w:tr>
      <w:tr>
        <w:trPr>
          <w:cantSplit/>
        </w:trPr>
        <w:tc>
          <w:tcPr>
            <w:tcW w:type="dxa" w:w="35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经营/投资/筹资现金流</w:t>
            </w:r>
          </w:p>
        </w:tc>
        <w:tc>
          <w:tcPr>
            <w:tcW w:type="dxa" w:w="581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各月原币现金流×该月flowRates，按万元保留6位后累计</w:t>
            </w:r>
          </w:p>
        </w:tc>
      </w:tr>
      <w:tr>
        <w:trPr>
          <w:cantSplit/>
        </w:trPr>
        <w:tc>
          <w:tcPr>
            <w:tcW w:type="dxa" w:w="3591"/>
            <w:vAlign w:val="top"/>
            <w:tcMar>
              <w:top w:w="65" w:type="dxa"/>
              <w:bottom w:w="65" w:type="dxa"/>
              <w:left w:w="65" w:type="dxa"/>
              <w:right w:w="65" w:type="dxa"/>
            </w:tcMar>
          </w:tcPr>
          <w:p>
            <w:pPr>
              <w:spacing w:before="30" w:after="30" w:line="252" w:lineRule="auto"/>
            </w:pPr>
            <w:r>
              <w:rPr>
                <w:rFonts w:ascii="Arial" w:hAnsi="Arial" w:eastAsia="宋体"/>
                <w:b w:val="0"/>
                <w:i w:val="0"/>
                <w:sz w:val="19"/>
              </w:rPr>
              <w:t>现金汇率影响</w:t>
            </w:r>
          </w:p>
        </w:tc>
        <w:tc>
          <w:tcPr>
            <w:tcW w:type="dxa" w:w="5815"/>
            <w:vAlign w:val="top"/>
            <w:tcMar>
              <w:top w:w="65" w:type="dxa"/>
              <w:bottom w:w="65" w:type="dxa"/>
              <w:left w:w="65" w:type="dxa"/>
              <w:right w:w="65" w:type="dxa"/>
            </w:tcMar>
          </w:tcPr>
          <w:p>
            <w:pPr>
              <w:spacing w:before="30" w:after="30" w:line="252" w:lineRule="auto"/>
            </w:pPr>
            <w:r>
              <w:rPr>
                <w:rFonts w:ascii="Arial" w:hAnsi="Arial" w:eastAsia="宋体"/>
                <w:b w:val="0"/>
                <w:i w:val="0"/>
                <w:sz w:val="19"/>
              </w:rPr>
              <w:t>折算期末现金−折算期初现金−折算经营/投资/筹资现金流</w:t>
            </w:r>
          </w:p>
        </w:tc>
      </w:tr>
    </w:tbl>
    <w:p>
      <w:pPr>
        <w:spacing w:after="40"/>
      </w:pPr>
    </w:p>
    <w:p>
      <w:r>
        <w:rPr>
          <w:rFonts w:ascii="Arial" w:hAnsi="Arial" w:eastAsia="宋体"/>
          <w:b w:val="0"/>
          <w:i w:val="0"/>
        </w:rPr>
        <w:t>财务金额采用Decimal十进制及ROUND_HALF_UP，万元单位最多6位小数等于本币0.01元。原始凭证本币金额以两位小数字符串保存，不先四舍五入为0.01万元。JSON报表对外为数值，num额外验证浮点回转后仍保持相同分值，无法保持时拒绝；不要直接使用二进制浮点累计替代正式计算。汇率最多6位小数、正数且不超过1000000。预算域沿用独立的金额/量价校验，不应把财务凭证精度规则错误套成预算输入精度。逐月舍入后累计会与“累计原币×某个平均率”出现差异，应按实际规则核对。</w:t>
      </w:r>
    </w:p>
    <w:p>
      <w:pPr>
        <w:pStyle w:val="Heading2"/>
      </w:pPr>
      <w:bookmarkStart w:id="50" w:name="epm_50"/>
      <w:r>
        <w:rPr>
          <w:rFonts w:ascii="Arial" w:hAnsi="Arial" w:eastAsia="宋体"/>
          <w:b w:val="0"/>
          <w:i w:val="0"/>
        </w:rPr>
        <w:t>12.3 CTA与现金汇率影响的区别</w:t>
      </w:r>
      <w:bookmarkEnd w:id="50"/>
    </w:p>
    <w:p>
      <w:r>
        <w:rPr>
          <w:rFonts w:ascii="Arial" w:hAnsi="Arial" w:eastAsia="宋体"/>
          <w:b w:val="0"/>
          <w:i w:val="0"/>
        </w:rPr>
        <w:t>CTA是资产负债与历史权益按不同规则折算形成的权益项目；现金汇率影响是现金流量表独立调节项目。它们不互相替代，也不计入本例经营净利润。折算源必须先通过本位币三表与历史权益要求；不能接收一份本来不平的报表，再用CTA掩盖源差错。</w:t>
      </w:r>
    </w:p>
    <w:p>
      <w:r>
        <w:rPr>
          <w:rFonts w:ascii="Arial" w:hAnsi="Arial" w:eastAsia="宋体"/>
          <w:b w:val="0"/>
          <w:i w:val="0"/>
        </w:rPr>
        <w:t>当前累计现金汇率影响由期初至本期末现金算出，月度现金流中该FX调节归入当前报告月；本版没有为每个月建立独立期末资产负债来重建完整月度FX路径。年度内资本变动、分红及少数股东不在当前模型中。</w:t>
      </w:r>
    </w:p>
    <w:p>
      <w:pPr>
        <w:pStyle w:val="Heading2"/>
      </w:pPr>
      <w:bookmarkStart w:id="51" w:name="epm_51"/>
      <w:r>
        <w:rPr>
          <w:rFonts w:ascii="Arial" w:hAnsi="Arial" w:eastAsia="宋体"/>
          <w:b w:val="0"/>
          <w:i w:val="0"/>
        </w:rPr>
        <w:t>12.4 基准折算证据</w:t>
      </w:r>
      <w:bookmarkEnd w:id="51"/>
    </w:p>
    <w:tbl>
      <w:tblPr>
        <w:tblStyle w:val="TableGrid"/>
        <w:tblW w:type="auto" w:w="0"/>
        <w:jc w:val="center"/>
        <w:tblLayout w:type="fixed"/>
        <w:tblLook w:firstColumn="1" w:firstRow="1" w:lastColumn="0" w:lastRow="0" w:noHBand="0" w:noVBand="1" w:val="04A0"/>
      </w:tblPr>
      <w:tblGrid>
        <w:gridCol w:w="2072"/>
        <w:gridCol w:w="1938"/>
        <w:gridCol w:w="3459"/>
        <w:gridCol w:w="1938"/>
      </w:tblGrid>
      <w:tr>
        <w:trPr>
          <w:cantSplit/>
          <w:tblHeader w:val="true"/>
        </w:trPr>
        <w:tc>
          <w:tcPr>
            <w:tcW w:type="dxa" w:w="207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海外项目</w:t>
            </w:r>
          </w:p>
        </w:tc>
        <w:tc>
          <w:tcPr>
            <w:tcW w:type="dxa" w:w="193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USD</w:t>
            </w:r>
          </w:p>
        </w:tc>
        <w:tc>
          <w:tcPr>
            <w:tcW w:type="dxa" w:w="345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规则</w:t>
            </w:r>
          </w:p>
        </w:tc>
        <w:tc>
          <w:tcPr>
            <w:tcW w:type="dxa" w:w="193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CNY万元</w:t>
            </w:r>
          </w:p>
        </w:tc>
      </w:tr>
      <w:tr>
        <w:trPr>
          <w:cantSplit/>
        </w:trPr>
        <w:tc>
          <w:tcPr>
            <w:tcW w:type="dxa" w:w="2072"/>
            <w:vAlign w:val="top"/>
            <w:tcMar>
              <w:top w:w="65" w:type="dxa"/>
              <w:bottom w:w="65" w:type="dxa"/>
              <w:left w:w="65" w:type="dxa"/>
              <w:right w:w="65" w:type="dxa"/>
            </w:tcMar>
          </w:tcPr>
          <w:p>
            <w:pPr>
              <w:spacing w:before="30" w:after="30" w:line="252" w:lineRule="auto"/>
            </w:pPr>
            <w:r>
              <w:rPr>
                <w:rFonts w:ascii="Arial" w:hAnsi="Arial" w:eastAsia="宋体"/>
                <w:b w:val="0"/>
                <w:i w:val="0"/>
                <w:sz w:val="18"/>
              </w:rPr>
              <w:t>收入</w:t>
            </w:r>
          </w:p>
        </w:tc>
        <w:tc>
          <w:tcPr>
            <w:tcW w:type="dxa" w:w="1938"/>
            <w:vAlign w:val="top"/>
            <w:tcMar>
              <w:top w:w="65" w:type="dxa"/>
              <w:bottom w:w="65" w:type="dxa"/>
              <w:left w:w="65" w:type="dxa"/>
              <w:right w:w="65" w:type="dxa"/>
            </w:tcMar>
          </w:tcPr>
          <w:p>
            <w:pPr>
              <w:spacing w:before="30" w:after="30" w:line="252" w:lineRule="auto"/>
            </w:pPr>
            <w:r>
              <w:rPr>
                <w:rFonts w:ascii="Arial" w:hAnsi="Arial" w:eastAsia="宋体"/>
                <w:b w:val="0"/>
                <w:i w:val="0"/>
                <w:sz w:val="18"/>
              </w:rPr>
              <w:t>100</w:t>
            </w:r>
          </w:p>
        </w:tc>
        <w:tc>
          <w:tcPr>
            <w:tcW w:type="dxa" w:w="3459"/>
            <w:vAlign w:val="top"/>
            <w:tcMar>
              <w:top w:w="65" w:type="dxa"/>
              <w:bottom w:w="65" w:type="dxa"/>
              <w:left w:w="65" w:type="dxa"/>
              <w:right w:w="65" w:type="dxa"/>
            </w:tcMar>
          </w:tcPr>
          <w:p>
            <w:pPr>
              <w:spacing w:before="30" w:after="30" w:line="252" w:lineRule="auto"/>
            </w:pPr>
            <w:r>
              <w:rPr>
                <w:rFonts w:ascii="Arial" w:hAnsi="Arial" w:eastAsia="宋体"/>
                <w:b w:val="0"/>
                <w:i w:val="0"/>
                <w:sz w:val="18"/>
              </w:rPr>
              <w:t>各月平均率7.0</w:t>
            </w:r>
          </w:p>
        </w:tc>
        <w:tc>
          <w:tcPr>
            <w:tcW w:type="dxa" w:w="1938"/>
            <w:vAlign w:val="top"/>
            <w:tcMar>
              <w:top w:w="65" w:type="dxa"/>
              <w:bottom w:w="65" w:type="dxa"/>
              <w:left w:w="65" w:type="dxa"/>
              <w:right w:w="65" w:type="dxa"/>
            </w:tcMar>
          </w:tcPr>
          <w:p>
            <w:pPr>
              <w:spacing w:before="30" w:after="30" w:line="252" w:lineRule="auto"/>
            </w:pPr>
            <w:r>
              <w:rPr>
                <w:rFonts w:ascii="Arial" w:hAnsi="Arial" w:eastAsia="宋体"/>
                <w:b w:val="0"/>
                <w:i w:val="0"/>
                <w:sz w:val="18"/>
              </w:rPr>
              <w:t>700</w:t>
            </w:r>
          </w:p>
        </w:tc>
      </w:tr>
      <w:tr>
        <w:trPr>
          <w:cantSplit/>
        </w:trPr>
        <w:tc>
          <w:tcPr>
            <w:tcW w:type="dxa" w:w="20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费用</w:t>
            </w:r>
          </w:p>
        </w:tc>
        <w:tc>
          <w:tcPr>
            <w:tcW w:type="dxa" w:w="19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80</w:t>
            </w:r>
          </w:p>
        </w:tc>
        <w:tc>
          <w:tcPr>
            <w:tcW w:type="dxa" w:w="34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各月平均率7.0</w:t>
            </w:r>
          </w:p>
        </w:tc>
        <w:tc>
          <w:tcPr>
            <w:tcW w:type="dxa" w:w="19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560</w:t>
            </w:r>
          </w:p>
        </w:tc>
      </w:tr>
      <w:tr>
        <w:trPr>
          <w:cantSplit/>
        </w:trPr>
        <w:tc>
          <w:tcPr>
            <w:tcW w:type="dxa" w:w="2072"/>
            <w:vAlign w:val="top"/>
            <w:tcMar>
              <w:top w:w="65" w:type="dxa"/>
              <w:bottom w:w="65" w:type="dxa"/>
              <w:left w:w="65" w:type="dxa"/>
              <w:right w:w="65" w:type="dxa"/>
            </w:tcMar>
          </w:tcPr>
          <w:p>
            <w:pPr>
              <w:spacing w:before="30" w:after="30" w:line="252" w:lineRule="auto"/>
            </w:pPr>
            <w:r>
              <w:rPr>
                <w:rFonts w:ascii="Arial" w:hAnsi="Arial" w:eastAsia="宋体"/>
                <w:b w:val="0"/>
                <w:i w:val="0"/>
                <w:sz w:val="18"/>
              </w:rPr>
              <w:t>净利润</w:t>
            </w:r>
          </w:p>
        </w:tc>
        <w:tc>
          <w:tcPr>
            <w:tcW w:type="dxa" w:w="1938"/>
            <w:vAlign w:val="top"/>
            <w:tcMar>
              <w:top w:w="65" w:type="dxa"/>
              <w:bottom w:w="65" w:type="dxa"/>
              <w:left w:w="65" w:type="dxa"/>
              <w:right w:w="65" w:type="dxa"/>
            </w:tcMar>
          </w:tcPr>
          <w:p>
            <w:pPr>
              <w:spacing w:before="30" w:after="30" w:line="252" w:lineRule="auto"/>
            </w:pPr>
            <w:r>
              <w:rPr>
                <w:rFonts w:ascii="Arial" w:hAnsi="Arial" w:eastAsia="宋体"/>
                <w:b w:val="0"/>
                <w:i w:val="0"/>
                <w:sz w:val="18"/>
              </w:rPr>
              <w:t>20</w:t>
            </w:r>
          </w:p>
        </w:tc>
        <w:tc>
          <w:tcPr>
            <w:tcW w:type="dxa" w:w="3459"/>
            <w:vAlign w:val="top"/>
            <w:tcMar>
              <w:top w:w="65" w:type="dxa"/>
              <w:bottom w:w="65" w:type="dxa"/>
              <w:left w:w="65" w:type="dxa"/>
              <w:right w:w="65" w:type="dxa"/>
            </w:tcMar>
          </w:tcPr>
          <w:p>
            <w:pPr>
              <w:spacing w:before="30" w:after="30" w:line="252" w:lineRule="auto"/>
            </w:pPr>
            <w:r>
              <w:rPr>
                <w:rFonts w:ascii="Arial" w:hAnsi="Arial" w:eastAsia="宋体"/>
                <w:b w:val="0"/>
                <w:i w:val="0"/>
                <w:sz w:val="18"/>
              </w:rPr>
              <w:t>逐月折算损益派生</w:t>
            </w:r>
          </w:p>
        </w:tc>
        <w:tc>
          <w:tcPr>
            <w:tcW w:type="dxa" w:w="1938"/>
            <w:vAlign w:val="top"/>
            <w:tcMar>
              <w:top w:w="65" w:type="dxa"/>
              <w:bottom w:w="65" w:type="dxa"/>
              <w:left w:w="65" w:type="dxa"/>
              <w:right w:w="65" w:type="dxa"/>
            </w:tcMar>
          </w:tcPr>
          <w:p>
            <w:pPr>
              <w:spacing w:before="30" w:after="30" w:line="252" w:lineRule="auto"/>
            </w:pPr>
            <w:r>
              <w:rPr>
                <w:rFonts w:ascii="Arial" w:hAnsi="Arial" w:eastAsia="宋体"/>
                <w:b w:val="0"/>
                <w:i w:val="0"/>
                <w:sz w:val="18"/>
              </w:rPr>
              <w:t>140</w:t>
            </w:r>
          </w:p>
        </w:tc>
      </w:tr>
      <w:tr>
        <w:trPr>
          <w:cantSplit/>
        </w:trPr>
        <w:tc>
          <w:tcPr>
            <w:tcW w:type="dxa" w:w="20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期初现金/资本</w:t>
            </w:r>
          </w:p>
        </w:tc>
        <w:tc>
          <w:tcPr>
            <w:tcW w:type="dxa" w:w="19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100</w:t>
            </w:r>
          </w:p>
        </w:tc>
        <w:tc>
          <w:tcPr>
            <w:tcW w:type="dxa" w:w="34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期初/历史6.5</w:t>
            </w:r>
          </w:p>
        </w:tc>
        <w:tc>
          <w:tcPr>
            <w:tcW w:type="dxa" w:w="19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650</w:t>
            </w:r>
          </w:p>
        </w:tc>
      </w:tr>
      <w:tr>
        <w:trPr>
          <w:cantSplit/>
        </w:trPr>
        <w:tc>
          <w:tcPr>
            <w:tcW w:type="dxa" w:w="2072"/>
            <w:vAlign w:val="top"/>
            <w:tcMar>
              <w:top w:w="65" w:type="dxa"/>
              <w:bottom w:w="65" w:type="dxa"/>
              <w:left w:w="65" w:type="dxa"/>
              <w:right w:w="65" w:type="dxa"/>
            </w:tcMar>
          </w:tcPr>
          <w:p>
            <w:pPr>
              <w:spacing w:before="30" w:after="30" w:line="252" w:lineRule="auto"/>
            </w:pPr>
            <w:r>
              <w:rPr>
                <w:rFonts w:ascii="Arial" w:hAnsi="Arial" w:eastAsia="宋体"/>
                <w:b w:val="0"/>
                <w:i w:val="0"/>
                <w:sz w:val="18"/>
              </w:rPr>
              <w:t>期末现金/资产</w:t>
            </w:r>
          </w:p>
        </w:tc>
        <w:tc>
          <w:tcPr>
            <w:tcW w:type="dxa" w:w="1938"/>
            <w:vAlign w:val="top"/>
            <w:tcMar>
              <w:top w:w="65" w:type="dxa"/>
              <w:bottom w:w="65" w:type="dxa"/>
              <w:left w:w="65" w:type="dxa"/>
              <w:right w:w="65" w:type="dxa"/>
            </w:tcMar>
          </w:tcPr>
          <w:p>
            <w:pPr>
              <w:spacing w:before="30" w:after="30" w:line="252" w:lineRule="auto"/>
            </w:pPr>
            <w:r>
              <w:rPr>
                <w:rFonts w:ascii="Arial" w:hAnsi="Arial" w:eastAsia="宋体"/>
                <w:b w:val="0"/>
                <w:i w:val="0"/>
                <w:sz w:val="18"/>
              </w:rPr>
              <w:t>200</w:t>
            </w:r>
          </w:p>
        </w:tc>
        <w:tc>
          <w:tcPr>
            <w:tcW w:type="dxa" w:w="3459"/>
            <w:vAlign w:val="top"/>
            <w:tcMar>
              <w:top w:w="65" w:type="dxa"/>
              <w:bottom w:w="65" w:type="dxa"/>
              <w:left w:w="65" w:type="dxa"/>
              <w:right w:w="65" w:type="dxa"/>
            </w:tcMar>
          </w:tcPr>
          <w:p>
            <w:pPr>
              <w:spacing w:before="30" w:after="30" w:line="252" w:lineRule="auto"/>
            </w:pPr>
            <w:r>
              <w:rPr>
                <w:rFonts w:ascii="Arial" w:hAnsi="Arial" w:eastAsia="宋体"/>
                <w:b w:val="0"/>
                <w:i w:val="0"/>
                <w:sz w:val="18"/>
              </w:rPr>
              <w:t>期末7.2</w:t>
            </w:r>
          </w:p>
        </w:tc>
        <w:tc>
          <w:tcPr>
            <w:tcW w:type="dxa" w:w="1938"/>
            <w:vAlign w:val="top"/>
            <w:tcMar>
              <w:top w:w="65" w:type="dxa"/>
              <w:bottom w:w="65" w:type="dxa"/>
              <w:left w:w="65" w:type="dxa"/>
              <w:right w:w="65" w:type="dxa"/>
            </w:tcMar>
          </w:tcPr>
          <w:p>
            <w:pPr>
              <w:spacing w:before="30" w:after="30" w:line="252" w:lineRule="auto"/>
            </w:pPr>
            <w:r>
              <w:rPr>
                <w:rFonts w:ascii="Arial" w:hAnsi="Arial" w:eastAsia="宋体"/>
                <w:b w:val="0"/>
                <w:i w:val="0"/>
                <w:sz w:val="18"/>
              </w:rPr>
              <w:t>1440</w:t>
            </w:r>
          </w:p>
        </w:tc>
      </w:tr>
      <w:tr>
        <w:trPr>
          <w:cantSplit/>
        </w:trPr>
        <w:tc>
          <w:tcPr>
            <w:tcW w:type="dxa" w:w="20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期末借款</w:t>
            </w:r>
          </w:p>
        </w:tc>
        <w:tc>
          <w:tcPr>
            <w:tcW w:type="dxa" w:w="19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80</w:t>
            </w:r>
          </w:p>
        </w:tc>
        <w:tc>
          <w:tcPr>
            <w:tcW w:type="dxa" w:w="34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期末7.2</w:t>
            </w:r>
          </w:p>
        </w:tc>
        <w:tc>
          <w:tcPr>
            <w:tcW w:type="dxa" w:w="19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576</w:t>
            </w:r>
          </w:p>
        </w:tc>
      </w:tr>
      <w:tr>
        <w:trPr>
          <w:cantSplit/>
        </w:trPr>
        <w:tc>
          <w:tcPr>
            <w:tcW w:type="dxa" w:w="2072"/>
            <w:vAlign w:val="top"/>
            <w:tcMar>
              <w:top w:w="65" w:type="dxa"/>
              <w:bottom w:w="65" w:type="dxa"/>
              <w:left w:w="65" w:type="dxa"/>
              <w:right w:w="65" w:type="dxa"/>
            </w:tcMar>
          </w:tcPr>
          <w:p>
            <w:pPr>
              <w:spacing w:before="30" w:after="30" w:line="252" w:lineRule="auto"/>
            </w:pPr>
            <w:r>
              <w:rPr>
                <w:rFonts w:ascii="Arial" w:hAnsi="Arial" w:eastAsia="宋体"/>
                <w:b w:val="0"/>
                <w:i w:val="0"/>
                <w:sz w:val="18"/>
              </w:rPr>
              <w:t>资本</w:t>
            </w:r>
          </w:p>
        </w:tc>
        <w:tc>
          <w:tcPr>
            <w:tcW w:type="dxa" w:w="1938"/>
            <w:vAlign w:val="top"/>
            <w:tcMar>
              <w:top w:w="65" w:type="dxa"/>
              <w:bottom w:w="65" w:type="dxa"/>
              <w:left w:w="65" w:type="dxa"/>
              <w:right w:w="65" w:type="dxa"/>
            </w:tcMar>
          </w:tcPr>
          <w:p>
            <w:pPr>
              <w:spacing w:before="30" w:after="30" w:line="252" w:lineRule="auto"/>
            </w:pPr>
            <w:r>
              <w:rPr>
                <w:rFonts w:ascii="Arial" w:hAnsi="Arial" w:eastAsia="宋体"/>
                <w:b w:val="0"/>
                <w:i w:val="0"/>
                <w:sz w:val="18"/>
              </w:rPr>
              <w:t>100</w:t>
            </w:r>
          </w:p>
        </w:tc>
        <w:tc>
          <w:tcPr>
            <w:tcW w:type="dxa" w:w="3459"/>
            <w:vAlign w:val="top"/>
            <w:tcMar>
              <w:top w:w="65" w:type="dxa"/>
              <w:bottom w:w="65" w:type="dxa"/>
              <w:left w:w="65" w:type="dxa"/>
              <w:right w:w="65" w:type="dxa"/>
            </w:tcMar>
          </w:tcPr>
          <w:p>
            <w:pPr>
              <w:spacing w:before="30" w:after="30" w:line="252" w:lineRule="auto"/>
            </w:pPr>
            <w:r>
              <w:rPr>
                <w:rFonts w:ascii="Arial" w:hAnsi="Arial" w:eastAsia="宋体"/>
                <w:b w:val="0"/>
                <w:i w:val="0"/>
                <w:sz w:val="18"/>
              </w:rPr>
              <w:t>历史6.5</w:t>
            </w:r>
          </w:p>
        </w:tc>
        <w:tc>
          <w:tcPr>
            <w:tcW w:type="dxa" w:w="1938"/>
            <w:vAlign w:val="top"/>
            <w:tcMar>
              <w:top w:w="65" w:type="dxa"/>
              <w:bottom w:w="65" w:type="dxa"/>
              <w:left w:w="65" w:type="dxa"/>
              <w:right w:w="65" w:type="dxa"/>
            </w:tcMar>
          </w:tcPr>
          <w:p>
            <w:pPr>
              <w:spacing w:before="30" w:after="30" w:line="252" w:lineRule="auto"/>
            </w:pPr>
            <w:r>
              <w:rPr>
                <w:rFonts w:ascii="Arial" w:hAnsi="Arial" w:eastAsia="宋体"/>
                <w:b w:val="0"/>
                <w:i w:val="0"/>
                <w:sz w:val="18"/>
              </w:rPr>
              <w:t>650</w:t>
            </w:r>
          </w:p>
        </w:tc>
      </w:tr>
      <w:tr>
        <w:trPr>
          <w:cantSplit/>
        </w:trPr>
        <w:tc>
          <w:tcPr>
            <w:tcW w:type="dxa" w:w="20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留存收益</w:t>
            </w:r>
          </w:p>
        </w:tc>
        <w:tc>
          <w:tcPr>
            <w:tcW w:type="dxa" w:w="19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20</w:t>
            </w:r>
          </w:p>
        </w:tc>
        <w:tc>
          <w:tcPr>
            <w:tcW w:type="dxa" w:w="34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本期利润140，期初0</w:t>
            </w:r>
          </w:p>
        </w:tc>
        <w:tc>
          <w:tcPr>
            <w:tcW w:type="dxa" w:w="19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140</w:t>
            </w:r>
          </w:p>
        </w:tc>
      </w:tr>
      <w:tr>
        <w:trPr>
          <w:cantSplit/>
        </w:trPr>
        <w:tc>
          <w:tcPr>
            <w:tcW w:type="dxa" w:w="2072"/>
            <w:vAlign w:val="top"/>
            <w:tcMar>
              <w:top w:w="65" w:type="dxa"/>
              <w:bottom w:w="65" w:type="dxa"/>
              <w:left w:w="65" w:type="dxa"/>
              <w:right w:w="65" w:type="dxa"/>
            </w:tcMar>
          </w:tcPr>
          <w:p>
            <w:pPr>
              <w:spacing w:before="30" w:after="30" w:line="252" w:lineRule="auto"/>
            </w:pPr>
            <w:r>
              <w:rPr>
                <w:rFonts w:ascii="Arial" w:hAnsi="Arial" w:eastAsia="宋体"/>
                <w:b w:val="0"/>
                <w:i w:val="0"/>
                <w:sz w:val="18"/>
              </w:rPr>
              <w:t>CTA</w:t>
            </w:r>
          </w:p>
        </w:tc>
        <w:tc>
          <w:tcPr>
            <w:tcW w:type="dxa" w:w="1938"/>
            <w:vAlign w:val="top"/>
            <w:tcMar>
              <w:top w:w="65" w:type="dxa"/>
              <w:bottom w:w="65" w:type="dxa"/>
              <w:left w:w="65" w:type="dxa"/>
              <w:right w:w="65" w:type="dxa"/>
            </w:tcMar>
          </w:tcPr>
          <w:p>
            <w:pPr>
              <w:spacing w:before="30" w:after="30" w:line="252" w:lineRule="auto"/>
            </w:pPr>
            <w:r>
              <w:rPr>
                <w:rFonts w:ascii="Arial" w:hAnsi="Arial" w:eastAsia="宋体"/>
                <w:b w:val="0"/>
                <w:i w:val="0"/>
                <w:sz w:val="18"/>
              </w:rPr>
              <w:t>派生</w:t>
            </w:r>
          </w:p>
        </w:tc>
        <w:tc>
          <w:tcPr>
            <w:tcW w:type="dxa" w:w="3459"/>
            <w:vAlign w:val="top"/>
            <w:tcMar>
              <w:top w:w="65" w:type="dxa"/>
              <w:bottom w:w="65" w:type="dxa"/>
              <w:left w:w="65" w:type="dxa"/>
              <w:right w:w="65" w:type="dxa"/>
            </w:tcMar>
          </w:tcPr>
          <w:p>
            <w:pPr>
              <w:spacing w:before="30" w:after="30" w:line="252" w:lineRule="auto"/>
            </w:pPr>
            <w:r>
              <w:rPr>
                <w:rFonts w:ascii="Arial" w:hAnsi="Arial" w:eastAsia="宋体"/>
                <w:b w:val="0"/>
                <w:i w:val="0"/>
                <w:sz w:val="18"/>
              </w:rPr>
              <w:t>1440−576−650−140</w:t>
            </w:r>
          </w:p>
        </w:tc>
        <w:tc>
          <w:tcPr>
            <w:tcW w:type="dxa" w:w="1938"/>
            <w:vAlign w:val="top"/>
            <w:tcMar>
              <w:top w:w="65" w:type="dxa"/>
              <w:bottom w:w="65" w:type="dxa"/>
              <w:left w:w="65" w:type="dxa"/>
              <w:right w:w="65" w:type="dxa"/>
            </w:tcMar>
          </w:tcPr>
          <w:p>
            <w:pPr>
              <w:spacing w:before="30" w:after="30" w:line="252" w:lineRule="auto"/>
            </w:pPr>
            <w:r>
              <w:rPr>
                <w:rFonts w:ascii="Arial" w:hAnsi="Arial" w:eastAsia="宋体"/>
                <w:b w:val="0"/>
                <w:i w:val="0"/>
                <w:sz w:val="18"/>
              </w:rPr>
              <w:t>74</w:t>
            </w:r>
          </w:p>
        </w:tc>
      </w:tr>
      <w:tr>
        <w:trPr>
          <w:cantSplit/>
        </w:trPr>
        <w:tc>
          <w:tcPr>
            <w:tcW w:type="dxa" w:w="20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现金汇率影响</w:t>
            </w:r>
          </w:p>
        </w:tc>
        <w:tc>
          <w:tcPr>
            <w:tcW w:type="dxa" w:w="19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派生</w:t>
            </w:r>
          </w:p>
        </w:tc>
        <w:tc>
          <w:tcPr>
            <w:tcW w:type="dxa" w:w="34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1440−650−140−560</w:t>
            </w:r>
          </w:p>
        </w:tc>
        <w:tc>
          <w:tcPr>
            <w:tcW w:type="dxa" w:w="19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90</w:t>
            </w:r>
          </w:p>
        </w:tc>
      </w:tr>
    </w:tbl>
    <w:p>
      <w:pPr>
        <w:spacing w:after="40"/>
      </w:pPr>
    </w:p>
    <w:p>
      <w:r>
        <w:rPr>
          <w:rFonts w:ascii="Arial" w:hAnsi="Arial" w:eastAsia="宋体"/>
          <w:b w:val="0"/>
          <w:i w:val="0"/>
        </w:rPr>
        <w:t>仅将closing由7.2发布为7.3，海外折算净利仍140、CTA变86、现金汇率影响变110。集团利润仍770，资产2390、负债584。原海外USD结果不依赖USD→CNY汇率，仍有效；使用转换的集团需重算，新旧汇率版本和原结果金额都保留。</w:t>
      </w:r>
    </w:p>
    <w:p>
      <w:pPr>
        <w:pStyle w:val="Heading1"/>
      </w:pPr>
      <w:bookmarkStart w:id="52" w:name="epm_52"/>
      <w:r>
        <w:rPr>
          <w:rFonts w:ascii="Arial" w:hAnsi="Arial" w:eastAsia="宋体"/>
          <w:b w:val="0"/>
          <w:i w:val="0"/>
        </w:rPr>
        <w:t>十三、三表显示、会计校验和经营分析</w:t>
      </w:r>
      <w:bookmarkEnd w:id="52"/>
    </w:p>
    <w:p>
      <w:pPr>
        <w:pStyle w:val="Heading2"/>
      </w:pPr>
      <w:bookmarkStart w:id="53" w:name="epm_53"/>
      <w:r>
        <w:rPr>
          <w:rFonts w:ascii="Arial" w:hAnsi="Arial" w:eastAsia="宋体"/>
          <w:b w:val="0"/>
          <w:i w:val="0"/>
        </w:rPr>
        <w:t>13.1 一套标准报告产生三张表</w:t>
      </w:r>
      <w:bookmarkEnd w:id="53"/>
    </w:p>
    <w:p>
      <w:r>
        <w:rPr>
          <w:rFonts w:ascii="Arial" w:hAnsi="Arial" w:eastAsia="宋体"/>
          <w:b w:val="0"/>
          <w:i w:val="0"/>
        </w:rPr>
        <w:t>make_statement从同一report构造actual指标、profit行、balance行和cash行。利润表净利=收入−成本−期间费用−财务费用−所得税；资产负债表包含资本、留存、少数股东和CTA，当前少数股东为0；现金流单列经营/投资/筹资、现金汇率影响、期初及期末现金。</w:t>
      </w:r>
    </w:p>
    <w:tbl>
      <w:tblPr>
        <w:tblStyle w:val="TableGrid"/>
        <w:tblW w:type="auto" w:w="0"/>
        <w:jc w:val="center"/>
        <w:tblLayout w:type="fixed"/>
        <w:tblLook w:firstColumn="1" w:firstRow="1" w:lastColumn="0" w:lastRow="0" w:noHBand="0" w:noVBand="1" w:val="04A0"/>
      </w:tblPr>
      <w:tblGrid>
        <w:gridCol w:w="4337"/>
        <w:gridCol w:w="5069"/>
      </w:tblGrid>
      <w:tr>
        <w:trPr>
          <w:cantSplit/>
          <w:tblHeader w:val="true"/>
        </w:trPr>
        <w:tc>
          <w:tcPr>
            <w:tcW w:type="dxa" w:w="433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检查代码</w:t>
            </w:r>
          </w:p>
        </w:tc>
        <w:tc>
          <w:tcPr>
            <w:tcW w:type="dxa" w:w="506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当前会计等式</w:t>
            </w:r>
          </w:p>
        </w:tc>
      </w:tr>
      <w:tr>
        <w:trPr>
          <w:cantSplit/>
        </w:trPr>
        <w:tc>
          <w:tcPr>
            <w:tcW w:type="dxa" w:w="4337"/>
            <w:vAlign w:val="top"/>
            <w:tcMar>
              <w:top w:w="65" w:type="dxa"/>
              <w:bottom w:w="65" w:type="dxa"/>
              <w:left w:w="65" w:type="dxa"/>
              <w:right w:w="65" w:type="dxa"/>
            </w:tcMar>
          </w:tcPr>
          <w:p>
            <w:pPr>
              <w:spacing w:before="30" w:after="30" w:line="252" w:lineRule="auto"/>
            </w:pPr>
            <w:r>
              <w:rPr>
                <w:rFonts w:ascii="Arial" w:hAnsi="Arial" w:eastAsia="宋体"/>
                <w:b w:val="0"/>
                <w:i w:val="0"/>
                <w:sz w:val="19"/>
              </w:rPr>
              <w:t>opening_balance</w:t>
            </w:r>
          </w:p>
        </w:tc>
        <w:tc>
          <w:tcPr>
            <w:tcW w:type="dxa" w:w="5069"/>
            <w:vAlign w:val="top"/>
            <w:tcMar>
              <w:top w:w="65" w:type="dxa"/>
              <w:bottom w:w="65" w:type="dxa"/>
              <w:left w:w="65" w:type="dxa"/>
              <w:right w:w="65" w:type="dxa"/>
            </w:tcMar>
          </w:tcPr>
          <w:p>
            <w:pPr>
              <w:spacing w:before="30" w:after="30" w:line="252" w:lineRule="auto"/>
            </w:pPr>
            <w:r>
              <w:rPr>
                <w:rFonts w:ascii="Arial" w:hAnsi="Arial" w:eastAsia="宋体"/>
                <w:b w:val="0"/>
                <w:i w:val="0"/>
                <w:sz w:val="19"/>
              </w:rPr>
              <w:t>期初资产=期初负债+期初权益</w:t>
            </w:r>
          </w:p>
        </w:tc>
      </w:tr>
      <w:tr>
        <w:trPr>
          <w:cantSplit/>
        </w:trPr>
        <w:tc>
          <w:tcPr>
            <w:tcW w:type="dxa" w:w="43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closing_balance</w:t>
            </w:r>
          </w:p>
        </w:tc>
        <w:tc>
          <w:tcPr>
            <w:tcW w:type="dxa" w:w="50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期末资产=期末负债+期末权益</w:t>
            </w:r>
          </w:p>
        </w:tc>
      </w:tr>
      <w:tr>
        <w:trPr>
          <w:cantSplit/>
        </w:trPr>
        <w:tc>
          <w:tcPr>
            <w:tcW w:type="dxa" w:w="4337"/>
            <w:vAlign w:val="top"/>
            <w:tcMar>
              <w:top w:w="65" w:type="dxa"/>
              <w:bottom w:w="65" w:type="dxa"/>
              <w:left w:w="65" w:type="dxa"/>
              <w:right w:w="65" w:type="dxa"/>
            </w:tcMar>
          </w:tcPr>
          <w:p>
            <w:pPr>
              <w:spacing w:before="30" w:after="30" w:line="252" w:lineRule="auto"/>
            </w:pPr>
            <w:r>
              <w:rPr>
                <w:rFonts w:ascii="Arial" w:hAnsi="Arial" w:eastAsia="宋体"/>
                <w:b w:val="0"/>
                <w:i w:val="0"/>
                <w:sz w:val="19"/>
              </w:rPr>
              <w:t>cash_reconciliation</w:t>
            </w:r>
          </w:p>
        </w:tc>
        <w:tc>
          <w:tcPr>
            <w:tcW w:type="dxa" w:w="5069"/>
            <w:vAlign w:val="top"/>
            <w:tcMar>
              <w:top w:w="65" w:type="dxa"/>
              <w:bottom w:w="65" w:type="dxa"/>
              <w:left w:w="65" w:type="dxa"/>
              <w:right w:w="65" w:type="dxa"/>
            </w:tcMar>
          </w:tcPr>
          <w:p>
            <w:pPr>
              <w:spacing w:before="30" w:after="30" w:line="252" w:lineRule="auto"/>
            </w:pPr>
            <w:r>
              <w:rPr>
                <w:rFonts w:ascii="Arial" w:hAnsi="Arial" w:eastAsia="宋体"/>
                <w:b w:val="0"/>
                <w:i w:val="0"/>
                <w:sz w:val="19"/>
              </w:rPr>
              <w:t>期末现金=期初现金+经营/投资/筹资净额+现金汇率影响</w:t>
            </w:r>
          </w:p>
        </w:tc>
      </w:tr>
      <w:tr>
        <w:trPr>
          <w:cantSplit/>
        </w:trPr>
        <w:tc>
          <w:tcPr>
            <w:tcW w:type="dxa" w:w="43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equity_reconciliation</w:t>
            </w:r>
          </w:p>
        </w:tc>
        <w:tc>
          <w:tcPr>
            <w:tcW w:type="dxa" w:w="50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期末权益−期初权益=净利润+资本变动+CTA变动</w:t>
            </w:r>
          </w:p>
        </w:tc>
      </w:tr>
    </w:tbl>
    <w:p>
      <w:pPr>
        <w:spacing w:after="40"/>
      </w:pPr>
    </w:p>
    <w:p>
      <w:r>
        <w:rPr>
          <w:rFonts w:ascii="Arial" w:hAnsi="Arial" w:eastAsia="宋体"/>
          <w:b w:val="0"/>
          <w:i w:val="0"/>
        </w:rPr>
        <w:t>四项差额均要求为0。界面勾稽按钮只是展示服务端结果；不能用用户手工勾选代替计算。</w:t>
      </w:r>
    </w:p>
    <w:p>
      <w:pPr>
        <w:pStyle w:val="Heading2"/>
      </w:pPr>
      <w:bookmarkStart w:id="54" w:name="epm_54"/>
      <w:r>
        <w:rPr>
          <w:rFonts w:ascii="Arial" w:hAnsi="Arial" w:eastAsia="宋体"/>
          <w:b w:val="0"/>
          <w:i w:val="0"/>
        </w:rPr>
        <w:t>13.2 分析口径与同版来源</w:t>
      </w:r>
      <w:bookmarkEnd w:id="54"/>
    </w:p>
    <w:p>
      <w:r>
        <w:rPr>
          <w:rFonts w:ascii="Arial" w:hAnsi="Arial" w:eastAsia="宋体"/>
          <w:b w:val="0"/>
          <w:i w:val="0"/>
        </w:rPr>
        <w:t>总览和分析使用选定结果的报表币种、期间、版本及有效性。entityActuals逐法人读取该结果的sourceSnapshots及rateSnapshots，按同一报表币种折算；其口径明确为“法人贡献（合并抵销前）”。由于抵销在合并层处理，法人贡献不能直接相加当作合并报表，也不能把当前新源冒充历史版本的源。</w:t>
      </w:r>
    </w:p>
    <w:p>
      <w:r>
        <w:rPr>
          <w:rFonts w:ascii="Arial" w:hAnsi="Arial" w:eastAsia="宋体"/>
          <w:b w:val="0"/>
          <w:i w:val="0"/>
        </w:rPr>
        <w:t>完整证据钻取的顺序为集团结果→直接子结果ID/版本→该结果源快照→继承/本层抵销→使用的原币报告和汇率。若当前源已由300变310，旧结果源仍应显示300；研发不能只保留一个sourceVersion标签却在点击时取当前310。</w:t>
      </w:r>
    </w:p>
    <w:p>
      <w:pPr>
        <w:pStyle w:val="Heading2"/>
      </w:pPr>
      <w:bookmarkStart w:id="55" w:name="epm_55"/>
      <w:r>
        <w:rPr>
          <w:rFonts w:ascii="Arial" w:hAnsi="Arial" w:eastAsia="宋体"/>
          <w:b w:val="0"/>
          <w:i w:val="0"/>
        </w:rPr>
        <w:t>13.3 预实比较</w:t>
      </w:r>
      <w:bookmarkEnd w:id="55"/>
    </w:p>
    <w:p>
      <w:r>
        <w:rPr>
          <w:rFonts w:ascii="Arial" w:hAnsi="Arial" w:eastAsia="宋体"/>
          <w:b w:val="0"/>
          <w:i w:val="0"/>
        </w:rPr>
        <w:t>budgetComparable仅TY_GROUP、CNY、entity=all为true。集团人民币预算按当前预算版本目标和期间分摊产生收入预算；成本、费用等比较使用独立comparisonAnnual演示基准按month/12取累计。小合并、美元或单法人视图明确不直接与该集团CNY预算比较。</w:t>
      </w:r>
    </w:p>
    <w:p>
      <w:r>
        <w:rPr>
          <w:rFonts w:ascii="Arial" w:hAnsi="Arial" w:eastAsia="宋体"/>
          <w:b w:val="0"/>
          <w:i w:val="0"/>
        </w:rPr>
        <w:t>七类业务预算明细可以保存及复制，但不自动汇总替换comparisonAnnual，也不自动推导完整预算利润/资产负债/现金流三表。本基线不能宣传为已实现业务预算到财务三表的完整驱动引擎。</w:t>
      </w:r>
    </w:p>
    <w:p>
      <w:pPr>
        <w:pStyle w:val="Heading1"/>
      </w:pPr>
      <w:bookmarkStart w:id="56" w:name="epm_56"/>
      <w:r>
        <w:rPr>
          <w:rFonts w:ascii="Arial" w:hAnsi="Arial" w:eastAsia="宋体"/>
          <w:b w:val="0"/>
          <w:i w:val="0"/>
        </w:rPr>
        <w:t>十四、预算域的研发机制</w:t>
      </w:r>
      <w:bookmarkEnd w:id="56"/>
    </w:p>
    <w:p>
      <w:pPr>
        <w:pStyle w:val="Heading2"/>
      </w:pPr>
      <w:bookmarkStart w:id="57" w:name="epm_57"/>
      <w:r>
        <w:rPr>
          <w:rFonts w:ascii="Arial" w:hAnsi="Arial" w:eastAsia="宋体"/>
          <w:b w:val="0"/>
          <w:i w:val="0"/>
        </w:rPr>
        <w:t>14.1 域边界和复用方式</w:t>
      </w:r>
      <w:bookmarkEnd w:id="57"/>
    </w:p>
    <w:p>
      <w:r>
        <w:rPr>
          <w:rFonts w:ascii="Arial" w:hAnsi="Arial" w:eastAsia="宋体"/>
          <w:b w:val="0"/>
          <w:i w:val="0"/>
        </w:rPr>
        <w:t>engine仅在action以budget_开头且context为集团人民币全部法人时，调用legacy_engine._apply中的预算分支。其余所有财务动作进入multilevel_domain。此路由在入口明确分开，以保留已有预算操作并阻止旧财务签核或凭证旁路。</w:t>
      </w:r>
    </w:p>
    <w:p>
      <w:r>
        <w:rPr>
          <w:rFonts w:ascii="Arial" w:hAnsi="Arial" w:eastAsia="宋体"/>
          <w:b w:val="0"/>
          <w:i w:val="0"/>
        </w:rPr>
        <w:t>当前预算是单一集团年度演示对象，年度固定2026。版本中的目标、分摊、量价、业务明细随版本完整保存；实体分摊比例和比较基准属于集团演示配置，不是独立多组织预算工作流。</w:t>
      </w:r>
    </w:p>
    <w:p>
      <w:pPr>
        <w:pStyle w:val="Heading2"/>
      </w:pPr>
      <w:bookmarkStart w:id="58" w:name="epm_58"/>
      <w:r>
        <w:rPr>
          <w:rFonts w:ascii="Arial" w:hAnsi="Arial" w:eastAsia="宋体"/>
          <w:b w:val="0"/>
          <w:i w:val="0"/>
        </w:rPr>
        <w:t>14.2 四层目标与量价</w:t>
      </w:r>
      <w:bookmarkEnd w:id="58"/>
    </w:p>
    <w:p>
      <w:r>
        <w:rPr>
          <w:rFonts w:ascii="Arial" w:hAnsi="Arial" w:eastAsia="宋体"/>
          <w:b w:val="0"/>
          <w:i w:val="0"/>
        </w:rPr>
        <w:t>初始四层为基础3400、挑战300、管理200、董事会100，年度目标合计4000万元。budget_layer_save只在编制态允许修改单层金额；底层校验接受“编制中”及兼容的“已退回”，本轮界面主要以编制中版本进入。budget_driver接数量和单价，数量要求整数；目标数量×单价不得低于前三层合计，第四层更新为总目标减前三层，不重复加一遍总额。</w:t>
      </w:r>
    </w:p>
    <w:p>
      <w:pPr>
        <w:pStyle w:val="Heading2"/>
      </w:pPr>
      <w:bookmarkStart w:id="59" w:name="epm_59"/>
      <w:r>
        <w:rPr>
          <w:rFonts w:ascii="Arial" w:hAnsi="Arial" w:eastAsia="宋体"/>
          <w:b w:val="0"/>
          <w:i w:val="0"/>
        </w:rPr>
        <w:t>14.3 分摊与业务预算</w:t>
      </w:r>
      <w:bookmarkEnd w:id="59"/>
    </w:p>
    <w:p>
      <w:r>
        <w:rPr>
          <w:rFonts w:ascii="Arial" w:hAnsi="Arial" w:eastAsia="宋体"/>
          <w:b w:val="0"/>
          <w:i w:val="0"/>
        </w:rPr>
        <w:t>全年分摊支持even和seasonal。页面使用累计权重及分位金额差计算12个月，尾月吸收舍入，使全年月金额合计等于年度目标。seasonal初始权重为5、5、7、8、8、9、9、9、10、10、10、10，总和100。</w:t>
      </w:r>
    </w:p>
    <w:p>
      <w:r>
        <w:rPr>
          <w:rFonts w:ascii="Arial" w:hAnsi="Arial" w:eastAsia="宋体"/>
          <w:b w:val="0"/>
          <w:i w:val="0"/>
        </w:rPr>
        <w:t>businessPlans包括production、purchase、inventory、labor、expense、capital、cash，即生产、采购、库存、人工、费用、资本和资金七类。每类最多200行，明细ID唯一，金额应等于数量×单价并按2位小数舍入，可填备注。销售目标由四层及量价模块表达，不存在另一个sales业务明细持久化类型。</w:t>
      </w:r>
    </w:p>
    <w:p>
      <w:pPr>
        <w:pStyle w:val="Heading2"/>
      </w:pPr>
      <w:bookmarkStart w:id="60" w:name="epm_60"/>
      <w:r>
        <w:rPr>
          <w:rFonts w:ascii="Arial" w:hAnsi="Arial" w:eastAsia="宋体"/>
          <w:b w:val="0"/>
          <w:i w:val="0"/>
        </w:rPr>
        <w:t>14.4 预算状态机</w:t>
      </w:r>
      <w:bookmarkEnd w:id="60"/>
    </w:p>
    <w:p>
      <w:pPr>
        <w:spacing w:before="0" w:after="0" w:line="240" w:lineRule="auto"/>
        <w:ind w:left="113"/>
        <w:shd w:fill="F4F6FA"/>
      </w:pPr>
      <w:r>
        <w:rPr>
          <w:rFonts w:ascii="Consolas" w:hAnsi="Consolas" w:eastAsia="宋体"/>
          <w:sz w:val="16"/>
        </w:rPr>
        <w:t>编制中 → 提交 → 审核中 → 负责人审批 → 已审批 → 负责人锁定 → 已锁定</w:t>
      </w:r>
    </w:p>
    <w:p>
      <w:pPr>
        <w:spacing w:before="0" w:after="0" w:line="240" w:lineRule="auto"/>
        <w:ind w:left="113"/>
        <w:shd w:fill="F4F6FA"/>
      </w:pPr>
      <w:r>
        <w:rPr>
          <w:rFonts w:ascii="Consolas" w:hAnsi="Consolas" w:eastAsia="宋体"/>
          <w:sz w:val="16"/>
        </w:rPr>
        <w:t xml:space="preserve">   └─复制为新版本：新版本回到编制中，保留原版</w:t>
      </w:r>
    </w:p>
    <w:p>
      <w:pPr>
        <w:spacing w:before="0" w:after="0" w:line="240" w:lineRule="auto"/>
        <w:ind w:left="113"/>
        <w:shd w:fill="F4F6FA"/>
      </w:pPr>
      <w:r>
        <w:rPr>
          <w:rFonts w:ascii="Consolas" w:hAnsi="Consolas" w:eastAsia="宋体"/>
          <w:sz w:val="16"/>
        </w:rPr>
      </w:r>
    </w:p>
    <w:p>
      <w:pPr>
        <w:spacing w:before="0" w:after="0" w:line="240" w:lineRule="auto"/>
        <w:ind w:left="113"/>
        <w:shd w:fill="F4F6FA"/>
      </w:pPr>
      <w:r>
        <w:rPr>
          <w:rFonts w:ascii="Consolas" w:hAnsi="Consolas" w:eastAsia="宋体"/>
          <w:sz w:val="16"/>
        </w:rPr>
        <w:t>独立调整：待审批 → 批准并新建“调整批准”版本</w:t>
      </w:r>
    </w:p>
    <w:p>
      <w:pPr>
        <w:spacing w:before="0" w:after="0" w:line="240" w:lineRule="auto"/>
        <w:ind w:left="113"/>
        <w:shd w:fill="F4F6FA"/>
      </w:pPr>
      <w:r>
        <w:rPr>
          <w:rFonts w:ascii="Consolas" w:hAnsi="Consolas" w:eastAsia="宋体"/>
          <w:sz w:val="16"/>
        </w:rPr>
        <w:t xml:space="preserve">                 └→ 退回并记录原因</w:t>
      </w:r>
    </w:p>
    <w:p>
      <w:pPr>
        <w:spacing w:after="20"/>
      </w:pPr>
    </w:p>
    <w:p>
      <w:r>
        <w:rPr>
          <w:rFonts w:ascii="Arial" w:hAnsi="Arial" w:eastAsia="宋体"/>
          <w:b w:val="0"/>
          <w:i w:val="0"/>
        </w:rPr>
        <w:t>已锁定或已审批版本不能直接按编制动作改数。调整申请保存发起时的sourceLayers、sourceSpread、sourceDrivers、sourcePlans和sourceAnnual。批准基于这些来源生成新版本，不能将后来切换的预算版本冒充该申请原始来源；原版本继续保留。退回只改变该申请状态和原因，不生成批准新版本。</w:t>
      </w:r>
    </w:p>
    <w:p>
      <w:pPr>
        <w:pStyle w:val="Heading2"/>
      </w:pPr>
      <w:bookmarkStart w:id="61" w:name="epm_61"/>
      <w:r>
        <w:rPr>
          <w:rFonts w:ascii="Arial" w:hAnsi="Arial" w:eastAsia="宋体"/>
          <w:b w:val="0"/>
          <w:i w:val="0"/>
        </w:rPr>
        <w:t>14.5 预算API动作映射</w:t>
      </w:r>
      <w:bookmarkEnd w:id="61"/>
    </w:p>
    <w:tbl>
      <w:tblPr>
        <w:tblStyle w:val="TableGrid"/>
        <w:tblW w:type="auto" w:w="0"/>
        <w:jc w:val="center"/>
        <w:tblLayout w:type="fixed"/>
        <w:tblLook w:firstColumn="1" w:firstRow="1" w:lastColumn="0" w:lastRow="0" w:noHBand="0" w:noVBand="1" w:val="04A0"/>
      </w:tblPr>
      <w:tblGrid>
        <w:gridCol w:w="3381"/>
        <w:gridCol w:w="3280"/>
        <w:gridCol w:w="2744"/>
      </w:tblGrid>
      <w:tr>
        <w:trPr>
          <w:cantSplit/>
          <w:tblHeader w:val="true"/>
        </w:trPr>
        <w:tc>
          <w:tcPr>
            <w:tcW w:type="dxa" w:w="338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动作</w:t>
            </w:r>
          </w:p>
        </w:tc>
        <w:tc>
          <w:tcPr>
            <w:tcW w:type="dxa" w:w="328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payload核心字段</w:t>
            </w:r>
          </w:p>
        </w:tc>
        <w:tc>
          <w:tcPr>
            <w:tcW w:type="dxa" w:w="274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主要结果</w:t>
            </w:r>
          </w:p>
        </w:tc>
      </w:tr>
      <w:tr>
        <w:trPr>
          <w:cantSplit/>
        </w:trPr>
        <w:tc>
          <w:tcPr>
            <w:tcW w:type="dxa" w:w="3381"/>
            <w:vAlign w:val="top"/>
            <w:tcMar>
              <w:top w:w="65" w:type="dxa"/>
              <w:bottom w:w="65" w:type="dxa"/>
              <w:left w:w="65" w:type="dxa"/>
              <w:right w:w="65" w:type="dxa"/>
            </w:tcMar>
          </w:tcPr>
          <w:p>
            <w:pPr>
              <w:spacing w:before="30" w:after="30" w:line="252" w:lineRule="auto"/>
            </w:pPr>
            <w:r>
              <w:rPr>
                <w:rFonts w:ascii="Arial" w:hAnsi="Arial" w:eastAsia="宋体"/>
                <w:b w:val="0"/>
                <w:i w:val="0"/>
                <w:sz w:val="19"/>
              </w:rPr>
              <w:t>budget_layer_save</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9"/>
              </w:rPr>
              <w:t>layer、amount</w:t>
            </w:r>
          </w:p>
        </w:tc>
        <w:tc>
          <w:tcPr>
            <w:tcW w:type="dxa" w:w="2744"/>
            <w:vAlign w:val="top"/>
            <w:tcMar>
              <w:top w:w="65" w:type="dxa"/>
              <w:bottom w:w="65" w:type="dxa"/>
              <w:left w:w="65" w:type="dxa"/>
              <w:right w:w="65" w:type="dxa"/>
            </w:tcMar>
          </w:tcPr>
          <w:p>
            <w:pPr>
              <w:spacing w:before="30" w:after="30" w:line="252" w:lineRule="auto"/>
            </w:pPr>
            <w:r>
              <w:rPr>
                <w:rFonts w:ascii="Arial" w:hAnsi="Arial" w:eastAsia="宋体"/>
                <w:b w:val="0"/>
                <w:i w:val="0"/>
                <w:sz w:val="19"/>
              </w:rPr>
              <w:t>更新编制中四层之一</w:t>
            </w:r>
          </w:p>
        </w:tc>
      </w:tr>
      <w:tr>
        <w:trPr>
          <w:cantSplit/>
        </w:trPr>
        <w:tc>
          <w:tcPr>
            <w:tcW w:type="dxa" w:w="33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budget_spread</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spread=even/seasonal</w:t>
            </w:r>
          </w:p>
        </w:tc>
        <w:tc>
          <w:tcPr>
            <w:tcW w:type="dxa" w:w="27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保存年度分摊模式</w:t>
            </w:r>
          </w:p>
        </w:tc>
      </w:tr>
      <w:tr>
        <w:trPr>
          <w:cantSplit/>
        </w:trPr>
        <w:tc>
          <w:tcPr>
            <w:tcW w:type="dxa" w:w="3381"/>
            <w:vAlign w:val="top"/>
            <w:tcMar>
              <w:top w:w="65" w:type="dxa"/>
              <w:bottom w:w="65" w:type="dxa"/>
              <w:left w:w="65" w:type="dxa"/>
              <w:right w:w="65" w:type="dxa"/>
            </w:tcMar>
          </w:tcPr>
          <w:p>
            <w:pPr>
              <w:spacing w:before="30" w:after="30" w:line="252" w:lineRule="auto"/>
            </w:pPr>
            <w:r>
              <w:rPr>
                <w:rFonts w:ascii="Arial" w:hAnsi="Arial" w:eastAsia="宋体"/>
                <w:b w:val="0"/>
                <w:i w:val="0"/>
                <w:sz w:val="19"/>
              </w:rPr>
              <w:t>budget_driver</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9"/>
              </w:rPr>
              <w:t>volume、price</w:t>
            </w:r>
          </w:p>
        </w:tc>
        <w:tc>
          <w:tcPr>
            <w:tcW w:type="dxa" w:w="2744"/>
            <w:vAlign w:val="top"/>
            <w:tcMar>
              <w:top w:w="65" w:type="dxa"/>
              <w:bottom w:w="65" w:type="dxa"/>
              <w:left w:w="65" w:type="dxa"/>
              <w:right w:w="65" w:type="dxa"/>
            </w:tcMar>
          </w:tcPr>
          <w:p>
            <w:pPr>
              <w:spacing w:before="30" w:after="30" w:line="252" w:lineRule="auto"/>
            </w:pPr>
            <w:r>
              <w:rPr>
                <w:rFonts w:ascii="Arial" w:hAnsi="Arial" w:eastAsia="宋体"/>
                <w:b w:val="0"/>
                <w:i w:val="0"/>
                <w:sz w:val="19"/>
              </w:rPr>
              <w:t>保存量价并更新第四层</w:t>
            </w:r>
          </w:p>
        </w:tc>
      </w:tr>
      <w:tr>
        <w:trPr>
          <w:cantSplit/>
        </w:trPr>
        <w:tc>
          <w:tcPr>
            <w:tcW w:type="dxa" w:w="33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budget_plan_save</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type、rows</w:t>
            </w:r>
          </w:p>
        </w:tc>
        <w:tc>
          <w:tcPr>
            <w:tcW w:type="dxa" w:w="27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保存七类业务明细之一</w:t>
            </w:r>
          </w:p>
        </w:tc>
      </w:tr>
      <w:tr>
        <w:trPr>
          <w:cantSplit/>
        </w:trPr>
        <w:tc>
          <w:tcPr>
            <w:tcW w:type="dxa" w:w="3381"/>
            <w:vAlign w:val="top"/>
            <w:tcMar>
              <w:top w:w="65" w:type="dxa"/>
              <w:bottom w:w="65" w:type="dxa"/>
              <w:left w:w="65" w:type="dxa"/>
              <w:right w:w="65" w:type="dxa"/>
            </w:tcMar>
          </w:tcPr>
          <w:p>
            <w:pPr>
              <w:spacing w:before="30" w:after="30" w:line="252" w:lineRule="auto"/>
            </w:pPr>
            <w:r>
              <w:rPr>
                <w:rFonts w:ascii="Arial" w:hAnsi="Arial" w:eastAsia="宋体"/>
                <w:b w:val="0"/>
                <w:i w:val="0"/>
                <w:sz w:val="19"/>
              </w:rPr>
              <w:t>budget_submit</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9"/>
              </w:rPr>
              <w:t>空对象</w:t>
            </w:r>
          </w:p>
        </w:tc>
        <w:tc>
          <w:tcPr>
            <w:tcW w:type="dxa" w:w="2744"/>
            <w:vAlign w:val="top"/>
            <w:tcMar>
              <w:top w:w="65" w:type="dxa"/>
              <w:bottom w:w="65" w:type="dxa"/>
              <w:left w:w="65" w:type="dxa"/>
              <w:right w:w="65" w:type="dxa"/>
            </w:tcMar>
          </w:tcPr>
          <w:p>
            <w:pPr>
              <w:spacing w:before="30" w:after="30" w:line="252" w:lineRule="auto"/>
            </w:pPr>
            <w:r>
              <w:rPr>
                <w:rFonts w:ascii="Arial" w:hAnsi="Arial" w:eastAsia="宋体"/>
                <w:b w:val="0"/>
                <w:i w:val="0"/>
                <w:sz w:val="19"/>
              </w:rPr>
              <w:t>编制中→审核中</w:t>
            </w:r>
          </w:p>
        </w:tc>
      </w:tr>
      <w:tr>
        <w:trPr>
          <w:cantSplit/>
        </w:trPr>
        <w:tc>
          <w:tcPr>
            <w:tcW w:type="dxa" w:w="33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budget_approve</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空对象</w:t>
            </w:r>
          </w:p>
        </w:tc>
        <w:tc>
          <w:tcPr>
            <w:tcW w:type="dxa" w:w="27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负责人审批审核中版本</w:t>
            </w:r>
          </w:p>
        </w:tc>
      </w:tr>
      <w:tr>
        <w:trPr>
          <w:cantSplit/>
        </w:trPr>
        <w:tc>
          <w:tcPr>
            <w:tcW w:type="dxa" w:w="3381"/>
            <w:vAlign w:val="top"/>
            <w:tcMar>
              <w:top w:w="65" w:type="dxa"/>
              <w:bottom w:w="65" w:type="dxa"/>
              <w:left w:w="65" w:type="dxa"/>
              <w:right w:w="65" w:type="dxa"/>
            </w:tcMar>
          </w:tcPr>
          <w:p>
            <w:pPr>
              <w:spacing w:before="30" w:after="30" w:line="252" w:lineRule="auto"/>
            </w:pPr>
            <w:r>
              <w:rPr>
                <w:rFonts w:ascii="Arial" w:hAnsi="Arial" w:eastAsia="宋体"/>
                <w:b w:val="0"/>
                <w:i w:val="0"/>
                <w:sz w:val="19"/>
              </w:rPr>
              <w:t>budget_lock</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9"/>
              </w:rPr>
              <w:t>空对象</w:t>
            </w:r>
          </w:p>
        </w:tc>
        <w:tc>
          <w:tcPr>
            <w:tcW w:type="dxa" w:w="2744"/>
            <w:vAlign w:val="top"/>
            <w:tcMar>
              <w:top w:w="65" w:type="dxa"/>
              <w:bottom w:w="65" w:type="dxa"/>
              <w:left w:w="65" w:type="dxa"/>
              <w:right w:w="65" w:type="dxa"/>
            </w:tcMar>
          </w:tcPr>
          <w:p>
            <w:pPr>
              <w:spacing w:before="30" w:after="30" w:line="252" w:lineRule="auto"/>
            </w:pPr>
            <w:r>
              <w:rPr>
                <w:rFonts w:ascii="Arial" w:hAnsi="Arial" w:eastAsia="宋体"/>
                <w:b w:val="0"/>
                <w:i w:val="0"/>
                <w:sz w:val="19"/>
              </w:rPr>
              <w:t>负责人锁定已审批版本</w:t>
            </w:r>
          </w:p>
        </w:tc>
      </w:tr>
      <w:tr>
        <w:trPr>
          <w:cantSplit/>
        </w:trPr>
        <w:tc>
          <w:tcPr>
            <w:tcW w:type="dxa" w:w="33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budget_copy</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name、scenario</w:t>
            </w:r>
          </w:p>
        </w:tc>
        <w:tc>
          <w:tcPr>
            <w:tcW w:type="dxa" w:w="27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完整复制当前预算为新编制版</w:t>
            </w:r>
          </w:p>
        </w:tc>
      </w:tr>
      <w:tr>
        <w:trPr>
          <w:cantSplit/>
        </w:trPr>
        <w:tc>
          <w:tcPr>
            <w:tcW w:type="dxa" w:w="3381"/>
            <w:vAlign w:val="top"/>
            <w:tcMar>
              <w:top w:w="65" w:type="dxa"/>
              <w:bottom w:w="65" w:type="dxa"/>
              <w:left w:w="65" w:type="dxa"/>
              <w:right w:w="65" w:type="dxa"/>
            </w:tcMar>
          </w:tcPr>
          <w:p>
            <w:pPr>
              <w:spacing w:before="30" w:after="30" w:line="252" w:lineRule="auto"/>
            </w:pPr>
            <w:r>
              <w:rPr>
                <w:rFonts w:ascii="Arial" w:hAnsi="Arial" w:eastAsia="宋体"/>
                <w:b w:val="0"/>
                <w:i w:val="0"/>
                <w:sz w:val="19"/>
              </w:rPr>
              <w:t>budget_switch</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9"/>
              </w:rPr>
              <w:t>name</w:t>
            </w:r>
          </w:p>
        </w:tc>
        <w:tc>
          <w:tcPr>
            <w:tcW w:type="dxa" w:w="2744"/>
            <w:vAlign w:val="top"/>
            <w:tcMar>
              <w:top w:w="65" w:type="dxa"/>
              <w:bottom w:w="65" w:type="dxa"/>
              <w:left w:w="65" w:type="dxa"/>
              <w:right w:w="65" w:type="dxa"/>
            </w:tcMar>
          </w:tcPr>
          <w:p>
            <w:pPr>
              <w:spacing w:before="30" w:after="30" w:line="252" w:lineRule="auto"/>
            </w:pPr>
            <w:r>
              <w:rPr>
                <w:rFonts w:ascii="Arial" w:hAnsi="Arial" w:eastAsia="宋体"/>
                <w:b w:val="0"/>
                <w:i w:val="0"/>
                <w:sz w:val="19"/>
              </w:rPr>
              <w:t>切换当前版本及其目标/明细等</w:t>
            </w:r>
          </w:p>
        </w:tc>
      </w:tr>
      <w:tr>
        <w:trPr>
          <w:cantSplit/>
        </w:trPr>
        <w:tc>
          <w:tcPr>
            <w:tcW w:type="dxa" w:w="33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budget_adjust_create</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layer、delta、reason</w:t>
            </w:r>
          </w:p>
        </w:tc>
        <w:tc>
          <w:tcPr>
            <w:tcW w:type="dxa" w:w="27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保存非零、调整后不负的独立申请</w:t>
            </w:r>
          </w:p>
        </w:tc>
      </w:tr>
      <w:tr>
        <w:trPr>
          <w:cantSplit/>
        </w:trPr>
        <w:tc>
          <w:tcPr>
            <w:tcW w:type="dxa" w:w="3381"/>
            <w:vAlign w:val="top"/>
            <w:tcMar>
              <w:top w:w="65" w:type="dxa"/>
              <w:bottom w:w="65" w:type="dxa"/>
              <w:left w:w="65" w:type="dxa"/>
              <w:right w:w="65" w:type="dxa"/>
            </w:tcMar>
          </w:tcPr>
          <w:p>
            <w:pPr>
              <w:spacing w:before="30" w:after="30" w:line="252" w:lineRule="auto"/>
            </w:pPr>
            <w:r>
              <w:rPr>
                <w:rFonts w:ascii="Arial" w:hAnsi="Arial" w:eastAsia="宋体"/>
                <w:b w:val="0"/>
                <w:i w:val="0"/>
                <w:sz w:val="19"/>
              </w:rPr>
              <w:t>budget_adjust_approve</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9"/>
              </w:rPr>
              <w:t>id</w:t>
            </w:r>
          </w:p>
        </w:tc>
        <w:tc>
          <w:tcPr>
            <w:tcW w:type="dxa" w:w="2744"/>
            <w:vAlign w:val="top"/>
            <w:tcMar>
              <w:top w:w="65" w:type="dxa"/>
              <w:bottom w:w="65" w:type="dxa"/>
              <w:left w:w="65" w:type="dxa"/>
              <w:right w:w="65" w:type="dxa"/>
            </w:tcMar>
          </w:tcPr>
          <w:p>
            <w:pPr>
              <w:spacing w:before="30" w:after="30" w:line="252" w:lineRule="auto"/>
            </w:pPr>
            <w:r>
              <w:rPr>
                <w:rFonts w:ascii="Arial" w:hAnsi="Arial" w:eastAsia="宋体"/>
                <w:b w:val="0"/>
                <w:i w:val="0"/>
                <w:sz w:val="19"/>
              </w:rPr>
              <w:t>负责人批准，生成独立新版本</w:t>
            </w:r>
          </w:p>
        </w:tc>
      </w:tr>
      <w:tr>
        <w:trPr>
          <w:cantSplit/>
        </w:trPr>
        <w:tc>
          <w:tcPr>
            <w:tcW w:type="dxa" w:w="33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budget_adjust_reject</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id、reason</w:t>
            </w:r>
          </w:p>
        </w:tc>
        <w:tc>
          <w:tcPr>
            <w:tcW w:type="dxa" w:w="27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负责人退回，保留来源和原因</w:t>
            </w:r>
          </w:p>
        </w:tc>
      </w:tr>
    </w:tbl>
    <w:p>
      <w:pPr>
        <w:spacing w:after="40"/>
      </w:pPr>
    </w:p>
    <w:p>
      <w:pPr>
        <w:pStyle w:val="Heading1"/>
      </w:pPr>
      <w:bookmarkStart w:id="62" w:name="epm_62"/>
      <w:r>
        <w:rPr>
          <w:rFonts w:ascii="Arial" w:hAnsi="Arial" w:eastAsia="宋体"/>
          <w:b w:val="0"/>
          <w:i w:val="0"/>
        </w:rPr>
        <w:t>十五、权限、页面安全与治理模块</w:t>
      </w:r>
      <w:bookmarkEnd w:id="62"/>
    </w:p>
    <w:p>
      <w:pPr>
        <w:pStyle w:val="Heading2"/>
      </w:pPr>
      <w:bookmarkStart w:id="63" w:name="epm_63"/>
      <w:r>
        <w:rPr>
          <w:rFonts w:ascii="Arial" w:hAnsi="Arial" w:eastAsia="宋体"/>
          <w:b w:val="0"/>
          <w:i w:val="0"/>
        </w:rPr>
        <w:t>15.1 演示角色</w:t>
      </w:r>
      <w:bookmarkEnd w:id="63"/>
    </w:p>
    <w:tbl>
      <w:tblPr>
        <w:tblStyle w:val="TableGrid"/>
        <w:tblW w:type="auto" w:w="0"/>
        <w:jc w:val="center"/>
        <w:tblLayout w:type="fixed"/>
        <w:tblLook w:firstColumn="1" w:firstRow="1" w:lastColumn="0" w:lastRow="0" w:noHBand="0" w:noVBand="1" w:val="04A0"/>
      </w:tblPr>
      <w:tblGrid>
        <w:gridCol w:w="1507"/>
        <w:gridCol w:w="5100"/>
        <w:gridCol w:w="2799"/>
      </w:tblGrid>
      <w:tr>
        <w:trPr>
          <w:cantSplit/>
          <w:tblHeader w:val="true"/>
        </w:trPr>
        <w:tc>
          <w:tcPr>
            <w:tcW w:type="dxa" w:w="150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角色</w:t>
            </w:r>
          </w:p>
        </w:tc>
        <w:tc>
          <w:tcPr>
            <w:tcW w:type="dxa" w:w="510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当前允许</w:t>
            </w:r>
          </w:p>
        </w:tc>
        <w:tc>
          <w:tcPr>
            <w:tcW w:type="dxa" w:w="279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当前禁止</w:t>
            </w:r>
          </w:p>
        </w:tc>
      </w:tr>
      <w:tr>
        <w:trPr>
          <w:cantSplit/>
        </w:trPr>
        <w:tc>
          <w:tcPr>
            <w:tcW w:type="dxa" w:w="1507"/>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集团财务负责人</w:t>
            </w:r>
          </w:p>
        </w:tc>
        <w:tc>
          <w:tcPr>
            <w:tcW w:type="dxa" w:w="5100"/>
            <w:vAlign w:val="top"/>
            <w:tcMar>
              <w:top w:w="65" w:type="dxa"/>
              <w:bottom w:w="65" w:type="dxa"/>
              <w:left w:w="65" w:type="dxa"/>
              <w:right w:w="65" w:type="dxa"/>
            </w:tcMar>
          </w:tcPr>
          <w:p>
            <w:pPr>
              <w:spacing w:before="30" w:after="30" w:line="252" w:lineRule="auto"/>
            </w:pPr>
            <w:r>
              <w:rPr>
                <w:rFonts w:ascii="Arial" w:hAnsi="Arial" w:eastAsia="宋体"/>
                <w:b w:val="0"/>
                <w:i w:val="0"/>
                <w:sz w:val="19"/>
              </w:rPr>
              <w:t>配置、ERP适配/科目/批次停用/模式转换/批审、源维护、计算、签核/重开、预算审批/锁定、系统设置</w:t>
            </w:r>
          </w:p>
        </w:tc>
        <w:tc>
          <w:tcPr>
            <w:tcW w:type="dxa" w:w="2799"/>
            <w:vAlign w:val="top"/>
            <w:tcMar>
              <w:top w:w="65" w:type="dxa"/>
              <w:bottom w:w="65" w:type="dxa"/>
              <w:left w:w="65" w:type="dxa"/>
              <w:right w:w="65" w:type="dxa"/>
            </w:tcMar>
          </w:tcPr>
          <w:p>
            <w:pPr>
              <w:spacing w:before="30" w:after="30" w:line="252" w:lineRule="auto"/>
            </w:pPr>
            <w:r>
              <w:rPr>
                <w:rFonts w:ascii="Arial" w:hAnsi="Arial" w:eastAsia="宋体"/>
                <w:b w:val="0"/>
                <w:i w:val="0"/>
                <w:sz w:val="19"/>
              </w:rPr>
              <w:t>仍受金额、状态、范围和版本校验</w:t>
            </w:r>
          </w:p>
        </w:tc>
      </w:tr>
      <w:tr>
        <w:trPr>
          <w:cantSplit/>
        </w:trPr>
        <w:tc>
          <w:tcPr>
            <w:tcW w:type="dxa" w:w="15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法人会计</w:t>
            </w:r>
          </w:p>
        </w:tc>
        <w:tc>
          <w:tcPr>
            <w:tcW w:type="dxa" w:w="51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源维护、ERP期初/凭证导入、单体生成/匹配/自动草稿、计算、预算编制/提交/申请、经营说明</w:t>
            </w:r>
          </w:p>
        </w:tc>
        <w:tc>
          <w:tcPr>
            <w:tcW w:type="dxa" w:w="279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负责人专用配置、批准、签核、重开及锁定</w:t>
            </w:r>
          </w:p>
        </w:tc>
      </w:tr>
      <w:tr>
        <w:trPr>
          <w:cantSplit/>
        </w:trPr>
        <w:tc>
          <w:tcPr>
            <w:tcW w:type="dxa" w:w="1507"/>
            <w:vAlign w:val="top"/>
            <w:tcMar>
              <w:top w:w="65" w:type="dxa"/>
              <w:bottom w:w="65" w:type="dxa"/>
              <w:left w:w="65" w:type="dxa"/>
              <w:right w:w="65" w:type="dxa"/>
            </w:tcMar>
          </w:tcPr>
          <w:p>
            <w:pPr>
              <w:spacing w:before="30" w:after="30" w:line="252" w:lineRule="auto"/>
            </w:pPr>
            <w:r>
              <w:rPr>
                <w:rFonts w:ascii="Arial" w:hAnsi="Arial" w:eastAsia="宋体"/>
                <w:b w:val="0"/>
                <w:i w:val="0"/>
                <w:sz w:val="19"/>
              </w:rPr>
              <w:t>审计只读</w:t>
            </w:r>
          </w:p>
        </w:tc>
        <w:tc>
          <w:tcPr>
            <w:tcW w:type="dxa" w:w="5100"/>
            <w:vAlign w:val="top"/>
            <w:tcMar>
              <w:top w:w="65" w:type="dxa"/>
              <w:bottom w:w="65" w:type="dxa"/>
              <w:left w:w="65" w:type="dxa"/>
              <w:right w:w="65" w:type="dxa"/>
            </w:tcMar>
          </w:tcPr>
          <w:p>
            <w:pPr>
              <w:spacing w:before="30" w:after="30" w:line="252" w:lineRule="auto"/>
            </w:pPr>
            <w:r>
              <w:rPr>
                <w:rFonts w:ascii="Arial" w:hAnsi="Arial" w:eastAsia="宋体"/>
                <w:b w:val="0"/>
                <w:i w:val="0"/>
                <w:sz w:val="19"/>
              </w:rPr>
              <w:t>阅读页面、报表、版本和审计，查看/导出证据</w:t>
            </w:r>
          </w:p>
        </w:tc>
        <w:tc>
          <w:tcPr>
            <w:tcW w:type="dxa" w:w="2799"/>
            <w:vAlign w:val="top"/>
            <w:tcMar>
              <w:top w:w="65" w:type="dxa"/>
              <w:bottom w:w="65" w:type="dxa"/>
              <w:left w:w="65" w:type="dxa"/>
              <w:right w:w="65" w:type="dxa"/>
            </w:tcMar>
          </w:tcPr>
          <w:p>
            <w:pPr>
              <w:spacing w:before="30" w:after="30" w:line="252" w:lineRule="auto"/>
            </w:pPr>
            <w:r>
              <w:rPr>
                <w:rFonts w:ascii="Arial" w:hAnsi="Arial" w:eastAsia="宋体"/>
                <w:b w:val="0"/>
                <w:i w:val="0"/>
                <w:sz w:val="19"/>
              </w:rPr>
              <w:t>业务写入和审批</w:t>
            </w:r>
          </w:p>
        </w:tc>
      </w:tr>
    </w:tbl>
    <w:p>
      <w:pPr>
        <w:spacing w:after="40"/>
      </w:pPr>
    </w:p>
    <w:p>
      <w:r>
        <w:rPr>
          <w:rFonts w:ascii="Arial" w:hAnsi="Arial" w:eastAsia="宋体"/>
          <w:b w:val="0"/>
          <w:i w:val="0"/>
        </w:rPr>
        <w:t>此处描述服务端演示职责，不是按法人行级数据授权。所有角色均在同一本机演示账套内，用户可切换角色；没有生产账号、密码、组织隔离、真实审批人绑定或职责冲突检测。正式系统应另接身份认证和服务端组织数据范围。</w:t>
      </w:r>
    </w:p>
    <w:p>
      <w:pPr>
        <w:pStyle w:val="Heading2"/>
      </w:pPr>
      <w:bookmarkStart w:id="64" w:name="epm_64"/>
      <w:r>
        <w:rPr>
          <w:rFonts w:ascii="Arial" w:hAnsi="Arial" w:eastAsia="宋体"/>
          <w:b w:val="0"/>
          <w:i w:val="0"/>
        </w:rPr>
        <w:t>15.2 本机HTTP防护</w:t>
      </w:r>
      <w:bookmarkEnd w:id="64"/>
    </w:p>
    <w:p>
      <w:r>
        <w:rPr>
          <w:rFonts w:ascii="Arial" w:hAnsi="Arial" w:eastAsia="宋体"/>
          <w:b w:val="0"/>
          <w:i w:val="0"/>
        </w:rPr>
        <w:t>服务限制准确Host，浏览器写请求必须同源Origin、有效Cookie及CSRF；JSON拒绝特殊非有限数字。静态文件路径经过resolve并限制在静态根目录，拒绝路径越界。响应设置no-store或no-cache、nosniff、no-referrer，页面配置CSP限制外部资源与嵌入。</w:t>
      </w:r>
    </w:p>
    <w:p>
      <w:r>
        <w:rPr>
          <w:rFonts w:ascii="Arial" w:hAnsi="Arial" w:eastAsia="宋体"/>
          <w:b w:val="0"/>
          <w:i w:val="0"/>
        </w:rPr>
        <w:t>前端escapeHtml转义动态名称、说明和来源文本后写入HTML。源数据或单元名不应被拼成可执行事件属性。验收实际保存含HTML标记的名称并打开24个路由，无脚本执行和页面异常。CSP仍允许内联脚本以适应单HTML打包，本地桌面演示设计不能直接视为互联网生产安全基线。</w:t>
      </w:r>
    </w:p>
    <w:p>
      <w:pPr>
        <w:pStyle w:val="Heading2"/>
      </w:pPr>
      <w:bookmarkStart w:id="65" w:name="epm_65"/>
      <w:r>
        <w:rPr>
          <w:rFonts w:ascii="Arial" w:hAnsi="Arial" w:eastAsia="宋体"/>
          <w:b w:val="0"/>
          <w:i w:val="0"/>
        </w:rPr>
        <w:t>15.3 导出与经营说明</w:t>
      </w:r>
      <w:bookmarkEnd w:id="65"/>
    </w:p>
    <w:p>
      <w:r>
        <w:rPr>
          <w:rFonts w:ascii="Arial" w:hAnsi="Arial" w:eastAsia="宋体"/>
          <w:b w:val="0"/>
          <w:i w:val="0"/>
        </w:rPr>
        <w:t>报表CSV使用BOM、字段引号及当前公司/范围/期间/币种/结果版本标签。完整结果JSON包含虚构源、子结果ID、抵销和汇率证据。生产数据将来使用相同导出时需有下载授权、敏感字段及审计策略；本次公开材料仅来自虚构演示账套。</w:t>
      </w:r>
    </w:p>
    <w:p>
      <w:r>
        <w:rPr>
          <w:rFonts w:ascii="Arial" w:hAnsi="Arial" w:eastAsia="宋体"/>
          <w:b w:val="0"/>
          <w:i w:val="0"/>
        </w:rPr>
        <w:t>经营说明按unitId:month保存，可记录差异原因；它不改变财务结果或自动批准报表。系统配置保存公司显示名及固定年度，不将历史数据重标为新年度。审计页面读取服务端真实提交记录，而非前端模拟随机操作。</w:t>
      </w:r>
    </w:p>
    <w:p>
      <w:pPr>
        <w:pStyle w:val="Heading1"/>
      </w:pPr>
      <w:bookmarkStart w:id="66" w:name="epm_66"/>
      <w:r>
        <w:rPr>
          <w:rFonts w:ascii="Arial" w:hAnsi="Arial" w:eastAsia="宋体"/>
          <w:b w:val="0"/>
          <w:i w:val="0"/>
        </w:rPr>
        <w:t>十六、运行、部署、备份与排错</w:t>
      </w:r>
      <w:bookmarkEnd w:id="66"/>
    </w:p>
    <w:p>
      <w:pPr>
        <w:pStyle w:val="Heading2"/>
      </w:pPr>
      <w:bookmarkStart w:id="67" w:name="epm_67"/>
      <w:r>
        <w:rPr>
          <w:rFonts w:ascii="Arial" w:hAnsi="Arial" w:eastAsia="宋体"/>
          <w:b w:val="0"/>
          <w:i w:val="0"/>
        </w:rPr>
        <w:t>16.1 用户运行目录</w:t>
      </w:r>
      <w:bookmarkEnd w:id="67"/>
    </w:p>
    <w:tbl>
      <w:tblPr>
        <w:tblStyle w:val="TableGrid"/>
        <w:tblW w:type="auto" w:w="0"/>
        <w:jc w:val="center"/>
        <w:tblLayout w:type="fixed"/>
        <w:tblLook w:firstColumn="1" w:firstRow="1" w:lastColumn="0" w:lastRow="0" w:noHBand="0" w:noVBand="1" w:val="04A0"/>
      </w:tblPr>
      <w:tblGrid>
        <w:gridCol w:w="4193"/>
        <w:gridCol w:w="5213"/>
      </w:tblGrid>
      <w:tr>
        <w:trPr>
          <w:cantSplit/>
          <w:tblHeader w:val="true"/>
        </w:trPr>
        <w:tc>
          <w:tcPr>
            <w:tcW w:type="dxa" w:w="419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目录或文件</w:t>
            </w:r>
          </w:p>
        </w:tc>
        <w:tc>
          <w:tcPr>
            <w:tcW w:type="dxa" w:w="521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用途</w:t>
            </w:r>
          </w:p>
        </w:tc>
      </w:tr>
      <w:tr>
        <w:trPr>
          <w:cantSplit/>
        </w:trPr>
        <w:tc>
          <w:tcPr>
            <w:tcW w:type="dxa" w:w="4193"/>
            <w:vAlign w:val="top"/>
            <w:tcMar>
              <w:top w:w="65" w:type="dxa"/>
              <w:bottom w:w="65" w:type="dxa"/>
              <w:left w:w="65" w:type="dxa"/>
              <w:right w:w="65" w:type="dxa"/>
            </w:tcMar>
          </w:tcPr>
          <w:p>
            <w:pPr>
              <w:spacing w:before="30" w:after="30" w:line="252" w:lineRule="auto"/>
            </w:pPr>
            <w:r>
              <w:rPr>
                <w:rFonts w:ascii="Arial" w:hAnsi="Arial" w:eastAsia="宋体"/>
                <w:b w:val="0"/>
                <w:i w:val="0"/>
                <w:sz w:val="19"/>
              </w:rPr>
              <w:t>天元EPM 凭证合并Demo.exe</w:t>
            </w:r>
          </w:p>
        </w:tc>
        <w:tc>
          <w:tcPr>
            <w:tcW w:type="dxa" w:w="5213"/>
            <w:vAlign w:val="top"/>
            <w:tcMar>
              <w:top w:w="65" w:type="dxa"/>
              <w:bottom w:w="65" w:type="dxa"/>
              <w:left w:w="65" w:type="dxa"/>
              <w:right w:w="65" w:type="dxa"/>
            </w:tcMar>
          </w:tcPr>
          <w:p>
            <w:pPr>
              <w:spacing w:before="30" w:after="30" w:line="252" w:lineRule="auto"/>
            </w:pPr>
            <w:r>
              <w:rPr>
                <w:rFonts w:ascii="Arial" w:hAnsi="Arial" w:eastAsia="宋体"/>
                <w:b w:val="0"/>
                <w:i w:val="0"/>
                <w:sz w:val="19"/>
              </w:rPr>
              <w:t>Windows图形启动入口</w:t>
            </w:r>
          </w:p>
        </w:tc>
      </w:tr>
      <w:tr>
        <w:trPr>
          <w:cantSplit/>
        </w:trPr>
        <w:tc>
          <w:tcPr>
            <w:tcW w:type="dxa" w:w="41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app</w:t>
            </w:r>
          </w:p>
        </w:tc>
        <w:tc>
          <w:tcPr>
            <w:tcW w:type="dxa" w:w="52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当前实例管理器</w:t>
            </w:r>
          </w:p>
        </w:tc>
      </w:tr>
      <w:tr>
        <w:trPr>
          <w:cantSplit/>
        </w:trPr>
        <w:tc>
          <w:tcPr>
            <w:tcW w:type="dxa" w:w="4193"/>
            <w:vAlign w:val="top"/>
            <w:tcMar>
              <w:top w:w="65" w:type="dxa"/>
              <w:bottom w:w="65" w:type="dxa"/>
              <w:left w:w="65" w:type="dxa"/>
              <w:right w:w="65" w:type="dxa"/>
            </w:tcMar>
          </w:tcPr>
          <w:p>
            <w:pPr>
              <w:spacing w:before="30" w:after="30" w:line="252" w:lineRule="auto"/>
            </w:pPr>
            <w:r>
              <w:rPr>
                <w:rFonts w:ascii="Arial" w:hAnsi="Arial" w:eastAsia="宋体"/>
                <w:b w:val="0"/>
                <w:i w:val="0"/>
                <w:sz w:val="19"/>
              </w:rPr>
              <w:t>python</w:t>
            </w:r>
          </w:p>
        </w:tc>
        <w:tc>
          <w:tcPr>
            <w:tcW w:type="dxa" w:w="5213"/>
            <w:vAlign w:val="top"/>
            <w:tcMar>
              <w:top w:w="65" w:type="dxa"/>
              <w:bottom w:w="65" w:type="dxa"/>
              <w:left w:w="65" w:type="dxa"/>
              <w:right w:w="65" w:type="dxa"/>
            </w:tcMar>
          </w:tcPr>
          <w:p>
            <w:pPr>
              <w:spacing w:before="30" w:after="30" w:line="252" w:lineRule="auto"/>
            </w:pPr>
            <w:r>
              <w:rPr>
                <w:rFonts w:ascii="Arial" w:hAnsi="Arial" w:eastAsia="宋体"/>
                <w:b w:val="0"/>
                <w:i w:val="0"/>
                <w:sz w:val="19"/>
              </w:rPr>
              <w:t>包内Windows解释器及所需运行库，用户不单独安装</w:t>
            </w:r>
          </w:p>
        </w:tc>
      </w:tr>
      <w:tr>
        <w:trPr>
          <w:cantSplit/>
        </w:trPr>
        <w:tc>
          <w:tcPr>
            <w:tcW w:type="dxa" w:w="41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backend</w:t>
            </w:r>
          </w:p>
        </w:tc>
        <w:tc>
          <w:tcPr>
            <w:tcW w:type="dxa" w:w="52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本次实际运行的后端代码</w:t>
            </w:r>
          </w:p>
        </w:tc>
      </w:tr>
      <w:tr>
        <w:trPr>
          <w:cantSplit/>
        </w:trPr>
        <w:tc>
          <w:tcPr>
            <w:tcW w:type="dxa" w:w="4193"/>
            <w:vAlign w:val="top"/>
            <w:tcMar>
              <w:top w:w="65" w:type="dxa"/>
              <w:bottom w:w="65" w:type="dxa"/>
              <w:left w:w="65" w:type="dxa"/>
              <w:right w:w="65" w:type="dxa"/>
            </w:tcMar>
          </w:tcPr>
          <w:p>
            <w:pPr>
              <w:spacing w:before="30" w:after="30" w:line="252" w:lineRule="auto"/>
            </w:pPr>
            <w:r>
              <w:rPr>
                <w:rFonts w:ascii="Arial" w:hAnsi="Arial" w:eastAsia="宋体"/>
                <w:b w:val="0"/>
                <w:i w:val="0"/>
                <w:sz w:val="19"/>
              </w:rPr>
              <w:t>frontend/index.html</w:t>
            </w:r>
          </w:p>
        </w:tc>
        <w:tc>
          <w:tcPr>
            <w:tcW w:type="dxa" w:w="5213"/>
            <w:vAlign w:val="top"/>
            <w:tcMar>
              <w:top w:w="65" w:type="dxa"/>
              <w:bottom w:w="65" w:type="dxa"/>
              <w:left w:w="65" w:type="dxa"/>
              <w:right w:w="65" w:type="dxa"/>
            </w:tcMar>
          </w:tcPr>
          <w:p>
            <w:pPr>
              <w:spacing w:before="30" w:after="30" w:line="252" w:lineRule="auto"/>
            </w:pPr>
            <w:r>
              <w:rPr>
                <w:rFonts w:ascii="Arial" w:hAnsi="Arial" w:eastAsia="宋体"/>
                <w:b w:val="0"/>
                <w:i w:val="0"/>
                <w:sz w:val="19"/>
              </w:rPr>
              <w:t>本次实际运行的中文前端</w:t>
            </w:r>
          </w:p>
        </w:tc>
      </w:tr>
      <w:tr>
        <w:trPr>
          <w:cantSplit/>
        </w:trPr>
        <w:tc>
          <w:tcPr>
            <w:tcW w:type="dxa" w:w="41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source</w:t>
            </w:r>
          </w:p>
        </w:tc>
        <w:tc>
          <w:tcPr>
            <w:tcW w:type="dxa" w:w="52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开发原稿、构建入口、API/计算契约及验收脚本</w:t>
            </w:r>
          </w:p>
        </w:tc>
      </w:tr>
      <w:tr>
        <w:trPr>
          <w:cantSplit/>
        </w:trPr>
        <w:tc>
          <w:tcPr>
            <w:tcW w:type="dxa" w:w="4193"/>
            <w:vAlign w:val="top"/>
            <w:tcMar>
              <w:top w:w="65" w:type="dxa"/>
              <w:bottom w:w="65" w:type="dxa"/>
              <w:left w:w="65" w:type="dxa"/>
              <w:right w:w="65" w:type="dxa"/>
            </w:tcMar>
          </w:tcPr>
          <w:p>
            <w:pPr>
              <w:spacing w:before="30" w:after="30" w:line="252" w:lineRule="auto"/>
            </w:pPr>
            <w:r>
              <w:rPr>
                <w:rFonts w:ascii="Arial" w:hAnsi="Arial" w:eastAsia="宋体"/>
                <w:b w:val="0"/>
                <w:i w:val="0"/>
                <w:sz w:val="19"/>
              </w:rPr>
              <w:t>docs</w:t>
            </w:r>
          </w:p>
        </w:tc>
        <w:tc>
          <w:tcPr>
            <w:tcW w:type="dxa" w:w="5213"/>
            <w:vAlign w:val="top"/>
            <w:tcMar>
              <w:top w:w="65" w:type="dxa"/>
              <w:bottom w:w="65" w:type="dxa"/>
              <w:left w:w="65" w:type="dxa"/>
              <w:right w:w="65" w:type="dxa"/>
            </w:tcMar>
          </w:tcPr>
          <w:p>
            <w:pPr>
              <w:spacing w:before="30" w:after="30" w:line="252" w:lineRule="auto"/>
            </w:pPr>
            <w:r>
              <w:rPr>
                <w:rFonts w:ascii="Arial" w:hAnsi="Arial" w:eastAsia="宋体"/>
                <w:b w:val="0"/>
                <w:i w:val="0"/>
                <w:sz w:val="19"/>
              </w:rPr>
              <w:t>中文Word/PDF及配图</w:t>
            </w:r>
          </w:p>
        </w:tc>
      </w:tr>
      <w:tr>
        <w:trPr>
          <w:cantSplit/>
        </w:trPr>
        <w:tc>
          <w:tcPr>
            <w:tcW w:type="dxa" w:w="41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verification</w:t>
            </w:r>
          </w:p>
        </w:tc>
        <w:tc>
          <w:tcPr>
            <w:tcW w:type="dxa" w:w="52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原生构建、实际Windows运行链路及历史环境保护证据</w:t>
            </w:r>
          </w:p>
        </w:tc>
      </w:tr>
      <w:tr>
        <w:trPr>
          <w:cantSplit/>
        </w:trPr>
        <w:tc>
          <w:tcPr>
            <w:tcW w:type="dxa" w:w="4193"/>
            <w:vAlign w:val="top"/>
            <w:tcMar>
              <w:top w:w="65" w:type="dxa"/>
              <w:bottom w:w="65" w:type="dxa"/>
              <w:left w:w="65" w:type="dxa"/>
              <w:right w:w="65" w:type="dxa"/>
            </w:tcMar>
          </w:tcPr>
          <w:p>
            <w:pPr>
              <w:spacing w:before="30" w:after="30" w:line="252" w:lineRule="auto"/>
            </w:pPr>
            <w:r>
              <w:rPr>
                <w:rFonts w:ascii="Arial" w:hAnsi="Arial" w:eastAsia="宋体"/>
                <w:b w:val="0"/>
                <w:i w:val="0"/>
                <w:sz w:val="19"/>
              </w:rPr>
              <w:t>licenses</w:t>
            </w:r>
          </w:p>
        </w:tc>
        <w:tc>
          <w:tcPr>
            <w:tcW w:type="dxa" w:w="5213"/>
            <w:vAlign w:val="top"/>
            <w:tcMar>
              <w:top w:w="65" w:type="dxa"/>
              <w:bottom w:w="65" w:type="dxa"/>
              <w:left w:w="65" w:type="dxa"/>
              <w:right w:w="65" w:type="dxa"/>
            </w:tcMar>
          </w:tcPr>
          <w:p>
            <w:pPr>
              <w:spacing w:before="30" w:after="30" w:line="252" w:lineRule="auto"/>
            </w:pPr>
            <w:r>
              <w:rPr>
                <w:rFonts w:ascii="Arial" w:hAnsi="Arial" w:eastAsia="宋体"/>
                <w:b w:val="0"/>
                <w:i w:val="0"/>
                <w:sz w:val="19"/>
              </w:rPr>
              <w:t>包内运行环境许可</w:t>
            </w:r>
          </w:p>
        </w:tc>
      </w:tr>
      <w:tr>
        <w:trPr>
          <w:cantSplit/>
        </w:trPr>
        <w:tc>
          <w:tcPr>
            <w:tcW w:type="dxa" w:w="41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SHA256SUMS.txt</w:t>
            </w:r>
          </w:p>
        </w:tc>
        <w:tc>
          <w:tcPr>
            <w:tcW w:type="dxa" w:w="52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逐文件校验清单</w:t>
            </w:r>
          </w:p>
        </w:tc>
      </w:tr>
    </w:tbl>
    <w:p>
      <w:pPr>
        <w:spacing w:after="40"/>
      </w:pPr>
    </w:p>
    <w:p>
      <w:r>
        <w:rPr>
          <w:rFonts w:ascii="Arial" w:hAnsi="Arial" w:eastAsia="宋体"/>
          <w:b w:val="0"/>
          <w:i w:val="0"/>
        </w:rPr>
        <w:t>完整解压后运行，不能在ZIP预览器中只双击一个EXE。默认数据与程序解压位置分开。不要使用旧平台18480固定地址代替新EXE自动打开的地址。</w:t>
      </w:r>
    </w:p>
    <w:p>
      <w:pPr>
        <w:pStyle w:val="Heading2"/>
      </w:pPr>
      <w:bookmarkStart w:id="68" w:name="epm_68"/>
      <w:r>
        <w:rPr>
          <w:rFonts w:ascii="Arial" w:hAnsi="Arial" w:eastAsia="宋体"/>
          <w:b w:val="0"/>
          <w:i w:val="0"/>
        </w:rPr>
        <w:t>16.2 本机开发启动</w:t>
      </w:r>
      <w:bookmarkEnd w:id="68"/>
    </w:p>
    <w:p>
      <w:r>
        <w:rPr>
          <w:rFonts w:ascii="Arial" w:hAnsi="Arial" w:eastAsia="宋体"/>
          <w:b w:val="0"/>
          <w:i w:val="0"/>
        </w:rPr>
        <w:t>以下命令供研发，在项目源码根执行。数据目录选择新的、专用于本基线的目录，禁止指向旧真实账套。</w:t>
      </w:r>
    </w:p>
    <w:p>
      <w:pPr>
        <w:spacing w:before="0" w:after="0" w:line="240" w:lineRule="auto"/>
        <w:ind w:left="113"/>
        <w:shd w:fill="F4F6FA"/>
      </w:pPr>
      <w:r>
        <w:rPr>
          <w:rFonts w:ascii="Consolas" w:hAnsi="Consolas" w:eastAsia="宋体"/>
          <w:sz w:val="16"/>
        </w:rPr>
        <w:t>python frontend-build.py</w:t>
      </w:r>
    </w:p>
    <w:p>
      <w:pPr>
        <w:spacing w:before="0" w:after="0" w:line="240" w:lineRule="auto"/>
        <w:ind w:left="113"/>
        <w:shd w:fill="F4F6FA"/>
      </w:pPr>
      <w:r>
        <w:rPr>
          <w:rFonts w:ascii="Consolas" w:hAnsi="Consolas" w:eastAsia="宋体"/>
          <w:sz w:val="16"/>
        </w:rPr>
        <w:t>python -I backend/server.py --data-dir /tmp/tianyuan-epm-erp-dev --port 0 --no-browser</w:t>
      </w:r>
    </w:p>
    <w:p>
      <w:pPr>
        <w:spacing w:after="20"/>
      </w:pPr>
    </w:p>
    <w:p>
      <w:r>
        <w:rPr>
          <w:rFonts w:ascii="Arial" w:hAnsi="Arial" w:eastAsia="宋体"/>
          <w:b w:val="0"/>
          <w:i w:val="0"/>
        </w:rPr>
        <w:t>标准库后端不需要安装Web框架。开发控制台的启动输出包含仅本机使用的入口凭据，不能完整复制到公开问题记录。静态根可通过--static-dir明确指定。浏览器单独打开HTML文件无法替代HTTP服务、事务存储或会话。</w:t>
      </w:r>
    </w:p>
    <w:p>
      <w:pPr>
        <w:pStyle w:val="Heading2"/>
      </w:pPr>
      <w:bookmarkStart w:id="69" w:name="epm_69"/>
      <w:r>
        <w:rPr>
          <w:rFonts w:ascii="Arial" w:hAnsi="Arial" w:eastAsia="宋体"/>
          <w:b w:val="0"/>
          <w:i w:val="0"/>
        </w:rPr>
        <w:t>16.3 Windows管理参数</w:t>
      </w:r>
      <w:bookmarkEnd w:id="69"/>
    </w:p>
    <w:p>
      <w:pPr>
        <w:spacing w:before="0" w:after="0" w:line="240" w:lineRule="auto"/>
        <w:ind w:left="113"/>
        <w:shd w:fill="F4F6FA"/>
      </w:pPr>
      <w:r>
        <w:rPr>
          <w:rFonts w:ascii="Consolas" w:hAnsi="Consolas" w:eastAsia="宋体"/>
          <w:sz w:val="16"/>
        </w:rPr>
        <w:t>&amp; ".\天元EPM 凭证合并Demo.exe" --status</w:t>
      </w:r>
    </w:p>
    <w:p>
      <w:pPr>
        <w:spacing w:before="0" w:after="0" w:line="240" w:lineRule="auto"/>
        <w:ind w:left="113"/>
        <w:shd w:fill="F4F6FA"/>
      </w:pPr>
      <w:r>
        <w:rPr>
          <w:rFonts w:ascii="Consolas" w:hAnsi="Consolas" w:eastAsia="宋体"/>
          <w:sz w:val="16"/>
        </w:rPr>
        <w:t>&amp; ".\天元EPM 凭证合并Demo.exe" --open-data</w:t>
      </w:r>
    </w:p>
    <w:p>
      <w:pPr>
        <w:spacing w:before="0" w:after="0" w:line="240" w:lineRule="auto"/>
        <w:ind w:left="113"/>
        <w:shd w:fill="F4F6FA"/>
      </w:pPr>
      <w:r>
        <w:rPr>
          <w:rFonts w:ascii="Consolas" w:hAnsi="Consolas" w:eastAsia="宋体"/>
          <w:sz w:val="16"/>
        </w:rPr>
        <w:t>&amp; ".\天元EPM 凭证合并Demo.exe" --stop</w:t>
      </w:r>
    </w:p>
    <w:p>
      <w:pPr>
        <w:spacing w:before="0" w:after="0" w:line="240" w:lineRule="auto"/>
        <w:ind w:left="113"/>
        <w:shd w:fill="F4F6FA"/>
      </w:pPr>
      <w:r>
        <w:rPr>
          <w:rFonts w:ascii="Consolas" w:hAnsi="Consolas" w:eastAsia="宋体"/>
          <w:sz w:val="16"/>
        </w:rPr>
        <w:t>&amp; ".\天元EPM 凭证合并Demo.exe" --data-dir "D:\天元多层合并演示数据" --no-browser</w:t>
      </w:r>
    </w:p>
    <w:p>
      <w:pPr>
        <w:spacing w:after="20"/>
      </w:pPr>
    </w:p>
    <w:p>
      <w:r>
        <w:rPr>
          <w:rFonts w:ascii="Arial" w:hAnsi="Arial" w:eastAsia="宋体"/>
          <w:b w:val="0"/>
          <w:i w:val="0"/>
        </w:rPr>
        <w:t>若使用自定义data-dir，启动、状态和退出命令需保持相同目录。状态输出不含启动凭据。数据目录不可依靠删除数据库来解决普通业务校验错误。</w:t>
      </w:r>
    </w:p>
    <w:p>
      <w:pPr>
        <w:pStyle w:val="Heading2"/>
      </w:pPr>
      <w:bookmarkStart w:id="70" w:name="epm_70"/>
      <w:r>
        <w:rPr>
          <w:rFonts w:ascii="Arial" w:hAnsi="Arial" w:eastAsia="宋体"/>
          <w:b w:val="0"/>
          <w:i w:val="0"/>
        </w:rPr>
        <w:t>16.4 备份和恢复边界</w:t>
      </w:r>
      <w:bookmarkEnd w:id="70"/>
    </w:p>
    <w:p>
      <w:r>
        <w:rPr>
          <w:rFonts w:ascii="Arial" w:hAnsi="Arial" w:eastAsia="宋体"/>
          <w:b w:val="0"/>
          <w:i w:val="0"/>
        </w:rPr>
        <w:t>当前可执行的本机备份方法是先安全退出整个服务，再复制完整TianyuanEPMVoucherDemo数据目录，并记录软件基线、备份时间及校验值。服务运行期间只复制一个sqlite3文件可能遗漏WAL内容，不能作为已验收的一致性热备。</w:t>
      </w:r>
    </w:p>
    <w:p>
      <w:r>
        <w:rPr>
          <w:rFonts w:ascii="Arial" w:hAnsi="Arial" w:eastAsia="宋体"/>
          <w:b w:val="0"/>
          <w:i w:val="0"/>
        </w:rPr>
        <w:t>同版本机恢复可在服务停止后将整套备份复制至另一个独立目录，再以同版本--data-dir启动并核对当前结果ID/版本和预算；正式企业备份恢复、异地灾备、自动保留周期、加密、容量及恢复时限尚需专项实现与验收。当前没有自动旧库迁移。</w:t>
      </w:r>
    </w:p>
    <w:p>
      <w:pPr>
        <w:pStyle w:val="Heading2"/>
      </w:pPr>
      <w:bookmarkStart w:id="71" w:name="epm_71"/>
      <w:r>
        <w:rPr>
          <w:rFonts w:ascii="Arial" w:hAnsi="Arial" w:eastAsia="宋体"/>
          <w:b w:val="0"/>
          <w:i w:val="0"/>
        </w:rPr>
        <w:t>16.5 排错定位</w:t>
      </w:r>
      <w:bookmarkEnd w:id="71"/>
    </w:p>
    <w:tbl>
      <w:tblPr>
        <w:tblStyle w:val="TableGrid"/>
        <w:tblW w:type="auto" w:w="0"/>
        <w:jc w:val="center"/>
        <w:tblLayout w:type="fixed"/>
        <w:tblLook w:firstColumn="1" w:firstRow="1" w:lastColumn="0" w:lastRow="0" w:noHBand="0" w:noVBand="1" w:val="04A0"/>
      </w:tblPr>
      <w:tblGrid>
        <w:gridCol w:w="2197"/>
        <w:gridCol w:w="3376"/>
        <w:gridCol w:w="3833"/>
      </w:tblGrid>
      <w:tr>
        <w:trPr>
          <w:cantSplit/>
          <w:tblHeader w:val="true"/>
        </w:trPr>
        <w:tc>
          <w:tcPr>
            <w:tcW w:type="dxa" w:w="219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现象</w:t>
            </w:r>
          </w:p>
        </w:tc>
        <w:tc>
          <w:tcPr>
            <w:tcW w:type="dxa" w:w="337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先确认</w:t>
            </w:r>
          </w:p>
        </w:tc>
        <w:tc>
          <w:tcPr>
            <w:tcW w:type="dxa" w:w="383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技术定位</w:t>
            </w:r>
          </w:p>
        </w:tc>
      </w:tr>
      <w:tr>
        <w:trPr>
          <w:cantSplit/>
        </w:trPr>
        <w:tc>
          <w:tcPr>
            <w:tcW w:type="dxa" w:w="2197"/>
            <w:vAlign w:val="top"/>
            <w:tcMar>
              <w:top w:w="65" w:type="dxa"/>
              <w:bottom w:w="65" w:type="dxa"/>
              <w:left w:w="65" w:type="dxa"/>
              <w:right w:w="65" w:type="dxa"/>
            </w:tcMar>
          </w:tcPr>
          <w:p>
            <w:pPr>
              <w:spacing w:before="30" w:after="30" w:line="252" w:lineRule="auto"/>
            </w:pPr>
            <w:r>
              <w:rPr>
                <w:rFonts w:ascii="Arial" w:hAnsi="Arial" w:eastAsia="宋体"/>
                <w:b w:val="0"/>
                <w:i w:val="0"/>
                <w:sz w:val="19"/>
              </w:rPr>
              <w:t>双击无工作台</w:t>
            </w:r>
          </w:p>
        </w:tc>
        <w:tc>
          <w:tcPr>
            <w:tcW w:type="dxa" w:w="3376"/>
            <w:vAlign w:val="top"/>
            <w:tcMar>
              <w:top w:w="65" w:type="dxa"/>
              <w:bottom w:w="65" w:type="dxa"/>
              <w:left w:w="65" w:type="dxa"/>
              <w:right w:w="65" w:type="dxa"/>
            </w:tcMar>
          </w:tcPr>
          <w:p>
            <w:pPr>
              <w:spacing w:before="30" w:after="30" w:line="252" w:lineRule="auto"/>
            </w:pPr>
            <w:r>
              <w:rPr>
                <w:rFonts w:ascii="Arial" w:hAnsi="Arial" w:eastAsia="宋体"/>
                <w:b w:val="0"/>
                <w:i w:val="0"/>
                <w:sz w:val="19"/>
              </w:rPr>
              <w:t>完整解压、Windows x64、目录可读写</w:t>
            </w:r>
          </w:p>
        </w:tc>
        <w:tc>
          <w:tcPr>
            <w:tcW w:type="dxa" w:w="3833"/>
            <w:vAlign w:val="top"/>
            <w:tcMar>
              <w:top w:w="65" w:type="dxa"/>
              <w:bottom w:w="65" w:type="dxa"/>
              <w:left w:w="65" w:type="dxa"/>
              <w:right w:w="65" w:type="dxa"/>
            </w:tcMar>
          </w:tcPr>
          <w:p>
            <w:pPr>
              <w:spacing w:before="30" w:after="30" w:line="252" w:lineRule="auto"/>
            </w:pPr>
            <w:r>
              <w:rPr>
                <w:rFonts w:ascii="Arial" w:hAnsi="Arial" w:eastAsia="宋体"/>
                <w:b w:val="0"/>
                <w:i w:val="0"/>
                <w:sz w:val="19"/>
              </w:rPr>
              <w:t>logs/launcher.log；单位终端运行策略</w:t>
            </w:r>
          </w:p>
        </w:tc>
      </w:tr>
      <w:tr>
        <w:trPr>
          <w:cantSplit/>
        </w:trPr>
        <w:tc>
          <w:tcPr>
            <w:tcW w:type="dxa" w:w="21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页面无法连接</w:t>
            </w:r>
          </w:p>
        </w:tc>
        <w:tc>
          <w:tcPr>
            <w:tcW w:type="dxa" w:w="33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服务是否仍运行，是否使用新EXE地址</w:t>
            </w:r>
          </w:p>
        </w:tc>
        <w:tc>
          <w:tcPr>
            <w:tcW w:type="dxa" w:w="383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实例状态、backend.log、端口</w:t>
            </w:r>
          </w:p>
        </w:tc>
      </w:tr>
      <w:tr>
        <w:trPr>
          <w:cantSplit/>
        </w:trPr>
        <w:tc>
          <w:tcPr>
            <w:tcW w:type="dxa" w:w="2197"/>
            <w:vAlign w:val="top"/>
            <w:tcMar>
              <w:top w:w="65" w:type="dxa"/>
              <w:bottom w:w="65" w:type="dxa"/>
              <w:left w:w="65" w:type="dxa"/>
              <w:right w:w="65" w:type="dxa"/>
            </w:tcMar>
          </w:tcPr>
          <w:p>
            <w:pPr>
              <w:spacing w:before="30" w:after="30" w:line="252" w:lineRule="auto"/>
            </w:pPr>
            <w:r>
              <w:rPr>
                <w:rFonts w:ascii="Arial" w:hAnsi="Arial" w:eastAsia="宋体"/>
                <w:b w:val="0"/>
                <w:i w:val="0"/>
                <w:sz w:val="19"/>
              </w:rPr>
              <w:t>会话失效</w:t>
            </w:r>
          </w:p>
        </w:tc>
        <w:tc>
          <w:tcPr>
            <w:tcW w:type="dxa" w:w="3376"/>
            <w:vAlign w:val="top"/>
            <w:tcMar>
              <w:top w:w="65" w:type="dxa"/>
              <w:bottom w:w="65" w:type="dxa"/>
              <w:left w:w="65" w:type="dxa"/>
              <w:right w:w="65" w:type="dxa"/>
            </w:tcMar>
          </w:tcPr>
          <w:p>
            <w:pPr>
              <w:spacing w:before="30" w:after="30" w:line="252" w:lineRule="auto"/>
            </w:pPr>
            <w:r>
              <w:rPr>
                <w:rFonts w:ascii="Arial" w:hAnsi="Arial" w:eastAsia="宋体"/>
                <w:b w:val="0"/>
                <w:i w:val="0"/>
                <w:sz w:val="19"/>
              </w:rPr>
              <w:t>服务是否重启、Cookie是否已清理</w:t>
            </w:r>
          </w:p>
        </w:tc>
        <w:tc>
          <w:tcPr>
            <w:tcW w:type="dxa" w:w="3833"/>
            <w:vAlign w:val="top"/>
            <w:tcMar>
              <w:top w:w="65" w:type="dxa"/>
              <w:bottom w:w="65" w:type="dxa"/>
              <w:left w:w="65" w:type="dxa"/>
              <w:right w:w="65" w:type="dxa"/>
            </w:tcMar>
          </w:tcPr>
          <w:p>
            <w:pPr>
              <w:spacing w:before="30" w:after="30" w:line="252" w:lineRule="auto"/>
            </w:pPr>
            <w:r>
              <w:rPr>
                <w:rFonts w:ascii="Arial" w:hAnsi="Arial" w:eastAsia="宋体"/>
                <w:b w:val="0"/>
                <w:i w:val="0"/>
                <w:sz w:val="19"/>
              </w:rPr>
              <w:t>重新由EXE建立本机会话</w:t>
            </w:r>
          </w:p>
        </w:tc>
      </w:tr>
      <w:tr>
        <w:trPr>
          <w:cantSplit/>
        </w:trPr>
        <w:tc>
          <w:tcPr>
            <w:tcW w:type="dxa" w:w="21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保存提示版本冲突</w:t>
            </w:r>
          </w:p>
        </w:tc>
        <w:tc>
          <w:tcPr>
            <w:tcW w:type="dxa" w:w="33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是否另开页面先提交</w:t>
            </w:r>
          </w:p>
        </w:tc>
        <w:tc>
          <w:tcPr>
            <w:tcW w:type="dxa" w:w="383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重新读取revision并核对，禁止强制旧值覆盖</w:t>
            </w:r>
          </w:p>
        </w:tc>
      </w:tr>
      <w:tr>
        <w:trPr>
          <w:cantSplit/>
        </w:trPr>
        <w:tc>
          <w:tcPr>
            <w:tcW w:type="dxa" w:w="2197"/>
            <w:vAlign w:val="top"/>
            <w:tcMar>
              <w:top w:w="65" w:type="dxa"/>
              <w:bottom w:w="65" w:type="dxa"/>
              <w:left w:w="65" w:type="dxa"/>
              <w:right w:w="65" w:type="dxa"/>
            </w:tcMar>
          </w:tcPr>
          <w:p>
            <w:pPr>
              <w:spacing w:before="30" w:after="30" w:line="252" w:lineRule="auto"/>
            </w:pPr>
            <w:r>
              <w:rPr>
                <w:rFonts w:ascii="Arial" w:hAnsi="Arial" w:eastAsia="宋体"/>
                <w:b w:val="0"/>
                <w:i w:val="0"/>
                <w:sz w:val="19"/>
              </w:rPr>
              <w:t>已签核不能改源</w:t>
            </w:r>
          </w:p>
        </w:tc>
        <w:tc>
          <w:tcPr>
            <w:tcW w:type="dxa" w:w="3376"/>
            <w:vAlign w:val="top"/>
            <w:tcMar>
              <w:top w:w="65" w:type="dxa"/>
              <w:bottom w:w="65" w:type="dxa"/>
              <w:left w:w="65" w:type="dxa"/>
              <w:right w:w="65" w:type="dxa"/>
            </w:tcMar>
          </w:tcPr>
          <w:p>
            <w:pPr>
              <w:spacing w:before="30" w:after="30" w:line="252" w:lineRule="auto"/>
            </w:pPr>
            <w:r>
              <w:rPr>
                <w:rFonts w:ascii="Arial" w:hAnsi="Arial" w:eastAsia="宋体"/>
                <w:b w:val="0"/>
                <w:i w:val="0"/>
                <w:sz w:val="19"/>
              </w:rPr>
              <w:t>正确小合并及祖先是否重开</w:t>
            </w:r>
          </w:p>
        </w:tc>
        <w:tc>
          <w:tcPr>
            <w:tcW w:type="dxa" w:w="3833"/>
            <w:vAlign w:val="top"/>
            <w:tcMar>
              <w:top w:w="65" w:type="dxa"/>
              <w:bottom w:w="65" w:type="dxa"/>
              <w:left w:w="65" w:type="dxa"/>
              <w:right w:w="65" w:type="dxa"/>
            </w:tcMar>
          </w:tcPr>
          <w:p>
            <w:pPr>
              <w:spacing w:before="30" w:after="30" w:line="252" w:lineRule="auto"/>
            </w:pPr>
            <w:r>
              <w:rPr>
                <w:rFonts w:ascii="Arial" w:hAnsi="Arial" w:eastAsia="宋体"/>
                <w:b w:val="0"/>
                <w:i w:val="0"/>
                <w:sz w:val="19"/>
              </w:rPr>
              <w:t>unitPeriods锁和resultValidity</w:t>
            </w:r>
          </w:p>
        </w:tc>
      </w:tr>
      <w:tr>
        <w:trPr>
          <w:cantSplit/>
        </w:trPr>
        <w:tc>
          <w:tcPr>
            <w:tcW w:type="dxa" w:w="21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集团不能计算</w:t>
            </w:r>
          </w:p>
        </w:tc>
        <w:tc>
          <w:tcPr>
            <w:tcW w:type="dxa" w:w="33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下级是否当前有效已签核</w:t>
            </w:r>
          </w:p>
        </w:tc>
        <w:tc>
          <w:tcPr>
            <w:tcW w:type="dxa" w:w="383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preconditions、子resultId及版本</w:t>
            </w:r>
          </w:p>
        </w:tc>
      </w:tr>
      <w:tr>
        <w:trPr>
          <w:cantSplit/>
        </w:trPr>
        <w:tc>
          <w:tcPr>
            <w:tcW w:type="dxa" w:w="2197"/>
            <w:vAlign w:val="top"/>
            <w:tcMar>
              <w:top w:w="65" w:type="dxa"/>
              <w:bottom w:w="65" w:type="dxa"/>
              <w:left w:w="65" w:type="dxa"/>
              <w:right w:w="65" w:type="dxa"/>
            </w:tcMar>
          </w:tcPr>
          <w:p>
            <w:pPr>
              <w:spacing w:before="30" w:after="30" w:line="252" w:lineRule="auto"/>
            </w:pPr>
            <w:r>
              <w:rPr>
                <w:rFonts w:ascii="Arial" w:hAnsi="Arial" w:eastAsia="宋体"/>
                <w:b w:val="0"/>
                <w:i w:val="0"/>
                <w:sz w:val="19"/>
              </w:rPr>
              <w:t>外币折算拒绝</w:t>
            </w:r>
          </w:p>
        </w:tc>
        <w:tc>
          <w:tcPr>
            <w:tcW w:type="dxa" w:w="3376"/>
            <w:vAlign w:val="top"/>
            <w:tcMar>
              <w:top w:w="65" w:type="dxa"/>
              <w:bottom w:w="65" w:type="dxa"/>
              <w:left w:w="65" w:type="dxa"/>
              <w:right w:w="65" w:type="dxa"/>
            </w:tcMar>
          </w:tcPr>
          <w:p>
            <w:pPr>
              <w:spacing w:before="30" w:after="30" w:line="252" w:lineRule="auto"/>
            </w:pPr>
            <w:r>
              <w:rPr>
                <w:rFonts w:ascii="Arial" w:hAnsi="Arial" w:eastAsia="宋体"/>
                <w:b w:val="0"/>
                <w:i w:val="0"/>
                <w:sz w:val="19"/>
              </w:rPr>
              <w:t>分类率是否完整，历史权益是否确认</w:t>
            </w:r>
          </w:p>
        </w:tc>
        <w:tc>
          <w:tcPr>
            <w:tcW w:type="dxa" w:w="3833"/>
            <w:vAlign w:val="top"/>
            <w:tcMar>
              <w:top w:w="65" w:type="dxa"/>
              <w:bottom w:w="65" w:type="dxa"/>
              <w:left w:w="65" w:type="dxa"/>
              <w:right w:w="65" w:type="dxa"/>
            </w:tcMar>
          </w:tcPr>
          <w:p>
            <w:pPr>
              <w:spacing w:before="30" w:after="30" w:line="252" w:lineRule="auto"/>
            </w:pPr>
            <w:r>
              <w:rPr>
                <w:rFonts w:ascii="Arial" w:hAnsi="Arial" w:eastAsia="宋体"/>
                <w:b w:val="0"/>
                <w:i w:val="0"/>
                <w:sz w:val="19"/>
              </w:rPr>
              <w:t>fxRates有效版本、每月率、源币种和留存</w:t>
            </w:r>
          </w:p>
        </w:tc>
      </w:tr>
      <w:tr>
        <w:trPr>
          <w:cantSplit/>
        </w:trPr>
        <w:tc>
          <w:tcPr>
            <w:tcW w:type="dxa" w:w="21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CSV整批拒绝</w:t>
            </w:r>
          </w:p>
        </w:tc>
        <w:tc>
          <w:tcPr>
            <w:tcW w:type="dxa" w:w="33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期间、法人、完整字段、月合计、三表</w:t>
            </w:r>
          </w:p>
        </w:tc>
        <w:tc>
          <w:tcPr>
            <w:tcW w:type="dxa" w:w="383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中文行号/校验原因；导入前后revision应不变</w:t>
            </w:r>
          </w:p>
        </w:tc>
      </w:tr>
      <w:tr>
        <w:trPr>
          <w:cantSplit/>
        </w:trPr>
        <w:tc>
          <w:tcPr>
            <w:tcW w:type="dxa" w:w="2197"/>
            <w:vAlign w:val="top"/>
            <w:tcMar>
              <w:top w:w="65" w:type="dxa"/>
              <w:bottom w:w="65" w:type="dxa"/>
              <w:left w:w="65" w:type="dxa"/>
              <w:right w:w="65" w:type="dxa"/>
            </w:tcMar>
          </w:tcPr>
          <w:p>
            <w:pPr>
              <w:spacing w:before="30" w:after="30" w:line="252" w:lineRule="auto"/>
            </w:pPr>
            <w:r>
              <w:rPr>
                <w:rFonts w:ascii="Arial" w:hAnsi="Arial" w:eastAsia="宋体"/>
                <w:b w:val="0"/>
                <w:i w:val="0"/>
                <w:sz w:val="19"/>
              </w:rPr>
              <w:t>旧结果金额看似不同币种</w:t>
            </w:r>
          </w:p>
        </w:tc>
        <w:tc>
          <w:tcPr>
            <w:tcW w:type="dxa" w:w="3376"/>
            <w:vAlign w:val="top"/>
            <w:tcMar>
              <w:top w:w="65" w:type="dxa"/>
              <w:bottom w:w="65" w:type="dxa"/>
              <w:left w:w="65" w:type="dxa"/>
              <w:right w:w="65" w:type="dxa"/>
            </w:tcMar>
          </w:tcPr>
          <w:p>
            <w:pPr>
              <w:spacing w:before="30" w:after="30" w:line="252" w:lineRule="auto"/>
            </w:pPr>
            <w:r>
              <w:rPr>
                <w:rFonts w:ascii="Arial" w:hAnsi="Arial" w:eastAsia="宋体"/>
                <w:b w:val="0"/>
                <w:i w:val="0"/>
                <w:sz w:val="19"/>
              </w:rPr>
              <w:t>是否改过当前配置</w:t>
            </w:r>
          </w:p>
        </w:tc>
        <w:tc>
          <w:tcPr>
            <w:tcW w:type="dxa" w:w="3833"/>
            <w:vAlign w:val="top"/>
            <w:tcMar>
              <w:top w:w="65" w:type="dxa"/>
              <w:bottom w:w="65" w:type="dxa"/>
              <w:left w:w="65" w:type="dxa"/>
              <w:right w:w="65" w:type="dxa"/>
            </w:tcMar>
          </w:tcPr>
          <w:p>
            <w:pPr>
              <w:spacing w:before="30" w:after="30" w:line="252" w:lineRule="auto"/>
            </w:pPr>
            <w:r>
              <w:rPr>
                <w:rFonts w:ascii="Arial" w:hAnsi="Arial" w:eastAsia="宋体"/>
                <w:b w:val="0"/>
                <w:i w:val="0"/>
                <w:sz w:val="19"/>
              </w:rPr>
              <w:t>结果currency与操作context分别显示</w:t>
            </w:r>
          </w:p>
        </w:tc>
      </w:tr>
    </w:tbl>
    <w:p>
      <w:pPr>
        <w:spacing w:after="40"/>
      </w:pPr>
    </w:p>
    <w:p>
      <w:r>
        <w:rPr>
          <w:rFonts w:ascii="Arial" w:hAnsi="Arial" w:eastAsia="宋体"/>
          <w:b w:val="0"/>
          <w:i w:val="0"/>
        </w:rPr>
        <w:t>instance.json、Cookie、CSRF值、私有数据库及原始日志不应上传公开仓库。排错先提供中文错误、产品基线及去除凭据的相关片段。EXE当前未数字签名；Wine通过不能替代单位真实Windows电脑兼容及终端策略测试。</w:t>
      </w:r>
    </w:p>
    <w:p>
      <w:pPr>
        <w:pStyle w:val="Heading1"/>
      </w:pPr>
      <w:bookmarkStart w:id="72" w:name="epm_72"/>
      <w:r>
        <w:rPr>
          <w:rFonts w:ascii="Arial" w:hAnsi="Arial" w:eastAsia="宋体"/>
          <w:b w:val="0"/>
          <w:i w:val="0"/>
        </w:rPr>
        <w:t>十七、构建、验证及交付门禁</w:t>
      </w:r>
      <w:bookmarkEnd w:id="72"/>
    </w:p>
    <w:p>
      <w:pPr>
        <w:pStyle w:val="Heading2"/>
      </w:pPr>
      <w:bookmarkStart w:id="73" w:name="epm_73"/>
      <w:r>
        <w:rPr>
          <w:rFonts w:ascii="Arial" w:hAnsi="Arial" w:eastAsia="宋体"/>
          <w:b w:val="0"/>
          <w:i w:val="0"/>
        </w:rPr>
        <w:t>17.1 可重建输入</w:t>
      </w:r>
      <w:bookmarkEnd w:id="73"/>
    </w:p>
    <w:p>
      <w:r>
        <w:rPr>
          <w:rFonts w:ascii="Arial" w:hAnsi="Arial" w:eastAsia="宋体"/>
          <w:b w:val="0"/>
          <w:i w:val="0"/>
        </w:rPr>
        <w:t>Windows原生入口由Zig 0.14.1交叉编译为x86-64 GUI程序；包内Windows Python为3.12.10，SQLite为3.49.1。开发宿主与终端运行环境应区分，Linux使用Python不表示用户电脑需自行安装Python。构建器接受可替换编译器及完整Windows运行时目录。</w:t>
      </w:r>
    </w:p>
    <w:p>
      <w:pPr>
        <w:spacing w:before="0" w:after="0" w:line="240" w:lineRule="auto"/>
        <w:ind w:left="113"/>
        <w:shd w:fill="F4F6FA"/>
      </w:pPr>
      <w:r>
        <w:rPr>
          <w:rFonts w:ascii="Consolas" w:hAnsi="Consolas" w:eastAsia="宋体"/>
          <w:sz w:val="16"/>
        </w:rPr>
        <w:t>python frontend-build.py</w:t>
      </w:r>
    </w:p>
    <w:p>
      <w:pPr>
        <w:spacing w:before="0" w:after="0" w:line="240" w:lineRule="auto"/>
        <w:ind w:left="113"/>
        <w:shd w:fill="F4F6FA"/>
      </w:pPr>
      <w:r>
        <w:rPr>
          <w:rFonts w:ascii="Consolas" w:hAnsi="Consolas" w:eastAsia="宋体"/>
          <w:sz w:val="16"/>
        </w:rPr>
        <w:t>/path/to/build-python build_windows.py \</w:t>
      </w:r>
    </w:p>
    <w:p>
      <w:pPr>
        <w:spacing w:before="0" w:after="0" w:line="240" w:lineRule="auto"/>
        <w:ind w:left="113"/>
        <w:shd w:fill="F4F6FA"/>
      </w:pPr>
      <w:r>
        <w:rPr>
          <w:rFonts w:ascii="Consolas" w:hAnsi="Consolas" w:eastAsia="宋体"/>
          <w:sz w:val="16"/>
        </w:rPr>
        <w:t xml:space="preserve">  --compiler-python /path/to/build-python \</w:t>
      </w:r>
    </w:p>
    <w:p>
      <w:pPr>
        <w:spacing w:before="0" w:after="0" w:line="240" w:lineRule="auto"/>
        <w:ind w:left="113"/>
        <w:shd w:fill="F4F6FA"/>
      </w:pPr>
      <w:r>
        <w:rPr>
          <w:rFonts w:ascii="Consolas" w:hAnsi="Consolas" w:eastAsia="宋体"/>
          <w:sz w:val="16"/>
        </w:rPr>
        <w:t xml:space="preserve">  --python-source /path/to/windows-python-runtime \</w:t>
      </w:r>
    </w:p>
    <w:p>
      <w:pPr>
        <w:spacing w:before="0" w:after="0" w:line="240" w:lineRule="auto"/>
        <w:ind w:left="113"/>
        <w:shd w:fill="F4F6FA"/>
      </w:pPr>
      <w:r>
        <w:rPr>
          <w:rFonts w:ascii="Consolas" w:hAnsi="Consolas" w:eastAsia="宋体"/>
          <w:sz w:val="16"/>
        </w:rPr>
        <w:t xml:space="preserve">  --output /path/to/output/TianyuanEPMVoucherDemo</w:t>
      </w:r>
    </w:p>
    <w:p>
      <w:pPr>
        <w:spacing w:after="20"/>
      </w:pPr>
    </w:p>
    <w:p>
      <w:r>
        <w:rPr>
          <w:rFonts w:ascii="Arial" w:hAnsi="Arial" w:eastAsia="宋体"/>
          <w:b w:val="0"/>
          <w:i w:val="0"/>
        </w:rPr>
        <w:t>构建输入必须包含完整Windows Python目录及DLL，不能仅复制python.exe。原生入口没有Authenticode签名。运行许可保留于包内licenses及运行时原目录。</w:t>
      </w:r>
    </w:p>
    <w:p>
      <w:pPr>
        <w:pStyle w:val="Heading2"/>
      </w:pPr>
      <w:bookmarkStart w:id="74" w:name="epm_74"/>
      <w:r>
        <w:rPr>
          <w:rFonts w:ascii="Arial" w:hAnsi="Arial" w:eastAsia="宋体"/>
          <w:b w:val="0"/>
          <w:i w:val="0"/>
        </w:rPr>
        <w:t>17.2 验证层次与版本隔离</w:t>
      </w:r>
      <w:bookmarkEnd w:id="74"/>
    </w:p>
    <w:p>
      <w:r>
        <w:rPr>
          <w:rFonts w:ascii="Arial" w:hAnsi="Arial" w:eastAsia="宋体"/>
          <w:b w:val="0"/>
          <w:i w:val="0"/>
        </w:rPr>
        <w:t>ERP版验收必须基于ERP-20261021最终运行源码、schema3新账套及本版独立结果。此前ML版34项测试、10组HTTP、8组浏览器和Wine15项只属于历史基线，不作为新增凭证链路的通过证据。最终通过数量、平台、执行时间和SHA由同版独立验收报告、源码清单及verification中的ERP原生记录登记。</w:t>
      </w:r>
    </w:p>
    <w:tbl>
      <w:tblPr>
        <w:tblStyle w:val="TableGrid"/>
        <w:tblW w:type="auto" w:w="0"/>
        <w:jc w:val="center"/>
        <w:tblLayout w:type="fixed"/>
        <w:tblLook w:firstColumn="1" w:firstRow="1" w:lastColumn="0" w:lastRow="0" w:noHBand="0" w:noVBand="1" w:val="04A0"/>
      </w:tblPr>
      <w:tblGrid>
        <w:gridCol w:w="1567"/>
        <w:gridCol w:w="4814"/>
        <w:gridCol w:w="3025"/>
      </w:tblGrid>
      <w:tr>
        <w:trPr>
          <w:cantSplit/>
          <w:tblHeader w:val="true"/>
        </w:trPr>
        <w:tc>
          <w:tcPr>
            <w:tcW w:type="dxa" w:w="156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层次</w:t>
            </w:r>
          </w:p>
        </w:tc>
        <w:tc>
          <w:tcPr>
            <w:tcW w:type="dxa" w:w="481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本版必须实际验证的内容</w:t>
            </w:r>
          </w:p>
        </w:tc>
        <w:tc>
          <w:tcPr>
            <w:tcW w:type="dxa" w:w="302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证据位置</w:t>
            </w:r>
          </w:p>
        </w:tc>
      </w:tr>
      <w:tr>
        <w:trPr>
          <w:cantSplit/>
        </w:trPr>
        <w:tc>
          <w:tcPr>
            <w:tcW w:type="dxa" w:w="1567"/>
            <w:vAlign w:val="top"/>
            <w:tcMar>
              <w:top w:w="65" w:type="dxa"/>
              <w:bottom w:w="65" w:type="dxa"/>
              <w:left w:w="65" w:type="dxa"/>
              <w:right w:w="65" w:type="dxa"/>
            </w:tcMar>
          </w:tcPr>
          <w:p>
            <w:pPr>
              <w:spacing w:before="30" w:after="30" w:line="252" w:lineRule="auto"/>
            </w:pPr>
            <w:r>
              <w:rPr>
                <w:rFonts w:ascii="Arial" w:hAnsi="Arial" w:eastAsia="宋体"/>
                <w:b w:val="0"/>
                <w:i w:val="0"/>
                <w:sz w:val="19"/>
              </w:rPr>
              <w:t>纯账务与财务</w:t>
            </w:r>
          </w:p>
        </w:tc>
        <w:tc>
          <w:tcPr>
            <w:tcW w:type="dxa" w:w="4814"/>
            <w:vAlign w:val="top"/>
            <w:tcMar>
              <w:top w:w="65" w:type="dxa"/>
              <w:bottom w:w="65" w:type="dxa"/>
              <w:left w:w="65" w:type="dxa"/>
              <w:right w:w="65" w:type="dxa"/>
            </w:tcMar>
          </w:tcPr>
          <w:p>
            <w:pPr>
              <w:spacing w:before="30" w:after="30" w:line="252" w:lineRule="auto"/>
            </w:pPr>
            <w:r>
              <w:rPr>
                <w:rFonts w:ascii="Arial" w:hAnsi="Arial" w:eastAsia="宋体"/>
                <w:b w:val="0"/>
                <w:i w:val="0"/>
                <w:sz w:val="19"/>
              </w:rPr>
              <w:t>期初/完整凭证平衡、科目映射、本币/交易币分离、万元6位保分、结转排除、现金流、严格原分级</w:t>
            </w:r>
          </w:p>
        </w:tc>
        <w:tc>
          <w:tcPr>
            <w:tcW w:type="dxa" w:w="3025"/>
            <w:vAlign w:val="top"/>
            <w:tcMar>
              <w:top w:w="65" w:type="dxa"/>
              <w:bottom w:w="65" w:type="dxa"/>
              <w:left w:w="65" w:type="dxa"/>
              <w:right w:w="65" w:type="dxa"/>
            </w:tcMar>
          </w:tcPr>
          <w:p>
            <w:pPr>
              <w:spacing w:before="30" w:after="30" w:line="252" w:lineRule="auto"/>
            </w:pPr>
            <w:r>
              <w:rPr>
                <w:rFonts w:ascii="Arial" w:hAnsi="Arial" w:eastAsia="宋体"/>
                <w:b w:val="0"/>
                <w:i w:val="0"/>
                <w:sz w:val="19"/>
              </w:rPr>
              <w:t>backend中ERP及分级相关测试，记录最终结果</w:t>
            </w:r>
          </w:p>
        </w:tc>
      </w:tr>
      <w:tr>
        <w:trPr>
          <w:cantSplit/>
        </w:trPr>
        <w:tc>
          <w:tcPr>
            <w:tcW w:type="dxa" w:w="15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NC文件适配</w:t>
            </w:r>
          </w:p>
        </w:tc>
        <w:tc>
          <w:tcPr>
            <w:tcW w:type="dxa" w:w="48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用户48表头、BOM/星号、账簿本位币、辅助客商与ref、无行号凭证键、XLSX值/日期、已记账确认</w:t>
            </w:r>
          </w:p>
        </w:tc>
        <w:tc>
          <w:tcPr>
            <w:tcW w:type="dxa" w:w="30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NC适配测试与导入样例的逐字段断言</w:t>
            </w:r>
          </w:p>
        </w:tc>
      </w:tr>
      <w:tr>
        <w:trPr>
          <w:cantSplit/>
        </w:trPr>
        <w:tc>
          <w:tcPr>
            <w:tcW w:type="dxa" w:w="1567"/>
            <w:vAlign w:val="top"/>
            <w:tcMar>
              <w:top w:w="65" w:type="dxa"/>
              <w:bottom w:w="65" w:type="dxa"/>
              <w:left w:w="65" w:type="dxa"/>
              <w:right w:w="65" w:type="dxa"/>
            </w:tcMar>
          </w:tcPr>
          <w:p>
            <w:pPr>
              <w:spacing w:before="30" w:after="30" w:line="252" w:lineRule="auto"/>
            </w:pPr>
            <w:r>
              <w:rPr>
                <w:rFonts w:ascii="Arial" w:hAnsi="Arial" w:eastAsia="宋体"/>
                <w:b w:val="0"/>
                <w:i w:val="0"/>
                <w:sz w:val="19"/>
              </w:rPr>
              <w:t>真实HTTP</w:t>
            </w:r>
          </w:p>
        </w:tc>
        <w:tc>
          <w:tcPr>
            <w:tcW w:type="dxa" w:w="4814"/>
            <w:vAlign w:val="top"/>
            <w:tcMar>
              <w:top w:w="65" w:type="dxa"/>
              <w:bottom w:w="65" w:type="dxa"/>
              <w:left w:w="65" w:type="dxa"/>
              <w:right w:w="65" w:type="dxa"/>
            </w:tcMar>
          </w:tcPr>
          <w:p>
            <w:pPr>
              <w:spacing w:before="30" w:after="30" w:line="252" w:lineRule="auto"/>
            </w:pPr>
            <w:r>
              <w:rPr>
                <w:rFonts w:ascii="Arial" w:hAnsi="Arial" w:eastAsia="宋体"/>
                <w:b w:val="0"/>
                <w:i w:val="0"/>
                <w:sz w:val="19"/>
              </w:rPr>
              <w:t>新账套导入→三表→匹配→草稿→审批→小/大合并→历史追溯；坏批次原子回滚</w:t>
            </w:r>
          </w:p>
        </w:tc>
        <w:tc>
          <w:tcPr>
            <w:tcW w:type="dxa" w:w="3025"/>
            <w:vAlign w:val="top"/>
            <w:tcMar>
              <w:top w:w="65" w:type="dxa"/>
              <w:bottom w:w="65" w:type="dxa"/>
              <w:left w:w="65" w:type="dxa"/>
              <w:right w:w="65" w:type="dxa"/>
            </w:tcMar>
          </w:tcPr>
          <w:p>
            <w:pPr>
              <w:spacing w:before="30" w:after="30" w:line="252" w:lineRule="auto"/>
            </w:pPr>
            <w:r>
              <w:rPr>
                <w:rFonts w:ascii="Arial" w:hAnsi="Arial" w:eastAsia="宋体"/>
                <w:b w:val="0"/>
                <w:i w:val="0"/>
                <w:sz w:val="19"/>
              </w:rPr>
              <w:t>本版acceptance接口结果及独立报告</w:t>
            </w:r>
          </w:p>
        </w:tc>
      </w:tr>
      <w:tr>
        <w:trPr>
          <w:cantSplit/>
        </w:trPr>
        <w:tc>
          <w:tcPr>
            <w:tcW w:type="dxa" w:w="15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真实浏览器</w:t>
            </w:r>
          </w:p>
        </w:tc>
        <w:tc>
          <w:tcPr>
            <w:tcW w:type="dxa" w:w="48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24中文菜单、文件上传、账务/差异钻取、自动抵销审批、期间/币种、预算保留、退出重启</w:t>
            </w:r>
          </w:p>
        </w:tc>
        <w:tc>
          <w:tcPr>
            <w:tcW w:type="dxa" w:w="30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本版截图、浏览器结果及导出证据</w:t>
            </w:r>
          </w:p>
        </w:tc>
      </w:tr>
      <w:tr>
        <w:trPr>
          <w:cantSplit/>
        </w:trPr>
        <w:tc>
          <w:tcPr>
            <w:tcW w:type="dxa" w:w="1567"/>
            <w:vAlign w:val="top"/>
            <w:tcMar>
              <w:top w:w="65" w:type="dxa"/>
              <w:bottom w:w="65" w:type="dxa"/>
              <w:left w:w="65" w:type="dxa"/>
              <w:right w:w="65" w:type="dxa"/>
            </w:tcMar>
          </w:tcPr>
          <w:p>
            <w:pPr>
              <w:spacing w:before="30" w:after="30" w:line="252" w:lineRule="auto"/>
            </w:pPr>
            <w:r>
              <w:rPr>
                <w:rFonts w:ascii="Arial" w:hAnsi="Arial" w:eastAsia="宋体"/>
                <w:b w:val="0"/>
                <w:i w:val="0"/>
                <w:sz w:val="19"/>
              </w:rPr>
              <w:t>Windows链路</w:t>
            </w:r>
          </w:p>
        </w:tc>
        <w:tc>
          <w:tcPr>
            <w:tcW w:type="dxa" w:w="4814"/>
            <w:vAlign w:val="top"/>
            <w:tcMar>
              <w:top w:w="65" w:type="dxa"/>
              <w:bottom w:w="65" w:type="dxa"/>
              <w:left w:w="65" w:type="dxa"/>
              <w:right w:w="65" w:type="dxa"/>
            </w:tcMar>
          </w:tcPr>
          <w:p>
            <w:pPr>
              <w:spacing w:before="30" w:after="30" w:line="252" w:lineRule="auto"/>
            </w:pPr>
            <w:r>
              <w:rPr>
                <w:rFonts w:ascii="Arial" w:hAnsi="Arial" w:eastAsia="宋体"/>
                <w:b w:val="0"/>
                <w:i w:val="0"/>
                <w:sz w:val="19"/>
              </w:rPr>
              <w:t>原生EXE→包内Windows解释器→真实HTTP/SQLite及新ERP业务链，中文路径、旧库不写、重启保留</w:t>
            </w:r>
          </w:p>
        </w:tc>
        <w:tc>
          <w:tcPr>
            <w:tcW w:type="dxa" w:w="3025"/>
            <w:vAlign w:val="top"/>
            <w:tcMar>
              <w:top w:w="65" w:type="dxa"/>
              <w:bottom w:w="65" w:type="dxa"/>
              <w:left w:w="65" w:type="dxa"/>
              <w:right w:w="65" w:type="dxa"/>
            </w:tcMar>
          </w:tcPr>
          <w:p>
            <w:pPr>
              <w:spacing w:before="30" w:after="30" w:line="252" w:lineRule="auto"/>
            </w:pPr>
            <w:r>
              <w:rPr>
                <w:rFonts w:ascii="Arial" w:hAnsi="Arial" w:eastAsia="宋体"/>
                <w:b w:val="0"/>
                <w:i w:val="0"/>
                <w:sz w:val="19"/>
              </w:rPr>
              <w:t>本版verification中的实际运行报告</w:t>
            </w:r>
          </w:p>
        </w:tc>
      </w:tr>
      <w:tr>
        <w:trPr>
          <w:cantSplit/>
        </w:trPr>
        <w:tc>
          <w:tcPr>
            <w:tcW w:type="dxa" w:w="15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发布与文档</w:t>
            </w:r>
          </w:p>
        </w:tc>
        <w:tc>
          <w:tcPr>
            <w:tcW w:type="dxa" w:w="48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四份全模块Word/PDF、字段/接口一致、ZIP CRC和文件SHA，真实公开HTTPS下载比对</w:t>
            </w:r>
          </w:p>
        </w:tc>
        <w:tc>
          <w:tcPr>
            <w:tcW w:type="dxa" w:w="30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同版release.json、交付清单及公开下载核验</w:t>
            </w:r>
          </w:p>
        </w:tc>
      </w:tr>
    </w:tbl>
    <w:p>
      <w:pPr>
        <w:spacing w:after="40"/>
      </w:pPr>
    </w:p>
    <w:p>
      <w:r>
        <w:rPr>
          <w:rFonts w:ascii="Arial" w:hAnsi="Arial" w:eastAsia="宋体"/>
          <w:b w:val="0"/>
          <w:i w:val="0"/>
        </w:rPr>
        <w:t>纯函数测试不能替代HTTP持久化；Linux浏览器不能替代Windows运行链路；Wine不能替代实体Windows及企业终端策略验收。文档中的标准金样是预期值，只有最终报告记录的真实执行才构成本版通过证据。</w:t>
      </w:r>
    </w:p>
    <w:p>
      <w:pPr>
        <w:pStyle w:val="Heading2"/>
      </w:pPr>
      <w:bookmarkStart w:id="75" w:name="epm_75"/>
      <w:r>
        <w:rPr>
          <w:rFonts w:ascii="Arial" w:hAnsi="Arial" w:eastAsia="宋体"/>
          <w:b w:val="0"/>
          <w:i w:val="0"/>
        </w:rPr>
        <w:t>17.3 研发重跑入口</w:t>
      </w:r>
      <w:bookmarkEnd w:id="75"/>
    </w:p>
    <w:p>
      <w:pPr>
        <w:spacing w:before="0" w:after="0" w:line="240" w:lineRule="auto"/>
        <w:ind w:left="113"/>
        <w:shd w:fill="F4F6FA"/>
      </w:pPr>
      <w:r>
        <w:rPr>
          <w:rFonts w:ascii="Consolas" w:hAnsi="Consolas" w:eastAsia="宋体"/>
          <w:sz w:val="16"/>
        </w:rPr>
        <w:t>python -B -m unittest discover -s backend -v</w:t>
      </w:r>
    </w:p>
    <w:p>
      <w:pPr>
        <w:spacing w:before="0" w:after="0" w:line="240" w:lineRule="auto"/>
        <w:ind w:left="113"/>
        <w:shd w:fill="F4F6FA"/>
      </w:pPr>
      <w:r>
        <w:rPr>
          <w:rFonts w:ascii="Consolas" w:hAnsi="Consolas" w:eastAsia="宋体"/>
          <w:sz w:val="16"/>
        </w:rPr>
        <w:t>python acceptance/run_erp_api.py</w:t>
      </w:r>
    </w:p>
    <w:p>
      <w:pPr>
        <w:spacing w:before="0" w:after="0" w:line="240" w:lineRule="auto"/>
        <w:ind w:left="113"/>
        <w:shd w:fill="F4F6FA"/>
      </w:pPr>
      <w:r>
        <w:rPr>
          <w:rFonts w:ascii="Consolas" w:hAnsi="Consolas" w:eastAsia="宋体"/>
          <w:sz w:val="16"/>
        </w:rPr>
        <w:t>/path/to/doc-and-browser-python acceptance/run_erp_browser.py</w:t>
      </w:r>
    </w:p>
    <w:p>
      <w:pPr>
        <w:spacing w:after="20"/>
      </w:pPr>
    </w:p>
    <w:p>
      <w:r>
        <w:rPr>
          <w:rFonts w:ascii="Arial" w:hAnsi="Arial" w:eastAsia="宋体"/>
          <w:b w:val="0"/>
          <w:i w:val="0"/>
        </w:rPr>
        <w:t>浏览器验收需要Playwright及可用Chromium，这是研发验证依赖，不是用户运行EXE的依赖。HTTP测试客户端应明确不通过外部代理访问127.0.0.1，避免把测试网络代理拒绝误认成本机业务失败。所有验收使用独立临时数据目录，不能在客户现有账套上做改数金样。</w:t>
      </w:r>
    </w:p>
    <w:p>
      <w:r>
        <w:rPr>
          <w:rFonts w:ascii="Arial" w:hAnsi="Arial" w:eastAsia="宋体"/>
          <w:b w:val="0"/>
          <w:i w:val="0"/>
        </w:rPr>
        <w:t>Windows构建后的实际链路测试由windows/test_windows_integration.py完成，脚本所需Wine/运行目录按其命令帮助及BUILD.md配置。最终测试绑定EXE、启动器、前端HTML及后端Python文件摘要，不能把候选旧证据套到新的运行字节。</w:t>
      </w:r>
    </w:p>
    <w:p>
      <w:pPr>
        <w:pStyle w:val="Heading2"/>
      </w:pPr>
      <w:bookmarkStart w:id="76" w:name="epm_76"/>
      <w:r>
        <w:rPr>
          <w:rFonts w:ascii="Arial" w:hAnsi="Arial" w:eastAsia="宋体"/>
          <w:b w:val="0"/>
          <w:i w:val="0"/>
        </w:rPr>
        <w:t>17.4 打包顺序</w:t>
      </w:r>
      <w:bookmarkEnd w:id="76"/>
    </w:p>
    <w:p>
      <w:pPr>
        <w:ind w:left="283" w:hanging="198"/>
      </w:pPr>
      <w:r>
        <w:rPr>
          <w:rFonts w:ascii="Arial" w:hAnsi="Arial" w:eastAsia="宋体"/>
        </w:rPr>
        <w:t xml:space="preserve">1. </w:t>
      </w:r>
      <w:r>
        <w:rPr>
          <w:rFonts w:ascii="Arial" w:hAnsi="Arial" w:eastAsia="宋体"/>
          <w:b w:val="0"/>
          <w:i w:val="0"/>
        </w:rPr>
        <w:t>修改业务代码，补必要测试并生成前端。</w:t>
      </w:r>
    </w:p>
    <w:p>
      <w:pPr>
        <w:ind w:left="283" w:hanging="198"/>
      </w:pPr>
      <w:r>
        <w:rPr>
          <w:rFonts w:ascii="Arial" w:hAnsi="Arial" w:eastAsia="宋体"/>
        </w:rPr>
        <w:t xml:space="preserve">2. </w:t>
      </w:r>
      <w:r>
        <w:rPr>
          <w:rFonts w:ascii="Arial" w:hAnsi="Arial" w:eastAsia="宋体"/>
          <w:b w:val="0"/>
          <w:i w:val="0"/>
        </w:rPr>
        <w:t>真实接口和浏览器通过，确认完整案例及错误拒绝。</w:t>
      </w:r>
    </w:p>
    <w:p>
      <w:pPr>
        <w:ind w:left="283" w:hanging="198"/>
      </w:pPr>
      <w:r>
        <w:rPr>
          <w:rFonts w:ascii="Arial" w:hAnsi="Arial" w:eastAsia="宋体"/>
        </w:rPr>
        <w:t xml:space="preserve">3. </w:t>
      </w:r>
      <w:r>
        <w:rPr>
          <w:rFonts w:ascii="Arial" w:hAnsi="Arial" w:eastAsia="宋体"/>
          <w:b w:val="0"/>
          <w:i w:val="0"/>
        </w:rPr>
        <w:t>构建原生运行目录，执行实际Windows运行链路并冻结运行字节。</w:t>
      </w:r>
    </w:p>
    <w:p>
      <w:pPr>
        <w:ind w:left="283" w:hanging="198"/>
      </w:pPr>
      <w:r>
        <w:rPr>
          <w:rFonts w:ascii="Arial" w:hAnsi="Arial" w:eastAsia="宋体"/>
        </w:rPr>
        <w:t xml:space="preserve">4. </w:t>
      </w:r>
      <w:r>
        <w:rPr>
          <w:rFonts w:ascii="Arial" w:hAnsi="Arial" w:eastAsia="宋体"/>
          <w:b w:val="0"/>
          <w:i w:val="0"/>
        </w:rPr>
        <w:t>完成同版四份完整文档、案例、字段字典、变更说明及覆盖表。</w:t>
      </w:r>
    </w:p>
    <w:p>
      <w:pPr>
        <w:ind w:left="283" w:hanging="198"/>
      </w:pPr>
      <w:r>
        <w:rPr>
          <w:rFonts w:ascii="Arial" w:hAnsi="Arial" w:eastAsia="宋体"/>
        </w:rPr>
        <w:t xml:space="preserve">5. </w:t>
      </w:r>
      <w:r>
        <w:rPr>
          <w:rFonts w:ascii="Arial" w:hAnsi="Arial" w:eastAsia="宋体"/>
          <w:b w:val="0"/>
          <w:i w:val="0"/>
        </w:rPr>
        <w:t>当前collect_support实际收取docs目录作为包内文档，并收source/acceptance和verification等材料；不会自动扫描本次documentation-set。完整四件套须先有计划地放入受收集文档目录，或单独交付与同版软件SHA绑定的完整文档包。然后运行build_windows.py --refresh-support，只刷新文档/源码/证据；脚本要求当前源码和已测运行字节一致。</w:t>
      </w:r>
    </w:p>
    <w:p>
      <w:pPr>
        <w:ind w:left="283" w:hanging="198"/>
      </w:pPr>
      <w:r>
        <w:rPr>
          <w:rFonts w:ascii="Arial" w:hAnsi="Arial" w:eastAsia="宋体"/>
        </w:rPr>
        <w:t xml:space="preserve">6. </w:t>
      </w:r>
      <w:r>
        <w:rPr>
          <w:rFonts w:ascii="Arial" w:hAnsi="Arial" w:eastAsia="宋体"/>
          <w:b w:val="0"/>
          <w:i w:val="0"/>
        </w:rPr>
        <w:t>package_windows.py再次校验原生证据，拒收数据库、日志、实例凭据、缓存或调试符号，生成ZIP及逐文件清单。</w:t>
      </w:r>
    </w:p>
    <w:p>
      <w:pPr>
        <w:ind w:left="283" w:hanging="198"/>
      </w:pPr>
      <w:r>
        <w:rPr>
          <w:rFonts w:ascii="Arial" w:hAnsi="Arial" w:eastAsia="宋体"/>
        </w:rPr>
        <w:t xml:space="preserve">7. </w:t>
      </w:r>
      <w:r>
        <w:rPr>
          <w:rFonts w:ascii="Arial" w:hAnsi="Arial" w:eastAsia="宋体"/>
          <w:b w:val="0"/>
          <w:i w:val="0"/>
        </w:rPr>
        <w:t>独立核验全部ZIP CRC、逐文件SHA、Word XML和PDF，实际公开下载比对后交付。</w:t>
      </w:r>
    </w:p>
    <w:p>
      <w:r>
        <w:rPr>
          <w:rFonts w:ascii="Arial" w:hAnsi="Arial" w:eastAsia="宋体"/>
          <w:b w:val="0"/>
          <w:i w:val="0"/>
        </w:rPr>
        <w:t>若运行源码在步骤3后改动，应重新构建并测试相应运行链路；文档更新不能被用作绕过哈希门禁的理由。只更新文档且软件未变时，应保留原软件包和其SHA，并单独发布对应版本文档包。</w:t>
      </w:r>
    </w:p>
    <w:p>
      <w:pPr>
        <w:pStyle w:val="Heading1"/>
      </w:pPr>
      <w:bookmarkStart w:id="77" w:name="epm_77"/>
      <w:r>
        <w:rPr>
          <w:rFonts w:ascii="Arial" w:hAnsi="Arial" w:eastAsia="宋体"/>
          <w:b w:val="0"/>
          <w:i w:val="0"/>
        </w:rPr>
        <w:t>十八、正式研发扩展与技术限制</w:t>
      </w:r>
      <w:bookmarkEnd w:id="77"/>
    </w:p>
    <w:p>
      <w:pPr>
        <w:pStyle w:val="Heading2"/>
      </w:pPr>
      <w:bookmarkStart w:id="78" w:name="epm_78"/>
      <w:r>
        <w:rPr>
          <w:rFonts w:ascii="Arial" w:hAnsi="Arial" w:eastAsia="宋体"/>
          <w:b w:val="0"/>
          <w:i w:val="0"/>
        </w:rPr>
        <w:t>18.1 当前已知边界</w:t>
      </w:r>
      <w:bookmarkEnd w:id="78"/>
    </w:p>
    <w:tbl>
      <w:tblPr>
        <w:tblStyle w:val="TableGrid"/>
        <w:tblW w:type="auto" w:w="0"/>
        <w:jc w:val="center"/>
        <w:tblLayout w:type="fixed"/>
        <w:tblLook w:firstColumn="1" w:firstRow="1" w:lastColumn="0" w:lastRow="0" w:noHBand="0" w:noVBand="1" w:val="04A0"/>
      </w:tblPr>
      <w:tblGrid>
        <w:gridCol w:w="1297"/>
        <w:gridCol w:w="4150"/>
        <w:gridCol w:w="3959"/>
      </w:tblGrid>
      <w:tr>
        <w:trPr>
          <w:cantSplit/>
          <w:tblHeader w:val="true"/>
        </w:trPr>
        <w:tc>
          <w:tcPr>
            <w:tcW w:type="dxa" w:w="129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范围</w:t>
            </w:r>
          </w:p>
        </w:tc>
        <w:tc>
          <w:tcPr>
            <w:tcW w:type="dxa" w:w="415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当前边界</w:t>
            </w:r>
          </w:p>
        </w:tc>
        <w:tc>
          <w:tcPr>
            <w:tcW w:type="dxa" w:w="395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后续研发方向</w:t>
            </w:r>
          </w:p>
        </w:tc>
      </w:tr>
      <w:tr>
        <w:trPr>
          <w:cantSplit/>
        </w:trPr>
        <w:tc>
          <w:tcPr>
            <w:tcW w:type="dxa" w:w="1297"/>
            <w:vAlign w:val="top"/>
            <w:tcMar>
              <w:top w:w="65" w:type="dxa"/>
              <w:bottom w:w="65" w:type="dxa"/>
              <w:left w:w="65" w:type="dxa"/>
              <w:right w:w="65" w:type="dxa"/>
            </w:tcMar>
          </w:tcPr>
          <w:p>
            <w:pPr>
              <w:spacing w:before="30" w:after="30" w:line="252" w:lineRule="auto"/>
            </w:pPr>
            <w:r>
              <w:rPr>
                <w:rFonts w:ascii="Arial" w:hAnsi="Arial" w:eastAsia="宋体"/>
                <w:b w:val="0"/>
                <w:i w:val="0"/>
                <w:sz w:val="19"/>
              </w:rPr>
              <w:t>法人/币种</w:t>
            </w:r>
          </w:p>
        </w:tc>
        <w:tc>
          <w:tcPr>
            <w:tcW w:type="dxa" w:w="4150"/>
            <w:vAlign w:val="top"/>
            <w:tcMar>
              <w:top w:w="65" w:type="dxa"/>
              <w:bottom w:w="65" w:type="dxa"/>
              <w:left w:w="65" w:type="dxa"/>
              <w:right w:w="65" w:type="dxa"/>
            </w:tcMar>
          </w:tcPr>
          <w:p>
            <w:pPr>
              <w:spacing w:before="30" w:after="30" w:line="252" w:lineRule="auto"/>
            </w:pPr>
            <w:r>
              <w:rPr>
                <w:rFonts w:ascii="Arial" w:hAnsi="Arial" w:eastAsia="宋体"/>
                <w:b w:val="0"/>
                <w:i w:val="0"/>
                <w:sz w:val="19"/>
              </w:rPr>
              <w:t>CNY/USD，USD→CNY或同币种</w:t>
            </w:r>
          </w:p>
        </w:tc>
        <w:tc>
          <w:tcPr>
            <w:tcW w:type="dxa" w:w="3959"/>
            <w:vAlign w:val="top"/>
            <w:tcMar>
              <w:top w:w="65" w:type="dxa"/>
              <w:bottom w:w="65" w:type="dxa"/>
              <w:left w:w="65" w:type="dxa"/>
              <w:right w:w="65" w:type="dxa"/>
            </w:tcMar>
          </w:tcPr>
          <w:p>
            <w:pPr>
              <w:spacing w:before="30" w:after="30" w:line="252" w:lineRule="auto"/>
            </w:pPr>
            <w:r>
              <w:rPr>
                <w:rFonts w:ascii="Arial" w:hAnsi="Arial" w:eastAsia="宋体"/>
                <w:b w:val="0"/>
                <w:i w:val="0"/>
                <w:sz w:val="19"/>
              </w:rPr>
              <w:t>多功能币、更多转换路径、准则及高通胀处理</w:t>
            </w:r>
          </w:p>
        </w:tc>
      </w:tr>
      <w:tr>
        <w:trPr>
          <w:cantSplit/>
        </w:trPr>
        <w:tc>
          <w:tcPr>
            <w:tcW w:type="dxa" w:w="12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股权</w:t>
            </w:r>
          </w:p>
        </w:tc>
        <w:tc>
          <w:tcPr>
            <w:tcW w:type="dxa" w:w="41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100%全资，期初已确认资本</w:t>
            </w:r>
          </w:p>
        </w:tc>
        <w:tc>
          <w:tcPr>
            <w:tcW w:type="dxa" w:w="39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少数股东、权益法、股权变动、收购历史、处置、商誉</w:t>
            </w:r>
          </w:p>
        </w:tc>
      </w:tr>
      <w:tr>
        <w:trPr>
          <w:cantSplit/>
        </w:trPr>
        <w:tc>
          <w:tcPr>
            <w:tcW w:type="dxa" w:w="1297"/>
            <w:vAlign w:val="top"/>
            <w:tcMar>
              <w:top w:w="65" w:type="dxa"/>
              <w:bottom w:w="65" w:type="dxa"/>
              <w:left w:w="65" w:type="dxa"/>
              <w:right w:w="65" w:type="dxa"/>
            </w:tcMar>
          </w:tcPr>
          <w:p>
            <w:pPr>
              <w:spacing w:before="30" w:after="30" w:line="252" w:lineRule="auto"/>
            </w:pPr>
            <w:r>
              <w:rPr>
                <w:rFonts w:ascii="Arial" w:hAnsi="Arial" w:eastAsia="宋体"/>
                <w:b w:val="0"/>
                <w:i w:val="0"/>
                <w:sz w:val="19"/>
              </w:rPr>
              <w:t>投资来源</w:t>
            </w:r>
          </w:p>
        </w:tc>
        <w:tc>
          <w:tcPr>
            <w:tcW w:type="dxa" w:w="4150"/>
            <w:vAlign w:val="top"/>
            <w:tcMar>
              <w:top w:w="65" w:type="dxa"/>
              <w:bottom w:w="65" w:type="dxa"/>
              <w:left w:w="65" w:type="dxa"/>
              <w:right w:w="65" w:type="dxa"/>
            </w:tcMar>
          </w:tcPr>
          <w:p>
            <w:pPr>
              <w:spacing w:before="30" w:after="30" w:line="252" w:lineRule="auto"/>
            </w:pPr>
            <w:r>
              <w:rPr>
                <w:rFonts w:ascii="Arial" w:hAnsi="Arial" w:eastAsia="宋体"/>
                <w:b w:val="0"/>
                <w:i w:val="0"/>
                <w:sz w:val="19"/>
              </w:rPr>
              <w:t>子资本逐项及母投资总额核对</w:t>
            </w:r>
          </w:p>
        </w:tc>
        <w:tc>
          <w:tcPr>
            <w:tcW w:type="dxa" w:w="3959"/>
            <w:vAlign w:val="top"/>
            <w:tcMar>
              <w:top w:w="65" w:type="dxa"/>
              <w:bottom w:w="65" w:type="dxa"/>
              <w:left w:w="65" w:type="dxa"/>
              <w:right w:w="65" w:type="dxa"/>
            </w:tcMar>
          </w:tcPr>
          <w:p>
            <w:pPr>
              <w:spacing w:before="30" w:after="30" w:line="252" w:lineRule="auto"/>
            </w:pPr>
            <w:r>
              <w:rPr>
                <w:rFonts w:ascii="Arial" w:hAnsi="Arial" w:eastAsia="宋体"/>
                <w:b w:val="0"/>
                <w:i w:val="0"/>
                <w:sz w:val="19"/>
              </w:rPr>
              <w:t>按被投资法人独立投资源账、历史事件与差额核销</w:t>
            </w:r>
          </w:p>
        </w:tc>
      </w:tr>
      <w:tr>
        <w:trPr>
          <w:cantSplit/>
        </w:trPr>
        <w:tc>
          <w:tcPr>
            <w:tcW w:type="dxa" w:w="12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权益历史</w:t>
            </w:r>
          </w:p>
        </w:tc>
        <w:tc>
          <w:tcPr>
            <w:tcW w:type="dxa" w:w="41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无期间增减资本/分红；确认期初人民币留存</w:t>
            </w:r>
          </w:p>
        </w:tc>
        <w:tc>
          <w:tcPr>
            <w:tcW w:type="dxa" w:w="39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完整权益事件、OCI滚动、历史层次</w:t>
            </w:r>
          </w:p>
        </w:tc>
      </w:tr>
      <w:tr>
        <w:trPr>
          <w:cantSplit/>
        </w:trPr>
        <w:tc>
          <w:tcPr>
            <w:tcW w:type="dxa" w:w="1297"/>
            <w:vAlign w:val="top"/>
            <w:tcMar>
              <w:top w:w="65" w:type="dxa"/>
              <w:bottom w:w="65" w:type="dxa"/>
              <w:left w:w="65" w:type="dxa"/>
              <w:right w:w="65" w:type="dxa"/>
            </w:tcMar>
          </w:tcPr>
          <w:p>
            <w:pPr>
              <w:spacing w:before="30" w:after="30" w:line="252" w:lineRule="auto"/>
            </w:pPr>
            <w:r>
              <w:rPr>
                <w:rFonts w:ascii="Arial" w:hAnsi="Arial" w:eastAsia="宋体"/>
                <w:b w:val="0"/>
                <w:i w:val="0"/>
                <w:sz w:val="19"/>
              </w:rPr>
              <w:t>抵销</w:t>
            </w:r>
          </w:p>
        </w:tc>
        <w:tc>
          <w:tcPr>
            <w:tcW w:type="dxa" w:w="4150"/>
            <w:vAlign w:val="top"/>
            <w:tcMar>
              <w:top w:w="65" w:type="dxa"/>
              <w:bottom w:w="65" w:type="dxa"/>
              <w:left w:w="65" w:type="dxa"/>
              <w:right w:w="65" w:type="dxa"/>
            </w:tcMar>
          </w:tcPr>
          <w:p>
            <w:pPr>
              <w:spacing w:before="30" w:after="30" w:line="252" w:lineRule="auto"/>
            </w:pPr>
            <w:r>
              <w:rPr>
                <w:rFonts w:ascii="Arial" w:hAnsi="Arial" w:eastAsia="宋体"/>
                <w:b w:val="0"/>
                <w:i w:val="0"/>
                <w:sz w:val="19"/>
              </w:rPr>
              <w:t>原凭证销售/成本相符、应收/应付期初及期末余额相符的自动草稿，及原期初全资投资资本</w:t>
            </w:r>
          </w:p>
        </w:tc>
        <w:tc>
          <w:tcPr>
            <w:tcW w:type="dxa" w:w="3959"/>
            <w:vAlign w:val="top"/>
            <w:tcMar>
              <w:top w:w="65" w:type="dxa"/>
              <w:bottom w:w="65" w:type="dxa"/>
              <w:left w:w="65" w:type="dxa"/>
              <w:right w:w="65" w:type="dxa"/>
            </w:tcMar>
          </w:tcPr>
          <w:p>
            <w:pPr>
              <w:spacing w:before="30" w:after="30" w:line="252" w:lineRule="auto"/>
            </w:pPr>
            <w:r>
              <w:rPr>
                <w:rFonts w:ascii="Arial" w:hAnsi="Arial" w:eastAsia="宋体"/>
                <w:b w:val="0"/>
                <w:i w:val="0"/>
                <w:sz w:val="19"/>
              </w:rPr>
              <w:t>未实现利润、内部资产、股利、复杂税项与跨期转回</w:t>
            </w:r>
          </w:p>
        </w:tc>
      </w:tr>
      <w:tr>
        <w:trPr>
          <w:cantSplit/>
        </w:trPr>
        <w:tc>
          <w:tcPr>
            <w:tcW w:type="dxa" w:w="12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预算</w:t>
            </w:r>
          </w:p>
        </w:tc>
        <w:tc>
          <w:tcPr>
            <w:tcW w:type="dxa" w:w="41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集团CNY目标、量价、分摊、明细和版本审批</w:t>
            </w:r>
          </w:p>
        </w:tc>
        <w:tc>
          <w:tcPr>
            <w:tcW w:type="dxa" w:w="39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业务驱动到完整预算三表、多组织审批与滚动引擎</w:t>
            </w:r>
          </w:p>
        </w:tc>
      </w:tr>
      <w:tr>
        <w:trPr>
          <w:cantSplit/>
        </w:trPr>
        <w:tc>
          <w:tcPr>
            <w:tcW w:type="dxa" w:w="1297"/>
            <w:vAlign w:val="top"/>
            <w:tcMar>
              <w:top w:w="65" w:type="dxa"/>
              <w:bottom w:w="65" w:type="dxa"/>
              <w:left w:w="65" w:type="dxa"/>
              <w:right w:w="65" w:type="dxa"/>
            </w:tcMar>
          </w:tcPr>
          <w:p>
            <w:pPr>
              <w:spacing w:before="30" w:after="30" w:line="252" w:lineRule="auto"/>
            </w:pPr>
            <w:r>
              <w:rPr>
                <w:rFonts w:ascii="Arial" w:hAnsi="Arial" w:eastAsia="宋体"/>
                <w:b w:val="0"/>
                <w:i w:val="0"/>
                <w:sz w:val="19"/>
              </w:rPr>
              <w:t>身份</w:t>
            </w:r>
          </w:p>
        </w:tc>
        <w:tc>
          <w:tcPr>
            <w:tcW w:type="dxa" w:w="4150"/>
            <w:vAlign w:val="top"/>
            <w:tcMar>
              <w:top w:w="65" w:type="dxa"/>
              <w:bottom w:w="65" w:type="dxa"/>
              <w:left w:w="65" w:type="dxa"/>
              <w:right w:w="65" w:type="dxa"/>
            </w:tcMar>
          </w:tcPr>
          <w:p>
            <w:pPr>
              <w:spacing w:before="30" w:after="30" w:line="252" w:lineRule="auto"/>
            </w:pPr>
            <w:r>
              <w:rPr>
                <w:rFonts w:ascii="Arial" w:hAnsi="Arial" w:eastAsia="宋体"/>
                <w:b w:val="0"/>
                <w:i w:val="0"/>
                <w:sz w:val="19"/>
              </w:rPr>
              <w:t>本机可切换演示角色</w:t>
            </w:r>
          </w:p>
        </w:tc>
        <w:tc>
          <w:tcPr>
            <w:tcW w:type="dxa" w:w="3959"/>
            <w:vAlign w:val="top"/>
            <w:tcMar>
              <w:top w:w="65" w:type="dxa"/>
              <w:bottom w:w="65" w:type="dxa"/>
              <w:left w:w="65" w:type="dxa"/>
              <w:right w:w="65" w:type="dxa"/>
            </w:tcMar>
          </w:tcPr>
          <w:p>
            <w:pPr>
              <w:spacing w:before="30" w:after="30" w:line="252" w:lineRule="auto"/>
            </w:pPr>
            <w:r>
              <w:rPr>
                <w:rFonts w:ascii="Arial" w:hAnsi="Arial" w:eastAsia="宋体"/>
                <w:b w:val="0"/>
                <w:i w:val="0"/>
                <w:sz w:val="19"/>
              </w:rPr>
              <w:t>企业身份、真实账号、组织权限、职责分离、签章</w:t>
            </w:r>
          </w:p>
        </w:tc>
      </w:tr>
      <w:tr>
        <w:trPr>
          <w:cantSplit/>
        </w:trPr>
        <w:tc>
          <w:tcPr>
            <w:tcW w:type="dxa" w:w="12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存储</w:t>
            </w:r>
          </w:p>
        </w:tc>
        <w:tc>
          <w:tcPr>
            <w:tcW w:type="dxa" w:w="41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单一state JSON加audit，本机SQLite</w:t>
            </w:r>
          </w:p>
        </w:tc>
        <w:tc>
          <w:tcPr>
            <w:tcW w:type="dxa" w:w="39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规范化业务表、迁移、索引、容量、服务部署及一致性方案</w:t>
            </w:r>
          </w:p>
        </w:tc>
      </w:tr>
      <w:tr>
        <w:trPr>
          <w:cantSplit/>
        </w:trPr>
        <w:tc>
          <w:tcPr>
            <w:tcW w:type="dxa" w:w="1297"/>
            <w:vAlign w:val="top"/>
            <w:tcMar>
              <w:top w:w="65" w:type="dxa"/>
              <w:bottom w:w="65" w:type="dxa"/>
              <w:left w:w="65" w:type="dxa"/>
              <w:right w:w="65" w:type="dxa"/>
            </w:tcMar>
          </w:tcPr>
          <w:p>
            <w:pPr>
              <w:spacing w:before="30" w:after="30" w:line="252" w:lineRule="auto"/>
            </w:pPr>
            <w:r>
              <w:rPr>
                <w:rFonts w:ascii="Arial" w:hAnsi="Arial" w:eastAsia="宋体"/>
                <w:b w:val="0"/>
                <w:i w:val="0"/>
                <w:sz w:val="19"/>
              </w:rPr>
              <w:t>集成</w:t>
            </w:r>
          </w:p>
        </w:tc>
        <w:tc>
          <w:tcPr>
            <w:tcW w:type="dxa" w:w="4150"/>
            <w:vAlign w:val="top"/>
            <w:tcMar>
              <w:top w:w="65" w:type="dxa"/>
              <w:bottom w:w="65" w:type="dxa"/>
              <w:left w:w="65" w:type="dxa"/>
              <w:right w:w="65" w:type="dxa"/>
            </w:tcMar>
          </w:tcPr>
          <w:p>
            <w:pPr>
              <w:spacing w:before="30" w:after="30" w:line="252" w:lineRule="auto"/>
            </w:pPr>
            <w:r>
              <w:rPr>
                <w:rFonts w:ascii="Arial" w:hAnsi="Arial" w:eastAsia="宋体"/>
                <w:b w:val="0"/>
                <w:i w:val="0"/>
                <w:sz w:val="19"/>
              </w:rPr>
              <w:t>通用CSV/XLSX及用户确认NC6.5原生表头的文件适配、凭证派生与匹配</w:t>
            </w:r>
          </w:p>
        </w:tc>
        <w:tc>
          <w:tcPr>
            <w:tcW w:type="dxa" w:w="3959"/>
            <w:vAlign w:val="top"/>
            <w:tcMar>
              <w:top w:w="65" w:type="dxa"/>
              <w:bottom w:w="65" w:type="dxa"/>
              <w:left w:w="65" w:type="dxa"/>
              <w:right w:w="65" w:type="dxa"/>
            </w:tcMar>
          </w:tcPr>
          <w:p>
            <w:pPr>
              <w:spacing w:before="30" w:after="30" w:line="252" w:lineRule="auto"/>
            </w:pPr>
            <w:r>
              <w:rPr>
                <w:rFonts w:ascii="Arial" w:hAnsi="Arial" w:eastAsia="宋体"/>
                <w:b w:val="0"/>
                <w:i w:val="0"/>
                <w:sz w:val="19"/>
              </w:rPr>
              <w:t>真正NC在线API/数据库连接、接口凭据、自动增量同步、调度、回传和企业对账</w:t>
            </w:r>
          </w:p>
        </w:tc>
      </w:tr>
      <w:tr>
        <w:trPr>
          <w:cantSplit/>
        </w:trPr>
        <w:tc>
          <w:tcPr>
            <w:tcW w:type="dxa" w:w="12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运营</w:t>
            </w:r>
          </w:p>
        </w:tc>
        <w:tc>
          <w:tcPr>
            <w:tcW w:type="dxa" w:w="41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单机安全退出与离线备份步骤</w:t>
            </w:r>
          </w:p>
        </w:tc>
        <w:tc>
          <w:tcPr>
            <w:tcW w:type="dxa" w:w="39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自动备份、恢复演练、监控、告警、容量和运维责任</w:t>
            </w:r>
          </w:p>
        </w:tc>
      </w:tr>
    </w:tbl>
    <w:p>
      <w:pPr>
        <w:spacing w:after="40"/>
      </w:pPr>
    </w:p>
    <w:p>
      <w:pPr>
        <w:pStyle w:val="Heading2"/>
      </w:pPr>
      <w:bookmarkStart w:id="79" w:name="epm_79"/>
      <w:r>
        <w:rPr>
          <w:rFonts w:ascii="Arial" w:hAnsi="Arial" w:eastAsia="宋体"/>
          <w:b w:val="0"/>
          <w:i w:val="0"/>
        </w:rPr>
        <w:t>18.2 升级时保持可审查的契约</w:t>
      </w:r>
      <w:bookmarkEnd w:id="79"/>
    </w:p>
    <w:p>
      <w:r>
        <w:rPr>
          <w:rFonts w:ascii="Arial" w:hAnsi="Arial" w:eastAsia="宋体"/>
          <w:b w:val="0"/>
          <w:i w:val="0"/>
        </w:rPr>
        <w:t>新增功能应先明确业务对象、字段、会计含义和验收数值，再设计页面及API。已有结果快照不能被新模型静默解释成另一币种、另一范围或另一会计准则。需要数据迁移时，先在副本验证模式升级、历史可读、回退和错误恢复，不能改schemaVersion数字后直接对旧库写入。</w:t>
      </w:r>
    </w:p>
    <w:p>
      <w:r>
        <w:rPr>
          <w:rFonts w:ascii="Arial" w:hAnsi="Arial" w:eastAsia="宋体"/>
          <w:b w:val="0"/>
          <w:i w:val="0"/>
        </w:rPr>
        <w:t>每次软件升级应完整交付同版PRD、系统说明、产品说明和用户操作手册；四份均覆盖全部模块，并附升级变化及未实现边界。字段/接口/表变化要同时落入PRD和系统说明，按钮/流程变化同时落入产品说明及用户手册。四份文档共同登记软件基线、包SHA和测试证据，便于研发、财务及用户使用同一事实版本。</w:t>
      </w:r>
    </w:p>
    <w:p>
      <w:pPr>
        <w:pStyle w:val="Heading1"/>
      </w:pPr>
      <w:bookmarkStart w:id="80" w:name="epm_80"/>
      <w:r>
        <w:rPr>
          <w:rFonts w:ascii="Arial" w:hAnsi="Arial" w:eastAsia="宋体"/>
          <w:b w:val="0"/>
          <w:i w:val="0"/>
        </w:rPr>
        <w:t>十九、ERP凭证到账务、匹配和合并的完整实现</w:t>
      </w:r>
      <w:bookmarkEnd w:id="80"/>
    </w:p>
    <w:p>
      <w:pPr>
        <w:pStyle w:val="Heading2"/>
      </w:pPr>
      <w:bookmarkStart w:id="81" w:name="epm_81"/>
      <w:r>
        <w:rPr>
          <w:rFonts w:ascii="Arial" w:hAnsi="Arial" w:eastAsia="宋体"/>
          <w:b w:val="0"/>
          <w:i w:val="0"/>
        </w:rPr>
        <w:t>19.1 本次升级的处理链</w:t>
      </w:r>
      <w:bookmarkEnd w:id="81"/>
    </w:p>
    <w:p>
      <w:r>
        <w:rPr>
          <w:rFonts w:ascii="Arial" w:hAnsi="Arial" w:eastAsia="宋体"/>
          <w:b w:val="0"/>
          <w:i w:val="0"/>
        </w:rPr>
        <w:t>本版新增的是可落库、可重跑和可追溯的凭证处理链，不只是上传文件和显示凭证列表。实际处理边界是文件导入；没有NC在线API端点、数据库连接或登录账号，也不向NC回写凭证。NC文件是否只含已记账业务凭证，由导出人员确认，不能从未提供的记账状态字段推断。</w:t>
      </w:r>
    </w:p>
    <w:p>
      <w:pPr>
        <w:spacing w:before="0" w:after="0" w:line="240" w:lineRule="auto"/>
        <w:ind w:left="113"/>
        <w:shd w:fill="F4F6FA"/>
      </w:pPr>
      <w:r>
        <w:rPr>
          <w:rFonts w:ascii="Consolas" w:hAnsi="Consolas" w:eastAsia="宋体"/>
          <w:sz w:val="16"/>
        </w:rPr>
        <w:t>NC6.5或通用凭证文件 + 年初科目余额</w:t>
      </w:r>
    </w:p>
    <w:p>
      <w:pPr>
        <w:spacing w:before="0" w:after="0" w:line="240" w:lineRule="auto"/>
        <w:ind w:left="113"/>
        <w:shd w:fill="F4F6FA"/>
      </w:pPr>
      <w:r>
        <w:rPr>
          <w:rFonts w:ascii="Consolas" w:hAnsi="Consolas" w:eastAsia="宋体"/>
          <w:sz w:val="16"/>
        </w:rPr>
        <w:t xml:space="preserve">  → 明确账簿/法人本位币、内部客商、关联号及科目映射</w:t>
      </w:r>
    </w:p>
    <w:p>
      <w:pPr>
        <w:spacing w:before="0" w:after="0" w:line="240" w:lineRule="auto"/>
        <w:ind w:left="113"/>
        <w:shd w:fill="F4F6FA"/>
      </w:pPr>
      <w:r>
        <w:rPr>
          <w:rFonts w:ascii="Consolas" w:hAnsi="Consolas" w:eastAsia="宋体"/>
          <w:sz w:val="16"/>
        </w:rPr>
        <w:t xml:space="preserve">  → 原文件列保留，规范化本币借贷与稳定分录标识</w:t>
      </w:r>
    </w:p>
    <w:p>
      <w:pPr>
        <w:spacing w:before="0" w:after="0" w:line="240" w:lineRule="auto"/>
        <w:ind w:left="113"/>
        <w:shd w:fill="F4F6FA"/>
      </w:pPr>
      <w:r>
        <w:rPr>
          <w:rFonts w:ascii="Consolas" w:hAnsi="Consolas" w:eastAsia="宋体"/>
          <w:sz w:val="16"/>
        </w:rPr>
        <w:t xml:space="preserve">  → 文件整批校验与事务提交</w:t>
      </w:r>
    </w:p>
    <w:p>
      <w:pPr>
        <w:spacing w:before="0" w:after="0" w:line="240" w:lineRule="auto"/>
        <w:ind w:left="113"/>
        <w:shd w:fill="F4F6FA"/>
      </w:pPr>
      <w:r>
        <w:rPr>
          <w:rFonts w:ascii="Consolas" w:hAnsi="Consolas" w:eastAsia="宋体"/>
          <w:sz w:val="16"/>
        </w:rPr>
        <w:t xml:space="preserve">  → 年初余额 + 1月至本期完整凭证</w:t>
      </w:r>
    </w:p>
    <w:p>
      <w:pPr>
        <w:spacing w:before="0" w:after="0" w:line="240" w:lineRule="auto"/>
        <w:ind w:left="113"/>
        <w:shd w:fill="F4F6FA"/>
      </w:pPr>
      <w:r>
        <w:rPr>
          <w:rFonts w:ascii="Consolas" w:hAnsi="Consolas" w:eastAsia="宋体"/>
          <w:sz w:val="16"/>
        </w:rPr>
        <w:t xml:space="preserve">  → 法人科目试算、单体三表、月发生与原行血缘</w:t>
      </w:r>
    </w:p>
    <w:p>
      <w:pPr>
        <w:spacing w:before="0" w:after="0" w:line="240" w:lineRule="auto"/>
        <w:ind w:left="113"/>
        <w:shd w:fill="F4F6FA"/>
      </w:pPr>
      <w:r>
        <w:rPr>
          <w:rFonts w:ascii="Consolas" w:hAnsi="Consolas" w:eastAsia="宋体"/>
          <w:sz w:val="16"/>
        </w:rPr>
        <w:t xml:space="preserve">  → 本层内部销售/成本、应收/应付匹配</w:t>
      </w:r>
    </w:p>
    <w:p>
      <w:pPr>
        <w:spacing w:before="0" w:after="0" w:line="240" w:lineRule="auto"/>
        <w:ind w:left="113"/>
        <w:shd w:fill="F4F6FA"/>
      </w:pPr>
      <w:r>
        <w:rPr>
          <w:rFonts w:ascii="Consolas" w:hAnsi="Consolas" w:eastAsia="宋体"/>
          <w:sz w:val="16"/>
        </w:rPr>
        <w:t xml:space="preserve">       ├─ 不相符：差异清单 → 双方原凭证/期初行 → 修正批次重导</w:t>
      </w:r>
    </w:p>
    <w:p>
      <w:pPr>
        <w:spacing w:before="0" w:after="0" w:line="240" w:lineRule="auto"/>
        <w:ind w:left="113"/>
        <w:shd w:fill="F4F6FA"/>
      </w:pPr>
      <w:r>
        <w:rPr>
          <w:rFonts w:ascii="Consolas" w:hAnsi="Consolas" w:eastAsia="宋体"/>
          <w:sz w:val="16"/>
        </w:rPr>
        <w:t xml:space="preserve">       └─ 相符：生成自动抵销草稿 → 负责人审批</w:t>
      </w:r>
    </w:p>
    <w:p>
      <w:pPr>
        <w:spacing w:before="0" w:after="0" w:line="240" w:lineRule="auto"/>
        <w:ind w:left="113"/>
        <w:shd w:fill="F4F6FA"/>
      </w:pPr>
      <w:r>
        <w:rPr>
          <w:rFonts w:ascii="Consolas" w:hAnsi="Consolas" w:eastAsia="宋体"/>
          <w:sz w:val="16"/>
        </w:rPr>
        <w:t xml:space="preserve">  → 本层四项勾稽、计算、签核</w:t>
      </w:r>
    </w:p>
    <w:p>
      <w:pPr>
        <w:spacing w:before="0" w:after="0" w:line="240" w:lineRule="auto"/>
        <w:ind w:left="113"/>
        <w:shd w:fill="F4F6FA"/>
      </w:pPr>
      <w:r>
        <w:rPr>
          <w:rFonts w:ascii="Consolas" w:hAnsi="Consolas" w:eastAsia="宋体"/>
          <w:sz w:val="16"/>
        </w:rPr>
        <w:t xml:space="preserve">  → 上级只引用已签核有效子结果</w:t>
      </w:r>
    </w:p>
    <w:p>
      <w:pPr>
        <w:spacing w:before="0" w:after="0" w:line="240" w:lineRule="auto"/>
        <w:ind w:left="113"/>
        <w:shd w:fill="F4F6FA"/>
      </w:pPr>
      <w:r>
        <w:rPr>
          <w:rFonts w:ascii="Consolas" w:hAnsi="Consolas" w:eastAsia="宋体"/>
          <w:sz w:val="16"/>
        </w:rPr>
        <w:t xml:space="preserve">  → 集团报表/折算/抵销 → 法人源快照 → 当时的凭证及原文件行</w:t>
      </w:r>
    </w:p>
    <w:p>
      <w:pPr>
        <w:spacing w:after="20"/>
      </w:pPr>
    </w:p>
    <w:p>
      <w:pPr>
        <w:keepNext/>
        <w:jc w:val="center"/>
      </w:pPr>
      <w:r>
        <w:drawing>
          <wp:inline xmlns:a="http://schemas.openxmlformats.org/drawingml/2006/main" xmlns:pic="http://schemas.openxmlformats.org/drawingml/2006/picture">
            <wp:extent cx="4596585" cy="6299999"/>
            <wp:docPr id="2" name="Picture 2"/>
            <wp:cNvGraphicFramePr>
              <a:graphicFrameLocks noChangeAspect="1"/>
            </wp:cNvGraphicFramePr>
            <a:graphic>
              <a:graphicData uri="http://schemas.openxmlformats.org/drawingml/2006/picture">
                <pic:pic>
                  <pic:nvPicPr>
                    <pic:cNvPr id="0" name="NC凭证到鸿旺合并流程.png"/>
                    <pic:cNvPicPr/>
                  </pic:nvPicPr>
                  <pic:blipFill>
                    <a:blip r:embed="rId12"/>
                    <a:stretch>
                      <a:fillRect/>
                    </a:stretch>
                  </pic:blipFill>
                  <pic:spPr>
                    <a:xfrm>
                      <a:off x="0" y="0"/>
                      <a:ext cx="4596585" cy="6299999"/>
                    </a:xfrm>
                    <a:prstGeom prst="rect"/>
                  </pic:spPr>
                </pic:pic>
              </a:graphicData>
            </a:graphic>
          </wp:inline>
        </w:drawing>
      </w:r>
    </w:p>
    <w:p>
      <w:pPr>
        <w:jc w:val="center"/>
      </w:pPr>
      <w:r>
        <w:rPr>
          <w:rFonts w:ascii="Arial" w:hAnsi="Arial" w:eastAsia="宋体"/>
          <w:color w:val="66758D"/>
          <w:sz w:val="18"/>
        </w:rPr>
        <w:t>图 2  NC6.5凭证到鸿旺与集团合并处理链</w:t>
      </w:r>
    </w:p>
    <w:p>
      <w:r>
        <w:rPr>
          <w:rFonts w:ascii="Arial" w:hAnsi="Arial" w:eastAsia="宋体"/>
          <w:b w:val="0"/>
          <w:i w:val="0"/>
        </w:rPr>
        <w:t>本图对应本版文件导入、规范化账务、差异回查及逐层依赖处理。在线ERP适配仍为后续接口研发，图中当前输入为导出文件。</w:t>
      </w:r>
    </w:p>
    <w:p>
      <w:pPr>
        <w:pStyle w:val="Heading2"/>
      </w:pPr>
      <w:bookmarkStart w:id="82" w:name="epm_82"/>
      <w:r>
        <w:rPr>
          <w:rFonts w:ascii="Arial" w:hAnsi="Arial" w:eastAsia="宋体"/>
          <w:b w:val="0"/>
          <w:i w:val="0"/>
        </w:rPr>
        <w:t>19.2 三个新增模块的调用职责</w:t>
      </w:r>
      <w:bookmarkEnd w:id="82"/>
    </w:p>
    <w:p>
      <w:r>
        <w:rPr>
          <w:rFonts w:ascii="Arial" w:hAnsi="Arial" w:eastAsia="宋体"/>
          <w:b w:val="0"/>
          <w:i w:val="0"/>
        </w:rPr>
        <w:t>“ERP凭证与期初”负责输入解释和导入来源。用户先配置适配器、账簿、内部客商和科目，再导入期初与已记账凭证，不能跳过映射后用摘要猜测报表字段。“法人凭证与三表”负责调用generate_source并保存sourceType=erp的单体完整源；页面展示科目试算和四项勾稽。“内部交易匹配与差异”负责本层对账与准确相符项自动草稿，不替代负责人批准，也不改变原分级签核规则。</w:t>
      </w:r>
    </w:p>
    <w:p>
      <w:r>
        <w:rPr>
          <w:rFonts w:ascii="Arial" w:hAnsi="Arial" w:eastAsia="宋体"/>
          <w:b w:val="0"/>
          <w:i w:val="0"/>
        </w:rPr>
        <w:t>三模块共享state.erp，具体变更通过同一/api/action和SQLite事务提交。它们没有另建不受revision、锁定或审计约束的第二套本地存储。</w:t>
      </w:r>
    </w:p>
    <w:p>
      <w:pPr>
        <w:pStyle w:val="Heading2"/>
      </w:pPr>
      <w:bookmarkStart w:id="83" w:name="epm_83"/>
      <w:r>
        <w:rPr>
          <w:rFonts w:ascii="Arial" w:hAnsi="Arial" w:eastAsia="宋体"/>
          <w:b w:val="0"/>
          <w:i w:val="0"/>
        </w:rPr>
        <w:t>19.3 输入对象和规范化层</w:t>
      </w:r>
      <w:bookmarkEnd w:id="83"/>
    </w:p>
    <w:tbl>
      <w:tblPr>
        <w:tblStyle w:val="TableGrid"/>
        <w:tblW w:type="auto" w:w="0"/>
        <w:jc w:val="center"/>
        <w:tblLayout w:type="fixed"/>
        <w:tblLook w:firstColumn="1" w:firstRow="1" w:lastColumn="0" w:lastRow="0" w:noHBand="0" w:noVBand="1" w:val="04A0"/>
      </w:tblPr>
      <w:tblGrid>
        <w:gridCol w:w="976"/>
        <w:gridCol w:w="2730"/>
        <w:gridCol w:w="3576"/>
        <w:gridCol w:w="2123"/>
      </w:tblGrid>
      <w:tr>
        <w:trPr>
          <w:cantSplit/>
          <w:tblHeader w:val="true"/>
        </w:trPr>
        <w:tc>
          <w:tcPr>
            <w:tcW w:type="dxa" w:w="97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对象</w:t>
            </w:r>
          </w:p>
        </w:tc>
        <w:tc>
          <w:tcPr>
            <w:tcW w:type="dxa" w:w="273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原始输入</w:t>
            </w:r>
          </w:p>
        </w:tc>
        <w:tc>
          <w:tcPr>
            <w:tcW w:type="dxa" w:w="357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规范化后保留</w:t>
            </w:r>
          </w:p>
        </w:tc>
        <w:tc>
          <w:tcPr>
            <w:tcW w:type="dxa" w:w="212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用途</w:t>
            </w:r>
          </w:p>
        </w:tc>
      </w:tr>
      <w:tr>
        <w:trPr>
          <w:cantSplit/>
        </w:trPr>
        <w:tc>
          <w:tcPr>
            <w:tcW w:type="dxa" w:w="976"/>
            <w:vAlign w:val="top"/>
            <w:tcMar>
              <w:top w:w="65" w:type="dxa"/>
              <w:bottom w:w="65" w:type="dxa"/>
              <w:left w:w="65" w:type="dxa"/>
              <w:right w:w="65" w:type="dxa"/>
            </w:tcMar>
          </w:tcPr>
          <w:p>
            <w:pPr>
              <w:spacing w:before="30" w:after="30" w:line="252" w:lineRule="auto"/>
            </w:pPr>
            <w:r>
              <w:rPr>
                <w:rFonts w:ascii="Arial" w:hAnsi="Arial" w:eastAsia="宋体"/>
                <w:b w:val="0"/>
                <w:i w:val="0"/>
                <w:sz w:val="18"/>
              </w:rPr>
              <w:t>科目映射</w:t>
            </w:r>
          </w:p>
        </w:tc>
        <w:tc>
          <w:tcPr>
            <w:tcW w:type="dxa" w:w="2730"/>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法人编码、科目编码、名称、报表字段、余额方向</w:t>
            </w:r>
          </w:p>
        </w:tc>
        <w:tc>
          <w:tcPr>
            <w:tcW w:type="dxa" w:w="3576"/>
            <w:vAlign w:val="top"/>
            <w:tcMar>
              <w:top w:w="65" w:type="dxa"/>
              <w:bottom w:w="65" w:type="dxa"/>
              <w:left w:w="65" w:type="dxa"/>
              <w:right w:w="65" w:type="dxa"/>
            </w:tcMar>
          </w:tcPr>
          <w:p>
            <w:pPr>
              <w:spacing w:before="30" w:after="30" w:line="252" w:lineRule="auto"/>
            </w:pPr>
            <w:r>
              <w:rPr>
                <w:rFonts w:ascii="Arial" w:hAnsi="Arial" w:eastAsia="宋体"/>
                <w:b w:val="0"/>
                <w:i w:val="0"/>
                <w:sz w:val="18"/>
              </w:rPr>
              <w:t>entityId、code、field、normalSide、version、批次</w:t>
            </w:r>
          </w:p>
        </w:tc>
        <w:tc>
          <w:tcPr>
            <w:tcW w:type="dxa" w:w="2123"/>
            <w:vAlign w:val="top"/>
            <w:tcMar>
              <w:top w:w="65" w:type="dxa"/>
              <w:bottom w:w="65" w:type="dxa"/>
              <w:left w:w="65" w:type="dxa"/>
              <w:right w:w="65" w:type="dxa"/>
            </w:tcMar>
          </w:tcPr>
          <w:p>
            <w:pPr>
              <w:spacing w:before="30" w:after="30" w:line="252" w:lineRule="auto"/>
            </w:pPr>
            <w:r>
              <w:rPr>
                <w:rFonts w:ascii="Arial" w:hAnsi="Arial" w:eastAsia="宋体"/>
                <w:b w:val="0"/>
                <w:i w:val="0"/>
                <w:sz w:val="18"/>
              </w:rPr>
              <w:t>按法人隔离解释科目，禁止缺映射静默汇总</w:t>
            </w:r>
          </w:p>
        </w:tc>
      </w:tr>
      <w:tr>
        <w:trPr>
          <w:cantSplit/>
        </w:trPr>
        <w:tc>
          <w:tcPr>
            <w:tcW w:type="dxa" w:w="9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年初科目余额</w:t>
            </w:r>
          </w:p>
        </w:tc>
        <w:tc>
          <w:tcPr>
            <w:tcW w:type="dxa" w:w="27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2026年、科目、本位币借贷余额、可选对方/ref及确认留存</w:t>
            </w:r>
          </w:p>
        </w:tc>
        <w:tc>
          <w:tcPr>
            <w:tcW w:type="dxa" w:w="35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本币元两位字符串、counterparty/reference、sourceRow/rawFields</w:t>
            </w:r>
          </w:p>
        </w:tc>
        <w:tc>
          <w:tcPr>
            <w:tcW w:type="dxa" w:w="21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构造期初三表及内部余额抵销来源</w:t>
            </w:r>
          </w:p>
        </w:tc>
      </w:tr>
      <w:tr>
        <w:trPr>
          <w:cantSplit/>
        </w:trPr>
        <w:tc>
          <w:tcPr>
            <w:tcW w:type="dxa" w:w="976"/>
            <w:vAlign w:val="top"/>
            <w:tcMar>
              <w:top w:w="65" w:type="dxa"/>
              <w:bottom w:w="65" w:type="dxa"/>
              <w:left w:w="65" w:type="dxa"/>
              <w:right w:w="65" w:type="dxa"/>
            </w:tcMar>
          </w:tcPr>
          <w:p>
            <w:pPr>
              <w:spacing w:before="30" w:after="30" w:line="252" w:lineRule="auto"/>
            </w:pPr>
            <w:r>
              <w:rPr>
                <w:rFonts w:ascii="Arial" w:hAnsi="Arial" w:eastAsia="宋体"/>
                <w:b w:val="0"/>
                <w:i w:val="0"/>
                <w:sz w:val="18"/>
              </w:rPr>
              <w:t>业务凭证</w:t>
            </w:r>
          </w:p>
        </w:tc>
        <w:tc>
          <w:tcPr>
            <w:tcW w:type="dxa" w:w="2730"/>
            <w:vAlign w:val="top"/>
            <w:tcMar>
              <w:top w:w="65" w:type="dxa"/>
              <w:bottom w:w="65" w:type="dxa"/>
              <w:left w:w="65" w:type="dxa"/>
              <w:right w:w="65" w:type="dxa"/>
            </w:tcMar>
          </w:tcPr>
          <w:p>
            <w:pPr>
              <w:spacing w:before="30" w:after="30" w:line="252" w:lineRule="auto"/>
            </w:pPr>
            <w:r>
              <w:rPr>
                <w:rFonts w:ascii="Arial" w:hAnsi="Arial" w:eastAsia="宋体"/>
                <w:b w:val="0"/>
                <w:i w:val="0"/>
                <w:sz w:val="18"/>
              </w:rPr>
              <w:t>日期、类别、号、分录、科目、本币借贷、摘要、辅助对方/ref、分类</w:t>
            </w:r>
          </w:p>
        </w:tc>
        <w:tc>
          <w:tcPr>
            <w:tcW w:type="dxa" w:w="3576"/>
            <w:vAlign w:val="top"/>
            <w:tcMar>
              <w:top w:w="65" w:type="dxa"/>
              <w:bottom w:w="65" w:type="dxa"/>
              <w:left w:w="65" w:type="dxa"/>
              <w:right w:w="65" w:type="dxa"/>
            </w:tcMar>
          </w:tcPr>
          <w:p>
            <w:pPr>
              <w:spacing w:before="30" w:after="30" w:line="252" w:lineRule="auto"/>
            </w:pPr>
            <w:r>
              <w:rPr>
                <w:rFonts w:ascii="Arial" w:hAnsi="Arial" w:eastAsia="宋体"/>
                <w:b w:val="0"/>
                <w:i w:val="0"/>
                <w:sz w:val="18"/>
              </w:rPr>
              <w:t>稳定voucherKey/行ID、记账本位币、原交易币、批次和原字段</w:t>
            </w:r>
          </w:p>
        </w:tc>
        <w:tc>
          <w:tcPr>
            <w:tcW w:type="dxa" w:w="2123"/>
            <w:vAlign w:val="top"/>
            <w:tcMar>
              <w:top w:w="65" w:type="dxa"/>
              <w:bottom w:w="65" w:type="dxa"/>
              <w:left w:w="65" w:type="dxa"/>
              <w:right w:w="65" w:type="dxa"/>
            </w:tcMar>
          </w:tcPr>
          <w:p>
            <w:pPr>
              <w:spacing w:before="30" w:after="30" w:line="252" w:lineRule="auto"/>
            </w:pPr>
            <w:r>
              <w:rPr>
                <w:rFonts w:ascii="Arial" w:hAnsi="Arial" w:eastAsia="宋体"/>
                <w:b w:val="0"/>
                <w:i w:val="0"/>
                <w:sz w:val="18"/>
              </w:rPr>
              <w:t>生成科目发生、单体三表及匹配</w:t>
            </w:r>
          </w:p>
        </w:tc>
      </w:tr>
      <w:tr>
        <w:trPr>
          <w:cantSplit/>
        </w:trPr>
        <w:tc>
          <w:tcPr>
            <w:tcW w:type="dxa" w:w="9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账簿映射</w:t>
            </w:r>
          </w:p>
        </w:tc>
        <w:tc>
          <w:tcPr>
            <w:tcW w:type="dxa" w:w="27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NC核算账簿→法人</w:t>
            </w:r>
          </w:p>
        </w:tc>
        <w:tc>
          <w:tcPr>
            <w:tcW w:type="dxa" w:w="35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bookCode、entityId、functionalCurrency</w:t>
            </w:r>
          </w:p>
        </w:tc>
        <w:tc>
          <w:tcPr>
            <w:tcW w:type="dxa" w:w="21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决定本币借贷属于哪家法人、哪种本位币</w:t>
            </w:r>
          </w:p>
        </w:tc>
      </w:tr>
      <w:tr>
        <w:trPr>
          <w:cantSplit/>
        </w:trPr>
        <w:tc>
          <w:tcPr>
            <w:tcW w:type="dxa" w:w="976"/>
            <w:vAlign w:val="top"/>
            <w:tcMar>
              <w:top w:w="65" w:type="dxa"/>
              <w:bottom w:w="65" w:type="dxa"/>
              <w:left w:w="65" w:type="dxa"/>
              <w:right w:w="65" w:type="dxa"/>
            </w:tcMar>
          </w:tcPr>
          <w:p>
            <w:pPr>
              <w:spacing w:before="30" w:after="30" w:line="252" w:lineRule="auto"/>
            </w:pPr>
            <w:r>
              <w:rPr>
                <w:rFonts w:ascii="Arial" w:hAnsi="Arial" w:eastAsia="宋体"/>
                <w:b w:val="0"/>
                <w:i w:val="0"/>
                <w:sz w:val="18"/>
              </w:rPr>
              <w:t>客商映射</w:t>
            </w:r>
          </w:p>
        </w:tc>
        <w:tc>
          <w:tcPr>
            <w:tcW w:type="dxa" w:w="2730"/>
            <w:vAlign w:val="top"/>
            <w:tcMar>
              <w:top w:w="65" w:type="dxa"/>
              <w:bottom w:w="65" w:type="dxa"/>
              <w:left w:w="65" w:type="dxa"/>
              <w:right w:w="65" w:type="dxa"/>
            </w:tcMar>
          </w:tcPr>
          <w:p>
            <w:pPr>
              <w:spacing w:before="30" w:after="30" w:line="252" w:lineRule="auto"/>
            </w:pPr>
            <w:r>
              <w:rPr>
                <w:rFonts w:ascii="Arial" w:hAnsi="Arial" w:eastAsia="宋体"/>
                <w:b w:val="0"/>
                <w:i w:val="0"/>
                <w:sz w:val="18"/>
              </w:rPr>
              <w:t>辅助列/客商编码→内方法人或EXTERNAL</w:t>
            </w:r>
          </w:p>
        </w:tc>
        <w:tc>
          <w:tcPr>
            <w:tcW w:type="dxa" w:w="3576"/>
            <w:vAlign w:val="top"/>
            <w:tcMar>
              <w:top w:w="65" w:type="dxa"/>
              <w:bottom w:w="65" w:type="dxa"/>
              <w:left w:w="65" w:type="dxa"/>
              <w:right w:w="65" w:type="dxa"/>
            </w:tcMar>
          </w:tcPr>
          <w:p>
            <w:pPr>
              <w:spacing w:before="30" w:after="30" w:line="252" w:lineRule="auto"/>
            </w:pPr>
            <w:r>
              <w:rPr>
                <w:rFonts w:ascii="Arial" w:hAnsi="Arial" w:eastAsia="宋体"/>
                <w:b w:val="0"/>
                <w:i w:val="0"/>
                <w:sz w:val="18"/>
              </w:rPr>
              <w:t>列名、原码、对方ID或明确外部状态</w:t>
            </w:r>
          </w:p>
        </w:tc>
        <w:tc>
          <w:tcPr>
            <w:tcW w:type="dxa" w:w="2123"/>
            <w:vAlign w:val="top"/>
            <w:tcMar>
              <w:top w:w="65" w:type="dxa"/>
              <w:bottom w:w="65" w:type="dxa"/>
              <w:left w:w="65" w:type="dxa"/>
              <w:right w:w="65" w:type="dxa"/>
            </w:tcMar>
          </w:tcPr>
          <w:p>
            <w:pPr>
              <w:spacing w:before="30" w:after="30" w:line="252" w:lineRule="auto"/>
            </w:pPr>
            <w:r>
              <w:rPr>
                <w:rFonts w:ascii="Arial" w:hAnsi="Arial" w:eastAsia="宋体"/>
                <w:b w:val="0"/>
                <w:i w:val="0"/>
                <w:sz w:val="18"/>
              </w:rPr>
              <w:t>区分内部、外部、未明确和未映射，避免错误抵销</w:t>
            </w:r>
          </w:p>
        </w:tc>
      </w:tr>
      <w:tr>
        <w:trPr>
          <w:cantSplit/>
        </w:trPr>
        <w:tc>
          <w:tcPr>
            <w:tcW w:type="dxa" w:w="9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导入选项</w:t>
            </w:r>
          </w:p>
        </w:tc>
        <w:tc>
          <w:tcPr>
            <w:tcW w:type="dxa" w:w="27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辅助核算列、结算号/核销号、金额单位、工作表</w:t>
            </w:r>
          </w:p>
        </w:tc>
        <w:tc>
          <w:tcPr>
            <w:tcW w:type="dxa" w:w="35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adapter/importOptions和本批导入资料</w:t>
            </w:r>
          </w:p>
        </w:tc>
        <w:tc>
          <w:tcPr>
            <w:tcW w:type="dxa" w:w="21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使解释规则显式可审查，不在后台猜测</w:t>
            </w:r>
          </w:p>
        </w:tc>
      </w:tr>
      <w:tr>
        <w:trPr>
          <w:cantSplit/>
        </w:trPr>
        <w:tc>
          <w:tcPr>
            <w:tcW w:type="dxa" w:w="976"/>
            <w:vAlign w:val="top"/>
            <w:tcMar>
              <w:top w:w="65" w:type="dxa"/>
              <w:bottom w:w="65" w:type="dxa"/>
              <w:left w:w="65" w:type="dxa"/>
              <w:right w:w="65" w:type="dxa"/>
            </w:tcMar>
          </w:tcPr>
          <w:p>
            <w:pPr>
              <w:spacing w:before="30" w:after="30" w:line="252" w:lineRule="auto"/>
            </w:pPr>
            <w:r>
              <w:rPr>
                <w:rFonts w:ascii="Arial" w:hAnsi="Arial" w:eastAsia="宋体"/>
                <w:b w:val="0"/>
                <w:i w:val="0"/>
                <w:sz w:val="18"/>
              </w:rPr>
              <w:t>批次</w:t>
            </w:r>
          </w:p>
        </w:tc>
        <w:tc>
          <w:tcPr>
            <w:tcW w:type="dxa" w:w="2730"/>
            <w:vAlign w:val="top"/>
            <w:tcMar>
              <w:top w:w="65" w:type="dxa"/>
              <w:bottom w:w="65" w:type="dxa"/>
              <w:left w:w="65" w:type="dxa"/>
              <w:right w:w="65" w:type="dxa"/>
            </w:tcMar>
          </w:tcPr>
          <w:p>
            <w:pPr>
              <w:spacing w:before="30" w:after="30" w:line="252" w:lineRule="auto"/>
            </w:pPr>
            <w:r>
              <w:rPr>
                <w:rFonts w:ascii="Arial" w:hAnsi="Arial" w:eastAsia="宋体"/>
                <w:b w:val="0"/>
                <w:i w:val="0"/>
                <w:sz w:val="18"/>
              </w:rPr>
              <w:t>文件名及本次导入行</w:t>
            </w:r>
          </w:p>
        </w:tc>
        <w:tc>
          <w:tcPr>
            <w:tcW w:type="dxa" w:w="3576"/>
            <w:vAlign w:val="top"/>
            <w:tcMar>
              <w:top w:w="65" w:type="dxa"/>
              <w:bottom w:w="65" w:type="dxa"/>
              <w:left w:w="65" w:type="dxa"/>
              <w:right w:w="65" w:type="dxa"/>
            </w:tcMar>
          </w:tcPr>
          <w:p>
            <w:pPr>
              <w:spacing w:before="30" w:after="30" w:line="252" w:lineRule="auto"/>
            </w:pPr>
            <w:r>
              <w:rPr>
                <w:rFonts w:ascii="Arial" w:hAnsi="Arial" w:eastAsia="宋体"/>
                <w:b w:val="0"/>
                <w:i w:val="0"/>
                <w:sz w:val="18"/>
              </w:rPr>
              <w:t>batchId、类型、行数、法人、active、原因和时间</w:t>
            </w:r>
          </w:p>
        </w:tc>
        <w:tc>
          <w:tcPr>
            <w:tcW w:type="dxa" w:w="2123"/>
            <w:vAlign w:val="top"/>
            <w:tcMar>
              <w:top w:w="65" w:type="dxa"/>
              <w:bottom w:w="65" w:type="dxa"/>
              <w:left w:w="65" w:type="dxa"/>
              <w:right w:w="65" w:type="dxa"/>
            </w:tcMar>
          </w:tcPr>
          <w:p>
            <w:pPr>
              <w:spacing w:before="30" w:after="30" w:line="252" w:lineRule="auto"/>
            </w:pPr>
            <w:r>
              <w:rPr>
                <w:rFonts w:ascii="Arial" w:hAnsi="Arial" w:eastAsia="宋体"/>
                <w:b w:val="0"/>
                <w:i w:val="0"/>
                <w:sz w:val="18"/>
              </w:rPr>
              <w:t>整批拒绝、停用更正、历史留档及重复检测</w:t>
            </w:r>
          </w:p>
        </w:tc>
      </w:tr>
    </w:tbl>
    <w:p>
      <w:pPr>
        <w:spacing w:after="40"/>
      </w:pPr>
    </w:p>
    <w:p>
      <w:r>
        <w:rPr>
          <w:rFonts w:ascii="Arial" w:hAnsi="Arial" w:eastAsia="宋体"/>
          <w:b w:val="0"/>
          <w:i w:val="0"/>
        </w:rPr>
        <w:t>科目映射的normalSide保留科目方向信息；财务字段的借贷经济方向由BS/PL模型确定。资产和成本费用按借减贷，负债/权益/收入按贷减借，不能把所有“借方正数”相加当报表余额，也不能将一个科目的正常方向用于翻转整张报表。</w:t>
      </w:r>
    </w:p>
    <w:p>
      <w:pPr>
        <w:pStyle w:val="Heading2"/>
      </w:pPr>
      <w:bookmarkStart w:id="84" w:name="epm_84"/>
      <w:r>
        <w:rPr>
          <w:rFonts w:ascii="Arial" w:hAnsi="Arial" w:eastAsia="宋体"/>
          <w:b w:val="0"/>
          <w:i w:val="0"/>
        </w:rPr>
        <w:t>19.4 NC6.5原生48表头的适配</w:t>
      </w:r>
      <w:bookmarkEnd w:id="84"/>
    </w:p>
    <w:p>
      <w:r>
        <w:rPr>
          <w:rFonts w:ascii="Arial" w:hAnsi="Arial" w:eastAsia="宋体"/>
          <w:b w:val="0"/>
          <w:i w:val="0"/>
        </w:rPr>
        <w:t>research-erp/NC65-HEADERS.json保留用户确认的原始表头、前导星号及规则。解析去除BOM、前导星号和表头空格，保留原列值供核对。NC导出中没有独立分录序号、内部交易类型、现金流类别或记账状态列，不能把这些列当成用户已经提供。</w:t>
      </w:r>
    </w:p>
    <w:tbl>
      <w:tblPr>
        <w:tblStyle w:val="TableGrid"/>
        <w:tblW w:type="auto" w:w="0"/>
        <w:jc w:val="center"/>
        <w:tblLayout w:type="fixed"/>
        <w:tblLook w:firstColumn="1" w:firstRow="1" w:lastColumn="0" w:lastRow="0" w:noHBand="0" w:noVBand="1" w:val="04A0"/>
      </w:tblPr>
      <w:tblGrid>
        <w:gridCol w:w="3478"/>
        <w:gridCol w:w="5928"/>
      </w:tblGrid>
      <w:tr>
        <w:trPr>
          <w:cantSplit/>
          <w:tblHeader w:val="true"/>
        </w:trPr>
        <w:tc>
          <w:tcPr>
            <w:tcW w:type="dxa" w:w="347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NC原字段组</w:t>
            </w:r>
          </w:p>
        </w:tc>
        <w:tc>
          <w:tcPr>
            <w:tcW w:type="dxa" w:w="592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本系统处理</w:t>
            </w:r>
          </w:p>
        </w:tc>
      </w:tr>
      <w:tr>
        <w:trPr>
          <w:cantSplit/>
        </w:trPr>
        <w:tc>
          <w:tcPr>
            <w:tcW w:type="dxa" w:w="3478"/>
            <w:vAlign w:val="top"/>
            <w:tcMar>
              <w:top w:w="65" w:type="dxa"/>
              <w:bottom w:w="65" w:type="dxa"/>
              <w:left w:w="65" w:type="dxa"/>
              <w:right w:w="65" w:type="dxa"/>
            </w:tcMar>
          </w:tcPr>
          <w:p>
            <w:pPr>
              <w:spacing w:before="30" w:after="30" w:line="252" w:lineRule="auto"/>
            </w:pPr>
            <w:r>
              <w:rPr>
                <w:rFonts w:ascii="Arial" w:hAnsi="Arial" w:eastAsia="宋体"/>
                <w:b w:val="0"/>
                <w:i w:val="0"/>
                <w:sz w:val="19"/>
              </w:rPr>
              <w:t>核算账簿</w:t>
            </w:r>
          </w:p>
        </w:tc>
        <w:tc>
          <w:tcPr>
            <w:tcW w:type="dxa" w:w="5928"/>
            <w:vAlign w:val="top"/>
            <w:tcMar>
              <w:top w:w="65" w:type="dxa"/>
              <w:bottom w:w="65" w:type="dxa"/>
              <w:left w:w="65" w:type="dxa"/>
              <w:right w:w="65" w:type="dxa"/>
            </w:tcMar>
          </w:tcPr>
          <w:p>
            <w:pPr>
              <w:spacing w:before="30" w:after="30" w:line="252" w:lineRule="auto"/>
            </w:pPr>
            <w:r>
              <w:rPr>
                <w:rFonts w:ascii="Arial" w:hAnsi="Arial" w:eastAsia="宋体"/>
                <w:b w:val="0"/>
                <w:i w:val="0"/>
                <w:sz w:val="19"/>
              </w:rPr>
              <w:t>通过已维护bookMappings唯一定位法人；其functionalCurrency必须与法人档案一致</w:t>
            </w:r>
          </w:p>
        </w:tc>
      </w:tr>
      <w:tr>
        <w:trPr>
          <w:cantSplit/>
        </w:trPr>
        <w:tc>
          <w:tcPr>
            <w:tcW w:type="dxa" w:w="34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币种</w:t>
            </w:r>
          </w:p>
        </w:tc>
        <w:tc>
          <w:tcPr>
            <w:tcW w:type="dxa" w:w="59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凭证交易币种，保存到transactionCurrency；不能直接拿它覆盖法人记账本位币</w:t>
            </w:r>
          </w:p>
        </w:tc>
      </w:tr>
      <w:tr>
        <w:trPr>
          <w:cantSplit/>
        </w:trPr>
        <w:tc>
          <w:tcPr>
            <w:tcW w:type="dxa" w:w="3478"/>
            <w:vAlign w:val="top"/>
            <w:tcMar>
              <w:top w:w="65" w:type="dxa"/>
              <w:bottom w:w="65" w:type="dxa"/>
              <w:left w:w="65" w:type="dxa"/>
              <w:right w:w="65" w:type="dxa"/>
            </w:tcMar>
          </w:tcPr>
          <w:p>
            <w:pPr>
              <w:spacing w:before="30" w:after="30" w:line="252" w:lineRule="auto"/>
            </w:pPr>
            <w:r>
              <w:rPr>
                <w:rFonts w:ascii="Arial" w:hAnsi="Arial" w:eastAsia="宋体"/>
                <w:b w:val="0"/>
                <w:i w:val="0"/>
                <w:sz w:val="19"/>
              </w:rPr>
              <w:t>本币借方金额/本币贷方金额</w:t>
            </w:r>
          </w:p>
        </w:tc>
        <w:tc>
          <w:tcPr>
            <w:tcW w:type="dxa" w:w="5928"/>
            <w:vAlign w:val="top"/>
            <w:tcMar>
              <w:top w:w="65" w:type="dxa"/>
              <w:bottom w:w="65" w:type="dxa"/>
              <w:left w:w="65" w:type="dxa"/>
              <w:right w:w="65" w:type="dxa"/>
            </w:tcMar>
          </w:tcPr>
          <w:p>
            <w:pPr>
              <w:spacing w:before="30" w:after="30" w:line="252" w:lineRule="auto"/>
            </w:pPr>
            <w:r>
              <w:rPr>
                <w:rFonts w:ascii="Arial" w:hAnsi="Arial" w:eastAsia="宋体"/>
                <w:b w:val="0"/>
                <w:i w:val="0"/>
                <w:sz w:val="19"/>
              </w:rPr>
              <w:t>作为法人记账的唯一借贷金额来源</w:t>
            </w:r>
          </w:p>
        </w:tc>
      </w:tr>
      <w:tr>
        <w:trPr>
          <w:cantSplit/>
        </w:trPr>
        <w:tc>
          <w:tcPr>
            <w:tcW w:type="dxa" w:w="34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原币、集团本币、全局本币借贷额</w:t>
            </w:r>
          </w:p>
        </w:tc>
        <w:tc>
          <w:tcPr>
            <w:tcW w:type="dxa" w:w="59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原样保留核对；不得再次加入法人本币金额造成重复记账</w:t>
            </w:r>
          </w:p>
        </w:tc>
      </w:tr>
      <w:tr>
        <w:trPr>
          <w:cantSplit/>
        </w:trPr>
        <w:tc>
          <w:tcPr>
            <w:tcW w:type="dxa" w:w="3478"/>
            <w:vAlign w:val="top"/>
            <w:tcMar>
              <w:top w:w="65" w:type="dxa"/>
              <w:bottom w:w="65" w:type="dxa"/>
              <w:left w:w="65" w:type="dxa"/>
              <w:right w:w="65" w:type="dxa"/>
            </w:tcMar>
          </w:tcPr>
          <w:p>
            <w:pPr>
              <w:spacing w:before="30" w:after="30" w:line="252" w:lineRule="auto"/>
            </w:pPr>
            <w:r>
              <w:rPr>
                <w:rFonts w:ascii="Arial" w:hAnsi="Arial" w:eastAsia="宋体"/>
                <w:b w:val="0"/>
                <w:i w:val="0"/>
                <w:sz w:val="19"/>
              </w:rPr>
              <w:t>组织/集团/全局本币汇率</w:t>
            </w:r>
          </w:p>
        </w:tc>
        <w:tc>
          <w:tcPr>
            <w:tcW w:type="dxa" w:w="5928"/>
            <w:vAlign w:val="top"/>
            <w:tcMar>
              <w:top w:w="65" w:type="dxa"/>
              <w:bottom w:w="65" w:type="dxa"/>
              <w:left w:w="65" w:type="dxa"/>
              <w:right w:w="65" w:type="dxa"/>
            </w:tcMar>
          </w:tcPr>
          <w:p>
            <w:pPr>
              <w:spacing w:before="30" w:after="30" w:line="252" w:lineRule="auto"/>
            </w:pPr>
            <w:r>
              <w:rPr>
                <w:rFonts w:ascii="Arial" w:hAnsi="Arial" w:eastAsia="宋体"/>
                <w:b w:val="0"/>
                <w:i w:val="0"/>
                <w:sz w:val="19"/>
              </w:rPr>
              <w:t>保留原值核对；集团财务报表折算另走本系统分类汇率版本</w:t>
            </w:r>
          </w:p>
        </w:tc>
      </w:tr>
      <w:tr>
        <w:trPr>
          <w:cantSplit/>
        </w:trPr>
        <w:tc>
          <w:tcPr>
            <w:tcW w:type="dxa" w:w="34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凭证类别编码、凭证号、制单日期</w:t>
            </w:r>
          </w:p>
        </w:tc>
        <w:tc>
          <w:tcPr>
            <w:tcW w:type="dxa" w:w="59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与账簿、年月共同组成凭证键，号相同但账簿或类别不同不互相覆盖</w:t>
            </w:r>
          </w:p>
        </w:tc>
      </w:tr>
      <w:tr>
        <w:trPr>
          <w:cantSplit/>
        </w:trPr>
        <w:tc>
          <w:tcPr>
            <w:tcW w:type="dxa" w:w="3478"/>
            <w:vAlign w:val="top"/>
            <w:tcMar>
              <w:top w:w="65" w:type="dxa"/>
              <w:bottom w:w="65" w:type="dxa"/>
              <w:left w:w="65" w:type="dxa"/>
              <w:right w:w="65" w:type="dxa"/>
            </w:tcMar>
          </w:tcPr>
          <w:p>
            <w:pPr>
              <w:spacing w:before="30" w:after="30" w:line="252" w:lineRule="auto"/>
            </w:pPr>
            <w:r>
              <w:rPr>
                <w:rFonts w:ascii="Arial" w:hAnsi="Arial" w:eastAsia="宋体"/>
                <w:b w:val="0"/>
                <w:i w:val="0"/>
                <w:sz w:val="19"/>
              </w:rPr>
              <w:t>辅助核算1—9</w:t>
            </w:r>
          </w:p>
        </w:tc>
        <w:tc>
          <w:tcPr>
            <w:tcW w:type="dxa" w:w="5928"/>
            <w:vAlign w:val="top"/>
            <w:tcMar>
              <w:top w:w="65" w:type="dxa"/>
              <w:bottom w:w="65" w:type="dxa"/>
              <w:left w:w="65" w:type="dxa"/>
              <w:right w:w="65" w:type="dxa"/>
            </w:tcMar>
          </w:tcPr>
          <w:p>
            <w:pPr>
              <w:spacing w:before="30" w:after="30" w:line="252" w:lineRule="auto"/>
            </w:pPr>
            <w:r>
              <w:rPr>
                <w:rFonts w:ascii="Arial" w:hAnsi="Arial" w:eastAsia="宋体"/>
                <w:b w:val="0"/>
                <w:i w:val="0"/>
                <w:sz w:val="19"/>
              </w:rPr>
              <w:t>保留全部原值；指定承担内部客商的列并做明确编码映射，不能从摘要猜对方</w:t>
            </w:r>
          </w:p>
        </w:tc>
      </w:tr>
      <w:tr>
        <w:trPr>
          <w:cantSplit/>
        </w:trPr>
        <w:tc>
          <w:tcPr>
            <w:tcW w:type="dxa" w:w="34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结算号/核销号</w:t>
            </w:r>
          </w:p>
        </w:tc>
        <w:tc>
          <w:tcPr>
            <w:tcW w:type="dxa" w:w="59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仅按用户指定字段作为双方共同ref；未选或为空时列为待核差异</w:t>
            </w:r>
          </w:p>
        </w:tc>
      </w:tr>
      <w:tr>
        <w:trPr>
          <w:cantSplit/>
        </w:trPr>
        <w:tc>
          <w:tcPr>
            <w:tcW w:type="dxa" w:w="3478"/>
            <w:vAlign w:val="top"/>
            <w:tcMar>
              <w:top w:w="65" w:type="dxa"/>
              <w:bottom w:w="65" w:type="dxa"/>
              <w:left w:w="65" w:type="dxa"/>
              <w:right w:w="65" w:type="dxa"/>
            </w:tcMar>
          </w:tcPr>
          <w:p>
            <w:pPr>
              <w:spacing w:before="30" w:after="30" w:line="252" w:lineRule="auto"/>
            </w:pPr>
            <w:r>
              <w:rPr>
                <w:rFonts w:ascii="Arial" w:hAnsi="Arial" w:eastAsia="宋体"/>
                <w:b w:val="0"/>
                <w:i w:val="0"/>
                <w:sz w:val="19"/>
              </w:rPr>
              <w:t>制单日期/业务日期</w:t>
            </w:r>
          </w:p>
        </w:tc>
        <w:tc>
          <w:tcPr>
            <w:tcW w:type="dxa" w:w="5928"/>
            <w:vAlign w:val="top"/>
            <w:tcMar>
              <w:top w:w="65" w:type="dxa"/>
              <w:bottom w:w="65" w:type="dxa"/>
              <w:left w:w="65" w:type="dxa"/>
              <w:right w:w="65" w:type="dxa"/>
            </w:tcMar>
          </w:tcPr>
          <w:p>
            <w:pPr>
              <w:spacing w:before="30" w:after="30" w:line="252" w:lineRule="auto"/>
            </w:pPr>
            <w:r>
              <w:rPr>
                <w:rFonts w:ascii="Arial" w:hAnsi="Arial" w:eastAsia="宋体"/>
                <w:b w:val="0"/>
                <w:i w:val="0"/>
                <w:sz w:val="19"/>
              </w:rPr>
              <w:t>当前以制单日期确定2026年账期，业务日期保留；不会声称已与NC记账日期在线对账</w:t>
            </w:r>
          </w:p>
        </w:tc>
      </w:tr>
      <w:tr>
        <w:trPr>
          <w:cantSplit/>
        </w:trPr>
        <w:tc>
          <w:tcPr>
            <w:tcW w:type="dxa" w:w="34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制单人、业务单元、银行、结算、税项/VAT等</w:t>
            </w:r>
          </w:p>
        </w:tc>
        <w:tc>
          <w:tcPr>
            <w:tcW w:type="dxa" w:w="59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作为原始业务字段保留，不冒称已实现税务或组织授权引擎</w:t>
            </w:r>
          </w:p>
        </w:tc>
      </w:tr>
    </w:tbl>
    <w:p>
      <w:pPr>
        <w:spacing w:after="40"/>
      </w:pPr>
    </w:p>
    <w:p>
      <w:r>
        <w:rPr>
          <w:rFonts w:ascii="Arial" w:hAnsi="Arial" w:eastAsia="宋体"/>
          <w:b w:val="0"/>
          <w:i w:val="0"/>
        </w:rPr>
        <w:t>内部客商可以出现在不同辅助核算列，配置需要明确列及编码；多列候选导致不能唯一确认对方时应明确处理，不按第一个金额相等的对象猜配。对于外部客户、供应商，应配置为EXTERNAL并保留外部状态；未映射不等于外部，否则会遗漏内部差异。</w:t>
      </w:r>
    </w:p>
    <w:p>
      <w:r>
        <w:rPr>
          <w:rFonts w:ascii="Arial" w:hAnsi="Arial" w:eastAsia="宋体"/>
          <w:b w:val="0"/>
          <w:i w:val="0"/>
        </w:rPr>
        <w:t>NC常见结构是内部客商只在应收/应付行，收入/成本行辅助值为空。本版在同一凭证键（账簿、年月、类别、凭证号）内安全承接：只有一个明确已解析客商（内部或EXTERNAL）、且没有未映射/冲突辅助值时，可传给原辅助值确实为空的收入、成本、应收、应付行；在客商及共同ref均唯一的条件下，再承接空ref。多客商、多ref、未映射或冲突不任取，不跨凭证/账簿/月份推断，也不用于期初余额。rawFields保持原样，规范化行保存counterpartyBasis、referenceBasis、counterpartyDerivedFrom/referenceDerivedFrom及derivedFromVoucherRows，能定位原依据行号和ID。内部交易仍缺共同ref时列差异；明确外部客商不因无内部ref而要求配内部交易。</w:t>
      </w:r>
    </w:p>
    <w:p>
      <w:r>
        <w:rPr>
          <w:rFonts w:ascii="Arial" w:hAnsi="Arial" w:eastAsia="宋体"/>
          <w:b w:val="0"/>
          <w:i w:val="0"/>
        </w:rPr>
        <w:t>NC没有分录序号时按同一凭证内的源行顺序稳定生成行号，并保留sourceRow。要复现相同凭证行ID，应使用相同完整导出和稳定行序；本版没有跨文件智能识别“同一条凭证被重新排序”的通用去重服务。重复活跃凭证行整批拒绝，修正应停用错误批次再导入完整凭证。</w:t>
      </w:r>
    </w:p>
    <w:p>
      <w:r>
        <w:rPr>
          <w:rFonts w:ascii="Arial" w:hAnsi="Arial" w:eastAsia="宋体"/>
          <w:b w:val="0"/>
          <w:i w:val="0"/>
        </w:rPr>
        <w:t>导入NC时必须postedConfirmed=true。这个标志记录用户确认，仅表示导出文件范围已由导出人员确认，不表示系统已访问NC验证记账状态。用户实际账簿编码、客商列/编码和跨主体共享ref需要在真实文件中配置，文档不编造客户实际编码。</w:t>
      </w:r>
    </w:p>
    <w:p>
      <w:pPr>
        <w:pStyle w:val="Heading2"/>
      </w:pPr>
      <w:bookmarkStart w:id="85" w:name="epm_85"/>
      <w:r>
        <w:rPr>
          <w:rFonts w:ascii="Arial" w:hAnsi="Arial" w:eastAsia="宋体"/>
          <w:b w:val="0"/>
          <w:i w:val="0"/>
        </w:rPr>
        <w:t>19.5 CSV、XLSX及批次导入校验</w:t>
      </w:r>
      <w:bookmarkEnd w:id="85"/>
    </w:p>
    <w:p>
      <w:r>
        <w:rPr>
          <w:rFonts w:ascii="Arial" w:hAnsi="Arial" w:eastAsia="宋体"/>
          <w:b w:val="0"/>
          <w:i w:val="0"/>
        </w:rPr>
        <w:t>CSV支持UTF-8/BOM及可识别的GB18030，推荐UTF-8。账簿、科目、客商及凭证编号应按文本导出，避免Excel先丢失前导0或改成科学计数；已经在源文件中丢失的编码不能由导入器猜回。XLSX通过标准库ZIP/XML读取指定工作表或首张工作表，处理文本、共享字符串、空单元格和可识别日期样式。遇公式单元格要求先粘贴为值；不执行公式、宏或外部链接。旧二进制.xls不直接解析，应在Excel/WPS另存.xlsx或UTF-8 CSV。</w:t>
      </w:r>
    </w:p>
    <w:p>
      <w:r>
        <w:rPr>
          <w:rFonts w:ascii="Arial" w:hAnsi="Arial" w:eastAsia="宋体"/>
          <w:b w:val="0"/>
          <w:i w:val="0"/>
        </w:rPr>
        <w:t>公开导入边界受HTTP正文12MB、CSV文本9MB、二进制8MB约束；XLSX解析另有解压总量、成员数量、300列和100000数据行等保护。它们是输入保护，不是已完成10万行性能承诺。纯解析函数的内部上限可能更大，公开接口以前置较小限制为准。</w:t>
      </w:r>
    </w:p>
    <w:tbl>
      <w:tblPr>
        <w:tblStyle w:val="TableGrid"/>
        <w:tblW w:type="auto" w:w="0"/>
        <w:jc w:val="center"/>
        <w:tblLayout w:type="fixed"/>
        <w:tblLook w:firstColumn="1" w:firstRow="1" w:lastColumn="0" w:lastRow="0" w:noHBand="0" w:noVBand="1" w:val="04A0"/>
      </w:tblPr>
      <w:tblGrid>
        <w:gridCol w:w="2143"/>
        <w:gridCol w:w="7263"/>
      </w:tblGrid>
      <w:tr>
        <w:trPr>
          <w:cantSplit/>
          <w:tblHeader w:val="true"/>
        </w:trPr>
        <w:tc>
          <w:tcPr>
            <w:tcW w:type="dxa" w:w="214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校验点</w:t>
            </w:r>
          </w:p>
        </w:tc>
        <w:tc>
          <w:tcPr>
            <w:tcW w:type="dxa" w:w="726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拒绝条件与行为</w:t>
            </w:r>
          </w:p>
        </w:tc>
      </w:tr>
      <w:tr>
        <w:trPr>
          <w:cantSplit/>
        </w:trPr>
        <w:tc>
          <w:tcPr>
            <w:tcW w:type="dxa" w:w="2143"/>
            <w:vAlign w:val="top"/>
            <w:tcMar>
              <w:top w:w="65" w:type="dxa"/>
              <w:bottom w:w="65" w:type="dxa"/>
              <w:left w:w="65" w:type="dxa"/>
              <w:right w:w="65" w:type="dxa"/>
            </w:tcMar>
          </w:tcPr>
          <w:p>
            <w:pPr>
              <w:spacing w:before="30" w:after="30" w:line="252" w:lineRule="auto"/>
            </w:pPr>
            <w:r>
              <w:rPr>
                <w:rFonts w:ascii="Arial" w:hAnsi="Arial" w:eastAsia="宋体"/>
                <w:b w:val="0"/>
                <w:i w:val="0"/>
                <w:sz w:val="19"/>
              </w:rPr>
              <w:t>表头与结构</w:t>
            </w:r>
          </w:p>
        </w:tc>
        <w:tc>
          <w:tcPr>
            <w:tcW w:type="dxa" w:w="7263"/>
            <w:vAlign w:val="top"/>
            <w:tcMar>
              <w:top w:w="65" w:type="dxa"/>
              <w:bottom w:w="65" w:type="dxa"/>
              <w:left w:w="65" w:type="dxa"/>
              <w:right w:w="65" w:type="dxa"/>
            </w:tcMar>
          </w:tcPr>
          <w:p>
            <w:pPr>
              <w:spacing w:before="30" w:after="30" w:line="252" w:lineRule="auto"/>
            </w:pPr>
            <w:r>
              <w:rPr>
                <w:rFonts w:ascii="Arial" w:hAnsi="Arial" w:eastAsia="宋体"/>
                <w:b w:val="0"/>
                <w:i w:val="0"/>
                <w:sz w:val="19"/>
              </w:rPr>
              <w:t>缺必要列、规范化后重复列、行列数不一致或工作表无效，整批拒绝</w:t>
            </w:r>
          </w:p>
        </w:tc>
      </w:tr>
      <w:tr>
        <w:trPr>
          <w:cantSplit/>
        </w:trPr>
        <w:tc>
          <w:tcPr>
            <w:tcW w:type="dxa" w:w="21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主体/本位币</w:t>
            </w:r>
          </w:p>
        </w:tc>
        <w:tc>
          <w:tcPr>
            <w:tcW w:type="dxa" w:w="726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法人未唯一匹配、NC账簿未配置、期初/通用凭证币种不符，不能默认CNY</w:t>
            </w:r>
          </w:p>
        </w:tc>
      </w:tr>
      <w:tr>
        <w:trPr>
          <w:cantSplit/>
        </w:trPr>
        <w:tc>
          <w:tcPr>
            <w:tcW w:type="dxa" w:w="2143"/>
            <w:vAlign w:val="top"/>
            <w:tcMar>
              <w:top w:w="65" w:type="dxa"/>
              <w:bottom w:w="65" w:type="dxa"/>
              <w:left w:w="65" w:type="dxa"/>
              <w:right w:w="65" w:type="dxa"/>
            </w:tcMar>
          </w:tcPr>
          <w:p>
            <w:pPr>
              <w:spacing w:before="30" w:after="30" w:line="252" w:lineRule="auto"/>
            </w:pPr>
            <w:r>
              <w:rPr>
                <w:rFonts w:ascii="Arial" w:hAnsi="Arial" w:eastAsia="宋体"/>
                <w:b w:val="0"/>
                <w:i w:val="0"/>
                <w:sz w:val="19"/>
              </w:rPr>
              <w:t>金额</w:t>
            </w:r>
          </w:p>
        </w:tc>
        <w:tc>
          <w:tcPr>
            <w:tcW w:type="dxa" w:w="7263"/>
            <w:vAlign w:val="top"/>
            <w:tcMar>
              <w:top w:w="65" w:type="dxa"/>
              <w:bottom w:w="65" w:type="dxa"/>
              <w:left w:w="65" w:type="dxa"/>
              <w:right w:w="65" w:type="dxa"/>
            </w:tcMar>
          </w:tcPr>
          <w:p>
            <w:pPr>
              <w:spacing w:before="30" w:after="30" w:line="252" w:lineRule="auto"/>
            </w:pPr>
            <w:r>
              <w:rPr>
                <w:rFonts w:ascii="Arial" w:hAnsi="Arial" w:eastAsia="宋体"/>
                <w:b w:val="0"/>
                <w:i w:val="0"/>
                <w:sz w:val="19"/>
              </w:rPr>
              <w:t>本币借贷为有限金额，换成元后超过两位、同一行借贷同时非零或业务行都零，拒绝</w:t>
            </w:r>
          </w:p>
        </w:tc>
      </w:tr>
      <w:tr>
        <w:trPr>
          <w:cantSplit/>
        </w:trPr>
        <w:tc>
          <w:tcPr>
            <w:tcW w:type="dxa" w:w="21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凭证完整性</w:t>
            </w:r>
          </w:p>
        </w:tc>
        <w:tc>
          <w:tcPr>
            <w:tcW w:type="dxa" w:w="726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同一凭证借贷不平、日期/本位币不一致、重复行，不保存残缺凭证</w:t>
            </w:r>
          </w:p>
        </w:tc>
      </w:tr>
      <w:tr>
        <w:trPr>
          <w:cantSplit/>
        </w:trPr>
        <w:tc>
          <w:tcPr>
            <w:tcW w:type="dxa" w:w="2143"/>
            <w:vAlign w:val="top"/>
            <w:tcMar>
              <w:top w:w="65" w:type="dxa"/>
              <w:bottom w:w="65" w:type="dxa"/>
              <w:left w:w="65" w:type="dxa"/>
              <w:right w:w="65" w:type="dxa"/>
            </w:tcMar>
          </w:tcPr>
          <w:p>
            <w:pPr>
              <w:spacing w:before="30" w:after="30" w:line="252" w:lineRule="auto"/>
            </w:pPr>
            <w:r>
              <w:rPr>
                <w:rFonts w:ascii="Arial" w:hAnsi="Arial" w:eastAsia="宋体"/>
                <w:b w:val="0"/>
                <w:i w:val="0"/>
                <w:sz w:val="19"/>
              </w:rPr>
              <w:t>期初</w:t>
            </w:r>
          </w:p>
        </w:tc>
        <w:tc>
          <w:tcPr>
            <w:tcW w:type="dxa" w:w="7263"/>
            <w:vAlign w:val="top"/>
            <w:tcMar>
              <w:top w:w="65" w:type="dxa"/>
              <w:bottom w:w="65" w:type="dxa"/>
              <w:left w:w="65" w:type="dxa"/>
              <w:right w:w="65" w:type="dxa"/>
            </w:tcMar>
          </w:tcPr>
          <w:p>
            <w:pPr>
              <w:spacing w:before="30" w:after="30" w:line="252" w:lineRule="auto"/>
            </w:pPr>
            <w:r>
              <w:rPr>
                <w:rFonts w:ascii="Arial" w:hAnsi="Arial" w:eastAsia="宋体"/>
                <w:b w:val="0"/>
                <w:i w:val="0"/>
                <w:sz w:val="19"/>
              </w:rPr>
              <w:t>逐法人借贷平衡、2026年年初、重复科目/对方/ref余额，损益期初非零不得当年初资产负债</w:t>
            </w:r>
          </w:p>
        </w:tc>
      </w:tr>
      <w:tr>
        <w:trPr>
          <w:cantSplit/>
        </w:trPr>
        <w:tc>
          <w:tcPr>
            <w:tcW w:type="dxa" w:w="21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科目</w:t>
            </w:r>
          </w:p>
        </w:tc>
        <w:tc>
          <w:tcPr>
            <w:tcW w:type="dxa" w:w="726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实际有发生/余额科目未映射不能生成三表，错误必须保留源行定位</w:t>
            </w:r>
          </w:p>
        </w:tc>
      </w:tr>
      <w:tr>
        <w:trPr>
          <w:cantSplit/>
        </w:trPr>
        <w:tc>
          <w:tcPr>
            <w:tcW w:type="dxa" w:w="2143"/>
            <w:vAlign w:val="top"/>
            <w:tcMar>
              <w:top w:w="65" w:type="dxa"/>
              <w:bottom w:w="65" w:type="dxa"/>
              <w:left w:w="65" w:type="dxa"/>
              <w:right w:w="65" w:type="dxa"/>
            </w:tcMar>
          </w:tcPr>
          <w:p>
            <w:pPr>
              <w:spacing w:before="30" w:after="30" w:line="252" w:lineRule="auto"/>
            </w:pPr>
            <w:r>
              <w:rPr>
                <w:rFonts w:ascii="Arial" w:hAnsi="Arial" w:eastAsia="宋体"/>
                <w:b w:val="0"/>
                <w:i w:val="0"/>
                <w:sz w:val="19"/>
              </w:rPr>
              <w:t>锁定</w:t>
            </w:r>
          </w:p>
        </w:tc>
        <w:tc>
          <w:tcPr>
            <w:tcW w:type="dxa" w:w="7263"/>
            <w:vAlign w:val="top"/>
            <w:tcMar>
              <w:top w:w="65" w:type="dxa"/>
              <w:bottom w:w="65" w:type="dxa"/>
              <w:left w:w="65" w:type="dxa"/>
              <w:right w:w="65" w:type="dxa"/>
            </w:tcMar>
          </w:tcPr>
          <w:p>
            <w:pPr>
              <w:spacing w:before="30" w:after="30" w:line="252" w:lineRule="auto"/>
            </w:pPr>
            <w:r>
              <w:rPr>
                <w:rFonts w:ascii="Arial" w:hAnsi="Arial" w:eastAsia="宋体"/>
                <w:b w:val="0"/>
                <w:i w:val="0"/>
                <w:sz w:val="19"/>
              </w:rPr>
              <w:t>输入影响月份及其相关已签核单元未重开，不能修改已批准来源</w:t>
            </w:r>
          </w:p>
        </w:tc>
      </w:tr>
      <w:tr>
        <w:trPr>
          <w:cantSplit/>
        </w:trPr>
        <w:tc>
          <w:tcPr>
            <w:tcW w:type="dxa" w:w="21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重复</w:t>
            </w:r>
          </w:p>
        </w:tc>
        <w:tc>
          <w:tcPr>
            <w:tcW w:type="dxa" w:w="726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活跃凭证分录或期初键重复，整批409拒绝，不再加账一次</w:t>
            </w:r>
          </w:p>
        </w:tc>
      </w:tr>
      <w:tr>
        <w:trPr>
          <w:cantSplit/>
        </w:trPr>
        <w:tc>
          <w:tcPr>
            <w:tcW w:type="dxa" w:w="2143"/>
            <w:vAlign w:val="top"/>
            <w:tcMar>
              <w:top w:w="65" w:type="dxa"/>
              <w:bottom w:w="65" w:type="dxa"/>
              <w:left w:w="65" w:type="dxa"/>
              <w:right w:w="65" w:type="dxa"/>
            </w:tcMar>
          </w:tcPr>
          <w:p>
            <w:pPr>
              <w:spacing w:before="30" w:after="30" w:line="252" w:lineRule="auto"/>
            </w:pPr>
            <w:r>
              <w:rPr>
                <w:rFonts w:ascii="Arial" w:hAnsi="Arial" w:eastAsia="宋体"/>
                <w:b w:val="0"/>
                <w:i w:val="0"/>
                <w:sz w:val="19"/>
              </w:rPr>
              <w:t>事务</w:t>
            </w:r>
          </w:p>
        </w:tc>
        <w:tc>
          <w:tcPr>
            <w:tcW w:type="dxa" w:w="7263"/>
            <w:vAlign w:val="top"/>
            <w:tcMar>
              <w:top w:w="65" w:type="dxa"/>
              <w:bottom w:w="65" w:type="dxa"/>
              <w:left w:w="65" w:type="dxa"/>
              <w:right w:w="65" w:type="dxa"/>
            </w:tcMar>
          </w:tcPr>
          <w:p>
            <w:pPr>
              <w:spacing w:before="30" w:after="30" w:line="252" w:lineRule="auto"/>
            </w:pPr>
            <w:r>
              <w:rPr>
                <w:rFonts w:ascii="Arial" w:hAnsi="Arial" w:eastAsia="宋体"/>
                <w:b w:val="0"/>
                <w:i w:val="0"/>
                <w:sz w:val="19"/>
              </w:rPr>
              <w:t>任何阻断使整批state和audit回滚，revision不增加</w:t>
            </w:r>
          </w:p>
        </w:tc>
      </w:tr>
    </w:tbl>
    <w:p>
      <w:pPr>
        <w:spacing w:after="40"/>
      </w:pPr>
    </w:p>
    <w:p>
      <w:r>
        <w:rPr>
          <w:rFonts w:ascii="Arial" w:hAnsi="Arial" w:eastAsia="宋体"/>
          <w:b w:val="0"/>
          <w:i w:val="0"/>
        </w:rPr>
        <w:t>导入后批次有来源文件名、ID、行数、法人和active状态。ERP适配规则只影响后续导入的解释，改变规则不自动重写已导入规范化凭证；应按明确流程停用重导。这样历史快照不会被新的客商规则重新解释。</w:t>
      </w:r>
    </w:p>
    <w:p>
      <w:pPr>
        <w:pStyle w:val="Heading2"/>
      </w:pPr>
      <w:bookmarkStart w:id="86" w:name="epm_86"/>
      <w:r>
        <w:rPr>
          <w:rFonts w:ascii="Arial" w:hAnsi="Arial" w:eastAsia="宋体"/>
          <w:b w:val="0"/>
          <w:i w:val="0"/>
        </w:rPr>
        <w:t>19.6 元、分与报表万元精度</w:t>
      </w:r>
      <w:bookmarkEnd w:id="86"/>
    </w:p>
    <w:p>
      <w:r>
        <w:rPr>
          <w:rFonts w:ascii="Arial" w:hAnsi="Arial" w:eastAsia="宋体"/>
          <w:b w:val="0"/>
          <w:i w:val="0"/>
        </w:rPr>
        <w:t>Canonical凭证及期初金额使用法人本位币元、两位小数字符串，例如100.01元。生成财务源时除以10000，保存0.010001万元；0.01元等于0.000001万元。若仍按旧版0.01万元舍入，会损失低于100元的金额，导致账务和报表无法逐分核对，因此本ERP版财务路径统一为万元6位。</w:t>
      </w:r>
    </w:p>
    <w:p>
      <w:r>
        <w:rPr>
          <w:rFonts w:ascii="Arial" w:hAnsi="Arial" w:eastAsia="宋体"/>
          <w:b w:val="0"/>
          <w:i w:val="0"/>
        </w:rPr>
        <w:t>Decimal贯穿账务汇总、月度派生、抵销及分类折算。JSON边界的报表数值检查回转后仍保持同一分值；超出可无损表达范围明确拒绝，不静默丢分。凭证原币、集团币及全局币字段即使数值不同，也只作为核对来源，不参与本币入账合计。</w:t>
      </w:r>
    </w:p>
    <w:p>
      <w:pPr>
        <w:pStyle w:val="Heading2"/>
      </w:pPr>
      <w:bookmarkStart w:id="87" w:name="epm_87"/>
      <w:r>
        <w:rPr>
          <w:rFonts w:ascii="Arial" w:hAnsi="Arial" w:eastAsia="宋体"/>
          <w:b w:val="0"/>
          <w:i w:val="0"/>
        </w:rPr>
        <w:t>19.7 期初加凭证生成单体三表</w:t>
      </w:r>
      <w:bookmarkEnd w:id="87"/>
    </w:p>
    <w:p>
      <w:pPr>
        <w:ind w:left="283" w:hanging="198"/>
      </w:pPr>
      <w:r>
        <w:rPr>
          <w:rFonts w:ascii="Arial" w:hAnsi="Arial" w:eastAsia="宋体"/>
        </w:rPr>
        <w:t xml:space="preserve">1. </w:t>
      </w:r>
      <w:r>
        <w:rPr>
          <w:rFonts w:ascii="Arial" w:hAnsi="Arial" w:eastAsia="宋体"/>
          <w:b w:val="0"/>
          <w:i w:val="0"/>
        </w:rPr>
        <w:t>选择法人和累计期间，取该法人有效年初余额及1月至本期的完整凭证。</w:t>
      </w:r>
    </w:p>
    <w:p>
      <w:pPr>
        <w:ind w:left="283" w:hanging="198"/>
      </w:pPr>
      <w:r>
        <w:rPr>
          <w:rFonts w:ascii="Arial" w:hAnsi="Arial" w:eastAsia="宋体"/>
        </w:rPr>
        <w:t xml:space="preserve">2. </w:t>
      </w:r>
      <w:r>
        <w:rPr>
          <w:rFonts w:ascii="Arial" w:hAnsi="Arial" w:eastAsia="宋体"/>
          <w:b w:val="0"/>
          <w:i w:val="0"/>
        </w:rPr>
        <w:t>验证每个余额/发生科目有映射，检查本位币、重复键、逐张凭证平衡与期初总平衡。</w:t>
      </w:r>
    </w:p>
    <w:p>
      <w:pPr>
        <w:ind w:left="283" w:hanging="198"/>
      </w:pPr>
      <w:r>
        <w:rPr>
          <w:rFonts w:ascii="Arial" w:hAnsi="Arial" w:eastAsia="宋体"/>
        </w:rPr>
        <w:t xml:space="preserve">3. </w:t>
      </w:r>
      <w:r>
        <w:rPr>
          <w:rFonts w:ascii="Arial" w:hAnsi="Arial" w:eastAsia="宋体"/>
          <w:b w:val="0"/>
          <w:i w:val="0"/>
        </w:rPr>
        <w:t>识别只含损益和留存科目且整张平衡的损益结转凭证，从管理报表计算口径排除，原凭证和排除原因继续留档。</w:t>
      </w:r>
    </w:p>
    <w:p>
      <w:pPr>
        <w:ind w:left="283" w:hanging="198"/>
      </w:pPr>
      <w:r>
        <w:rPr>
          <w:rFonts w:ascii="Arial" w:hAnsi="Arial" w:eastAsia="宋体"/>
        </w:rPr>
        <w:t xml:space="preserve">4. </w:t>
      </w:r>
      <w:r>
        <w:rPr>
          <w:rFonts w:ascii="Arial" w:hAnsi="Arial" w:eastAsia="宋体"/>
          <w:b w:val="0"/>
          <w:i w:val="0"/>
        </w:rPr>
        <w:t>按科目和字段经济方向形成期初资产负债、各月损益、期末余额及科目试算；本期净利润进入期末留存一次。</w:t>
      </w:r>
    </w:p>
    <w:p>
      <w:pPr>
        <w:ind w:left="283" w:hanging="198"/>
      </w:pPr>
      <w:r>
        <w:rPr>
          <w:rFonts w:ascii="Arial" w:hAnsi="Arial" w:eastAsia="宋体"/>
        </w:rPr>
        <w:t xml:space="preserve">5. </w:t>
      </w:r>
      <w:r>
        <w:rPr>
          <w:rFonts w:ascii="Arial" w:hAnsi="Arial" w:eastAsia="宋体"/>
          <w:b w:val="0"/>
          <w:i w:val="0"/>
        </w:rPr>
        <w:t>对现金行按明确分类或无歧义规则形成逐月经营/投资/筹资现金流，不根据期末差额倒挤。</w:t>
      </w:r>
    </w:p>
    <w:p>
      <w:pPr>
        <w:ind w:left="283" w:hanging="198"/>
      </w:pPr>
      <w:r>
        <w:rPr>
          <w:rFonts w:ascii="Arial" w:hAnsi="Arial" w:eastAsia="宋体"/>
        </w:rPr>
        <w:t xml:space="preserve">6. </w:t>
      </w:r>
      <w:r>
        <w:rPr>
          <w:rFonts w:ascii="Arial" w:hAnsi="Arial" w:eastAsia="宋体"/>
          <w:b w:val="0"/>
          <w:i w:val="0"/>
        </w:rPr>
        <w:t>保留原财务模型资本/分红/少数股东边界，计算四项勾稽，通过才保存新source、trialBalance、trace及ledgerSnapshot。</w:t>
      </w:r>
    </w:p>
    <w:p>
      <w:pPr>
        <w:ind w:left="283" w:hanging="198"/>
      </w:pPr>
      <w:r>
        <w:rPr>
          <w:rFonts w:ascii="Arial" w:hAnsi="Arial" w:eastAsia="宋体"/>
        </w:rPr>
        <w:t xml:space="preserve">7. </w:t>
      </w:r>
      <w:r>
        <w:rPr>
          <w:rFonts w:ascii="Arial" w:hAnsi="Arial" w:eastAsia="宋体"/>
          <w:b w:val="0"/>
          <w:i w:val="0"/>
        </w:rPr>
        <w:t>将sourceType标记erp、保存ledgerFingerprint及源版本；相关合并旧结果失效，仍需逐层计算与签核。</w:t>
      </w:r>
    </w:p>
    <w:p>
      <w:r>
        <w:rPr>
          <w:rFonts w:ascii="Arial" w:hAnsi="Arial" w:eastAsia="宋体"/>
          <w:b w:val="0"/>
          <w:i w:val="0"/>
        </w:rPr>
        <w:t>年初损益余额必须0；中途启用要给年初余额和1月起完整凭证，不能把截至8月累计余额当9月年初后只导9月凭证。期末资产负债不能只根据本月凭证凑出，缺期初不自动补零掩盖。</w:t>
      </w:r>
    </w:p>
    <w:p>
      <w:r>
        <w:rPr>
          <w:rFonts w:ascii="Arial" w:hAnsi="Arial" w:eastAsia="宋体"/>
          <w:b w:val="0"/>
          <w:i w:val="0"/>
        </w:rPr>
        <w:t>通用模板可明确voucherKind=损益结转/closing；NC无该独立类型列，当前按摘要正则</w:t>
      </w:r>
      <w:r>
        <w:rPr>
          <w:rFonts w:ascii="Consolas" w:hAnsi="Consolas" w:eastAsia="宋体"/>
          <w:b w:val="0"/>
          <w:i w:val="0"/>
          <w:sz w:val="18"/>
        </w:rPr>
        <w:t>结转(本年利润|本期损益|损益)</w:t>
      </w:r>
      <w:r>
        <w:rPr>
          <w:rFonts w:ascii="Arial" w:hAnsi="Arial" w:eastAsia="宋体"/>
          <w:b w:val="0"/>
          <w:i w:val="0"/>
        </w:rPr>
        <w:t>识别候选。无论来源都仍必须检查整凭证借贷平衡且只落PL与retained。若含资产、负债或资本等其他项目，明确拒绝错误结转类型，不能整张静默略去。排除列表excludedClosingVouchers及原因已保存于生成report和source.ledgerSnapshot；原凭证同样留在快照。凭证被排除只影响本期管理三表口径，不表示删除ERP原凭证或向ERP反记账。其他资本、分红和留存变动仍按原权益规则阻断，不能借“结转”名义静默排除。</w:t>
      </w:r>
    </w:p>
    <w:p>
      <w:pPr>
        <w:pStyle w:val="Heading2"/>
      </w:pPr>
      <w:bookmarkStart w:id="88" w:name="epm_88"/>
      <w:r>
        <w:rPr>
          <w:rFonts w:ascii="Arial" w:hAnsi="Arial" w:eastAsia="宋体"/>
          <w:b w:val="0"/>
          <w:i w:val="0"/>
        </w:rPr>
        <w:t>19.8 现金流分类的实际规则与限制</w:t>
      </w:r>
      <w:bookmarkEnd w:id="88"/>
    </w:p>
    <w:p>
      <w:r>
        <w:rPr>
          <w:rFonts w:ascii="Arial" w:hAnsi="Arial" w:eastAsia="宋体"/>
          <w:b w:val="0"/>
          <w:i w:val="0"/>
        </w:rPr>
        <w:t>现金科目行可明确标记经营、投资、筹资。无明确分类时，同一凭证的非现金对方科目全部属于同一类才允许推导：投资/固定/无形资产通常归投资，资本和借款归筹资，其他当前支持科目归经营。现金账户之间净额为0的内部转账不重复形成外部现金流。</w:t>
      </w:r>
    </w:p>
    <w:p>
      <w:r>
        <w:rPr>
          <w:rFonts w:ascii="Arial" w:hAnsi="Arial" w:eastAsia="宋体"/>
          <w:b w:val="0"/>
          <w:i w:val="0"/>
        </w:rPr>
        <w:t>一张复合凭证同时涉及不同现金流类别时必须明确分类，系统不能选择其中一个或把差额塞入经营。NC原48列没有现金流类别；无歧义NC凭证可按上述规则生成。需要逐现金行明确分类的复杂凭证，可使用规范化核对补注在映射为cash的有效原行补充分类并填写原因，或按带现金流类别的通用模板经停用/重导修正；不能宣称NC原文件已天然包含未提供的分类字段。本规则是当前Demo范围，正式现金流准则、非现金补充资料及企业细分类需专项研发。</w:t>
      </w:r>
    </w:p>
    <w:p>
      <w:pPr>
        <w:pStyle w:val="Heading2"/>
      </w:pPr>
      <w:bookmarkStart w:id="89" w:name="epm_89"/>
      <w:r>
        <w:rPr>
          <w:rFonts w:ascii="Arial" w:hAnsi="Arial" w:eastAsia="宋体"/>
          <w:b w:val="0"/>
          <w:i w:val="0"/>
        </w:rPr>
        <w:t>19.9 内部交易匹配的分组键</w:t>
      </w:r>
      <w:bookmarkEnd w:id="89"/>
    </w:p>
    <w:p>
      <w:r>
        <w:rPr>
          <w:rFonts w:ascii="Arial" w:hAnsi="Arial" w:eastAsia="宋体"/>
          <w:b w:val="0"/>
          <w:i w:val="0"/>
        </w:rPr>
        <w:t>匹配从有效期初与凭证行出发，先由科目映射识别收入、成本、应收和应付，再按双方、共同reference、记账本位币、业务类别及最低共同层建立组。销售/成本按实际交易月份分别配对；应收/应付按ref累计期初和本期变动形成期末余额，同时核对期初。</w:t>
      </w:r>
    </w:p>
    <w:tbl>
      <w:tblPr>
        <w:tblStyle w:val="TableGrid"/>
        <w:tblW w:type="auto" w:w="0"/>
        <w:jc w:val="center"/>
        <w:tblLayout w:type="fixed"/>
        <w:tblLook w:firstColumn="1" w:firstRow="1" w:lastColumn="0" w:lastRow="0" w:noHBand="0" w:noVBand="1" w:val="04A0"/>
      </w:tblPr>
      <w:tblGrid>
        <w:gridCol w:w="1644"/>
        <w:gridCol w:w="3731"/>
        <w:gridCol w:w="4032"/>
      </w:tblGrid>
      <w:tr>
        <w:trPr>
          <w:cantSplit/>
          <w:tblHeader w:val="true"/>
        </w:trPr>
        <w:tc>
          <w:tcPr>
            <w:tcW w:type="dxa" w:w="164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匹配类别</w:t>
            </w:r>
          </w:p>
        </w:tc>
        <w:tc>
          <w:tcPr>
            <w:tcW w:type="dxa" w:w="373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金额基础</w:t>
            </w:r>
          </w:p>
        </w:tc>
        <w:tc>
          <w:tcPr>
            <w:tcW w:type="dxa" w:w="403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可生成的抵销</w:t>
            </w:r>
          </w:p>
        </w:tc>
      </w:tr>
      <w:tr>
        <w:trPr>
          <w:cantSplit/>
        </w:trPr>
        <w:tc>
          <w:tcPr>
            <w:tcW w:type="dxa" w:w="1644"/>
            <w:vAlign w:val="top"/>
            <w:tcMar>
              <w:top w:w="65" w:type="dxa"/>
              <w:bottom w:w="65" w:type="dxa"/>
              <w:left w:w="65" w:type="dxa"/>
              <w:right w:w="65" w:type="dxa"/>
            </w:tcMar>
          </w:tcPr>
          <w:p>
            <w:pPr>
              <w:spacing w:before="30" w:after="30" w:line="252" w:lineRule="auto"/>
            </w:pPr>
            <w:r>
              <w:rPr>
                <w:rFonts w:ascii="Arial" w:hAnsi="Arial" w:eastAsia="宋体"/>
                <w:b w:val="0"/>
                <w:i w:val="0"/>
                <w:sz w:val="19"/>
              </w:rPr>
              <w:t>sales</w:t>
            </w:r>
          </w:p>
        </w:tc>
        <w:tc>
          <w:tcPr>
            <w:tcW w:type="dxa" w:w="3731"/>
            <w:vAlign w:val="top"/>
            <w:tcMar>
              <w:top w:w="65" w:type="dxa"/>
              <w:bottom w:w="65" w:type="dxa"/>
              <w:left w:w="65" w:type="dxa"/>
              <w:right w:w="65" w:type="dxa"/>
            </w:tcMar>
          </w:tcPr>
          <w:p>
            <w:pPr>
              <w:spacing w:before="30" w:after="30" w:line="252" w:lineRule="auto"/>
            </w:pPr>
            <w:r>
              <w:rPr>
                <w:rFonts w:ascii="Arial" w:hAnsi="Arial" w:eastAsia="宋体"/>
                <w:b w:val="0"/>
                <w:i w:val="0"/>
                <w:sz w:val="19"/>
              </w:rPr>
              <w:t>同双方/ref/币种/月份的销售收入与对方成本等额</w:t>
            </w:r>
          </w:p>
        </w:tc>
        <w:tc>
          <w:tcPr>
            <w:tcW w:type="dxa" w:w="4032"/>
            <w:vAlign w:val="top"/>
            <w:tcMar>
              <w:top w:w="65" w:type="dxa"/>
              <w:bottom w:w="65" w:type="dxa"/>
              <w:left w:w="65" w:type="dxa"/>
              <w:right w:w="65" w:type="dxa"/>
            </w:tcMar>
          </w:tcPr>
          <w:p>
            <w:pPr>
              <w:spacing w:before="30" w:after="30" w:line="252" w:lineRule="auto"/>
            </w:pPr>
            <w:r>
              <w:rPr>
                <w:rFonts w:ascii="Arial" w:hAnsi="Arial" w:eastAsia="宋体"/>
                <w:b w:val="0"/>
                <w:i w:val="0"/>
                <w:sz w:val="19"/>
              </w:rPr>
              <w:t>逐月收入、成本等额减少，保留原发生月</w:t>
            </w:r>
          </w:p>
        </w:tc>
      </w:tr>
      <w:tr>
        <w:trPr>
          <w:cantSplit/>
        </w:trPr>
        <w:tc>
          <w:tcPr>
            <w:tcW w:type="dxa" w:w="16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balances</w:t>
            </w:r>
          </w:p>
        </w:tc>
        <w:tc>
          <w:tcPr>
            <w:tcW w:type="dxa" w:w="373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同双方/ref/币种的期初应收=期初应付，期末应收=期末应付</w:t>
            </w:r>
          </w:p>
        </w:tc>
        <w:tc>
          <w:tcPr>
            <w:tcW w:type="dxa" w:w="403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期初与期末分别减少receivable/payable，不能损益补差</w:t>
            </w:r>
          </w:p>
        </w:tc>
      </w:tr>
    </w:tbl>
    <w:p>
      <w:pPr>
        <w:spacing w:after="40"/>
      </w:pPr>
    </w:p>
    <w:p>
      <w:r>
        <w:rPr>
          <w:rFonts w:ascii="Arial" w:hAnsi="Arial" w:eastAsia="宋体"/>
          <w:b w:val="0"/>
          <w:i w:val="0"/>
        </w:rPr>
        <w:t>外部EXTERNAL明确排除；内部对方缺失或未映射、ref缺失、金额不同、月份不同、币种不同、负向/反向余额等保留差异与双方原行。系统不单凭金额和摘要配对，不自动把币差作为汇兑损益填入，不将期初不符藏进期末相符。</w:t>
      </w:r>
    </w:p>
    <w:p>
      <w:r>
        <w:rPr>
          <w:rFonts w:ascii="Arial" w:hAnsi="Arial" w:eastAsia="宋体"/>
          <w:b w:val="0"/>
          <w:i w:val="0"/>
        </w:rPr>
        <w:t>本层仅处理交易双方最低共同单元的事项。鸿旺内部事项在鸿旺处理；鸿旺与OTHER的事项在集团处理。集团继承已签核鸿旺结果及其抵销血缘，不能再次生成相同下级交易草稿。</w:t>
      </w:r>
    </w:p>
    <w:p>
      <w:pPr>
        <w:pStyle w:val="Heading2"/>
      </w:pPr>
      <w:bookmarkStart w:id="90" w:name="epm_90"/>
      <w:r>
        <w:rPr>
          <w:rFonts w:ascii="Arial" w:hAnsi="Arial" w:eastAsia="宋体"/>
          <w:b w:val="0"/>
          <w:i w:val="0"/>
        </w:rPr>
        <w:t>19.10 差异核查与来源追溯</w:t>
      </w:r>
      <w:bookmarkEnd w:id="90"/>
    </w:p>
    <w:p>
      <w:r>
        <w:rPr>
          <w:rFonts w:ascii="Arial" w:hAnsi="Arial" w:eastAsia="宋体"/>
          <w:b w:val="0"/>
          <w:i w:val="0"/>
        </w:rPr>
        <w:t>每项差异含ID、code、中文原因、双方/期间/币种、金额差及voucherRefs。原行引用至少能定位entityId、账簿、类别、日期/年月、原凭证号、规范化凭证键、行号、sourceRow、batchId、科目、本币借贷、摘要、对方和ref。期初差异保留opening引用，不能伪装成一条没有凭证日期的业务分录。</w:t>
      </w:r>
    </w:p>
    <w:p>
      <w:r>
        <w:rPr>
          <w:rFonts w:ascii="Arial" w:hAnsi="Arial" w:eastAsia="宋体"/>
          <w:b w:val="0"/>
          <w:i w:val="0"/>
        </w:rPr>
        <w:t>差异页面可以从“未配对”“金额差”“缺客商/ref”“币种差”等原因进入双方原行。处理方式是核对后补充规范化客商/ref/现金流分类，或补齐明确映射、更正原始批次，再生成法人三表、重新匹配；不提供无依据“一键忽略并自动抵平”。本版签核前置会阻止未解决差异，避免用户看见差异清单却仍把不完整集团结果当正式批准。</w:t>
      </w:r>
    </w:p>
    <w:p>
      <w:pPr>
        <w:pStyle w:val="Heading2"/>
      </w:pPr>
      <w:bookmarkStart w:id="91" w:name="epm_91"/>
      <w:r>
        <w:rPr>
          <w:rFonts w:ascii="Arial" w:hAnsi="Arial" w:eastAsia="宋体"/>
          <w:b w:val="0"/>
          <w:i w:val="0"/>
        </w:rPr>
        <w:t>19.11 自动草稿、审批与去重</w:t>
      </w:r>
      <w:bookmarkEnd w:id="91"/>
    </w:p>
    <w:p>
      <w:r>
        <w:rPr>
          <w:rFonts w:ascii="Arial" w:hAnsi="Arial" w:eastAsia="宋体"/>
          <w:b w:val="0"/>
          <w:i w:val="0"/>
        </w:rPr>
        <w:t>ERP匹配结果带输入摘要。erp_elimination_generate先确认匹配仍有效、源凭证未变，用户可选matchIds或生成全部相符项。生成的automation标记、erpMatchId、sourceId、原行引用及月度效果写入eliminations，状态为草稿；journalLines保留真实借/贷分录，销售借营业收入贷营业成本，余额借应付贷应收，金额以本层万元六位表示。</w:t>
      </w:r>
    </w:p>
    <w:p>
      <w:r>
        <w:rPr>
          <w:rFonts w:ascii="Arial" w:hAnsi="Arial" w:eastAsia="宋体"/>
          <w:b w:val="0"/>
          <w:i w:val="0"/>
        </w:rPr>
        <w:t>生成不是审批。负责人可逐张调用原elimination_approve，也可通过erp_eliminations_approve填写原因，事务内逐张调用同一正式审批校验；任一张失败整批回滚。财务勾稽及范围校验仍执行，通过后才能纳入原consolidation_run。再次对同一匹配版本生成时应跳过已有项，不重复扣减。输入更正使旧匹配、旧自动草稿/已审批项来源失效；重新匹配后以新版本重新生成，历史已签核快照仍保留原凭证依据。</w:t>
      </w:r>
    </w:p>
    <w:p>
      <w:r>
        <w:rPr>
          <w:rFonts w:ascii="Arial" w:hAnsi="Arial" w:eastAsia="宋体"/>
          <w:b w:val="0"/>
          <w:i w:val="0"/>
        </w:rPr>
        <w:t>销售自动抵销沿用逐月effects，应收/应付抵销新增balances类型，仅允许receivable/payable等额减少，并保存openingEffects。旧手工演示100/50内部销售若与ERP同源，不能和自动抵销双扣。载入虚构样例时会明确停用旧示例销售；普通NC导入则在本层由负责人执行“转入凭证合并模式”并填写原因，erp_demo_eliminations_replace只停用seedOrigin=ML初始化示例的本层本期销售，保留用户自建事项、投资权益950及历史快照。尚未转换时erp_elimination_generate返回409阻止继续。这个防重只针对明确样例来源，不等于已经能识别企业任意手工抵销与ERP凭证的语义重复。</w:t>
      </w:r>
    </w:p>
    <w:p>
      <w:pPr>
        <w:pStyle w:val="Heading2"/>
      </w:pPr>
      <w:bookmarkStart w:id="92" w:name="epm_92"/>
      <w:r>
        <w:rPr>
          <w:rFonts w:ascii="Arial" w:hAnsi="Arial" w:eastAsia="宋体"/>
          <w:b w:val="0"/>
          <w:i w:val="0"/>
        </w:rPr>
        <w:t>19.12 新依赖检查和失效范围</w:t>
      </w:r>
      <w:bookmarkEnd w:id="92"/>
    </w:p>
    <w:p>
      <w:r>
        <w:rPr>
          <w:rFonts w:ascii="Arial" w:hAnsi="Arial" w:eastAsia="宋体"/>
          <w:b w:val="0"/>
          <w:i w:val="0"/>
        </w:rPr>
        <w:t>ERP输入版本是原分级依赖之前的一段新增链。科目、期初或有效凭证变化后，相关法人报表、匹配、自动抵销及祖先结果都应失效；有已签核锁时需先按影响月份重开。凭证发生月决定对后续累计期间的影响，期初/科目变更则影响相关年度期间。</w:t>
      </w:r>
    </w:p>
    <w:tbl>
      <w:tblPr>
        <w:tblStyle w:val="TableGrid"/>
        <w:tblW w:type="auto" w:w="0"/>
        <w:jc w:val="center"/>
        <w:tblLayout w:type="fixed"/>
        <w:tblLook w:firstColumn="1" w:firstRow="1" w:lastColumn="0" w:lastRow="0" w:noHBand="0" w:noVBand="1" w:val="04A0"/>
      </w:tblPr>
      <w:tblGrid>
        <w:gridCol w:w="1648"/>
        <w:gridCol w:w="4674"/>
        <w:gridCol w:w="3085"/>
      </w:tblGrid>
      <w:tr>
        <w:trPr>
          <w:cantSplit/>
          <w:tblHeader w:val="true"/>
        </w:trPr>
        <w:tc>
          <w:tcPr>
            <w:tcW w:type="dxa" w:w="164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检查</w:t>
            </w:r>
          </w:p>
        </w:tc>
        <w:tc>
          <w:tcPr>
            <w:tcW w:type="dxa" w:w="467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通过要求</w:t>
            </w:r>
          </w:p>
        </w:tc>
        <w:tc>
          <w:tcPr>
            <w:tcW w:type="dxa" w:w="308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失败时动作</w:t>
            </w:r>
          </w:p>
        </w:tc>
      </w:tr>
      <w:tr>
        <w:trPr>
          <w:cantSplit/>
        </w:trPr>
        <w:tc>
          <w:tcPr>
            <w:tcW w:type="dxa" w:w="1648"/>
            <w:vAlign w:val="top"/>
            <w:tcMar>
              <w:top w:w="65" w:type="dxa"/>
              <w:bottom w:w="65" w:type="dxa"/>
              <w:left w:w="65" w:type="dxa"/>
              <w:right w:w="65" w:type="dxa"/>
            </w:tcMar>
          </w:tcPr>
          <w:p>
            <w:pPr>
              <w:spacing w:before="30" w:after="30" w:line="252" w:lineRule="auto"/>
            </w:pPr>
            <w:r>
              <w:rPr>
                <w:rFonts w:ascii="Arial" w:hAnsi="Arial" w:eastAsia="宋体"/>
                <w:b w:val="0"/>
                <w:i w:val="0"/>
                <w:sz w:val="19"/>
              </w:rPr>
              <w:t>法人凭证三表版本</w:t>
            </w:r>
          </w:p>
        </w:tc>
        <w:tc>
          <w:tcPr>
            <w:tcW w:type="dxa" w:w="4674"/>
            <w:vAlign w:val="top"/>
            <w:tcMar>
              <w:top w:w="65" w:type="dxa"/>
              <w:bottom w:w="65" w:type="dxa"/>
              <w:left w:w="65" w:type="dxa"/>
              <w:right w:w="65" w:type="dxa"/>
            </w:tcMar>
          </w:tcPr>
          <w:p>
            <w:pPr>
              <w:spacing w:before="30" w:after="30" w:line="252" w:lineRule="auto"/>
            </w:pPr>
            <w:r>
              <w:rPr>
                <w:rFonts w:ascii="Arial" w:hAnsi="Arial" w:eastAsia="宋体"/>
                <w:b w:val="0"/>
                <w:i w:val="0"/>
                <w:sz w:val="19"/>
              </w:rPr>
              <w:t>sourceType=erp，ledgerFingerprint等于该法人当前有效输入</w:t>
            </w:r>
          </w:p>
        </w:tc>
        <w:tc>
          <w:tcPr>
            <w:tcW w:type="dxa" w:w="3085"/>
            <w:vAlign w:val="top"/>
            <w:tcMar>
              <w:top w:w="65" w:type="dxa"/>
              <w:bottom w:w="65" w:type="dxa"/>
              <w:left w:w="65" w:type="dxa"/>
              <w:right w:w="65" w:type="dxa"/>
            </w:tcMar>
          </w:tcPr>
          <w:p>
            <w:pPr>
              <w:spacing w:before="30" w:after="30" w:line="252" w:lineRule="auto"/>
            </w:pPr>
            <w:r>
              <w:rPr>
                <w:rFonts w:ascii="Arial" w:hAnsi="Arial" w:eastAsia="宋体"/>
                <w:b w:val="0"/>
                <w:i w:val="0"/>
                <w:sz w:val="19"/>
              </w:rPr>
              <w:t>重新生成单体三表，不能继续用手工旧源冒ERP</w:t>
            </w:r>
          </w:p>
        </w:tc>
      </w:tr>
      <w:tr>
        <w:trPr>
          <w:cantSplit/>
        </w:trPr>
        <w:tc>
          <w:tcPr>
            <w:tcW w:type="dxa" w:w="16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本层匹配版本</w:t>
            </w:r>
          </w:p>
        </w:tc>
        <w:tc>
          <w:tcPr>
            <w:tcW w:type="dxa" w:w="46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当前范围及账务输入摘要相同，run.valid=true</w:t>
            </w:r>
          </w:p>
        </w:tc>
        <w:tc>
          <w:tcPr>
            <w:tcW w:type="dxa" w:w="30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重新匹配</w:t>
            </w:r>
          </w:p>
        </w:tc>
      </w:tr>
      <w:tr>
        <w:trPr>
          <w:cantSplit/>
        </w:trPr>
        <w:tc>
          <w:tcPr>
            <w:tcW w:type="dxa" w:w="1648"/>
            <w:vAlign w:val="top"/>
            <w:tcMar>
              <w:top w:w="65" w:type="dxa"/>
              <w:bottom w:w="65" w:type="dxa"/>
              <w:left w:w="65" w:type="dxa"/>
              <w:right w:w="65" w:type="dxa"/>
            </w:tcMar>
          </w:tcPr>
          <w:p>
            <w:pPr>
              <w:spacing w:before="30" w:after="30" w:line="252" w:lineRule="auto"/>
            </w:pPr>
            <w:r>
              <w:rPr>
                <w:rFonts w:ascii="Arial" w:hAnsi="Arial" w:eastAsia="宋体"/>
                <w:b w:val="0"/>
                <w:i w:val="0"/>
                <w:sz w:val="19"/>
              </w:rPr>
              <w:t>差异前置</w:t>
            </w:r>
          </w:p>
        </w:tc>
        <w:tc>
          <w:tcPr>
            <w:tcW w:type="dxa" w:w="4674"/>
            <w:vAlign w:val="top"/>
            <w:tcMar>
              <w:top w:w="65" w:type="dxa"/>
              <w:bottom w:w="65" w:type="dxa"/>
              <w:left w:w="65" w:type="dxa"/>
              <w:right w:w="65" w:type="dxa"/>
            </w:tcMar>
          </w:tcPr>
          <w:p>
            <w:pPr>
              <w:spacing w:before="30" w:after="30" w:line="252" w:lineRule="auto"/>
            </w:pPr>
            <w:r>
              <w:rPr>
                <w:rFonts w:ascii="Arial" w:hAnsi="Arial" w:eastAsia="宋体"/>
                <w:b w:val="0"/>
                <w:i w:val="0"/>
                <w:sz w:val="19"/>
              </w:rPr>
              <w:t>本层没有未解决差异</w:t>
            </w:r>
          </w:p>
        </w:tc>
        <w:tc>
          <w:tcPr>
            <w:tcW w:type="dxa" w:w="3085"/>
            <w:vAlign w:val="top"/>
            <w:tcMar>
              <w:top w:w="65" w:type="dxa"/>
              <w:bottom w:w="65" w:type="dxa"/>
              <w:left w:w="65" w:type="dxa"/>
              <w:right w:w="65" w:type="dxa"/>
            </w:tcMar>
          </w:tcPr>
          <w:p>
            <w:pPr>
              <w:spacing w:before="30" w:after="30" w:line="252" w:lineRule="auto"/>
            </w:pPr>
            <w:r>
              <w:rPr>
                <w:rFonts w:ascii="Arial" w:hAnsi="Arial" w:eastAsia="宋体"/>
                <w:b w:val="0"/>
                <w:i w:val="0"/>
                <w:sz w:val="19"/>
              </w:rPr>
              <w:t>钻取并修正来源，不允许倒挤</w:t>
            </w:r>
          </w:p>
        </w:tc>
      </w:tr>
      <w:tr>
        <w:trPr>
          <w:cantSplit/>
        </w:trPr>
        <w:tc>
          <w:tcPr>
            <w:tcW w:type="dxa" w:w="164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自动抵销前置</w:t>
            </w:r>
          </w:p>
        </w:tc>
        <w:tc>
          <w:tcPr>
            <w:tcW w:type="dxa" w:w="46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相符项已按当前输入版本生成且负责人已审批</w:t>
            </w:r>
          </w:p>
        </w:tc>
        <w:tc>
          <w:tcPr>
            <w:tcW w:type="dxa" w:w="30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生成待审草稿并审批</w:t>
            </w:r>
          </w:p>
        </w:tc>
      </w:tr>
      <w:tr>
        <w:trPr>
          <w:cantSplit/>
        </w:trPr>
        <w:tc>
          <w:tcPr>
            <w:tcW w:type="dxa" w:w="1648"/>
            <w:vAlign w:val="top"/>
            <w:tcMar>
              <w:top w:w="65" w:type="dxa"/>
              <w:bottom w:w="65" w:type="dxa"/>
              <w:left w:w="65" w:type="dxa"/>
              <w:right w:w="65" w:type="dxa"/>
            </w:tcMar>
          </w:tcPr>
          <w:p>
            <w:pPr>
              <w:spacing w:before="30" w:after="30" w:line="252" w:lineRule="auto"/>
            </w:pPr>
            <w:r>
              <w:rPr>
                <w:rFonts w:ascii="Arial" w:hAnsi="Arial" w:eastAsia="宋体"/>
                <w:b w:val="0"/>
                <w:i w:val="0"/>
                <w:sz w:val="19"/>
              </w:rPr>
              <w:t>下级结果前置</w:t>
            </w:r>
          </w:p>
        </w:tc>
        <w:tc>
          <w:tcPr>
            <w:tcW w:type="dxa" w:w="4674"/>
            <w:vAlign w:val="top"/>
            <w:tcMar>
              <w:top w:w="65" w:type="dxa"/>
              <w:bottom w:w="65" w:type="dxa"/>
              <w:left w:w="65" w:type="dxa"/>
              <w:right w:w="65" w:type="dxa"/>
            </w:tcMar>
          </w:tcPr>
          <w:p>
            <w:pPr>
              <w:spacing w:before="30" w:after="30" w:line="252" w:lineRule="auto"/>
            </w:pPr>
            <w:r>
              <w:rPr>
                <w:rFonts w:ascii="Arial" w:hAnsi="Arial" w:eastAsia="宋体"/>
                <w:b w:val="0"/>
                <w:i w:val="0"/>
                <w:sz w:val="19"/>
              </w:rPr>
              <w:t>下级已签核、有效、同期间、源和树依赖未变</w:t>
            </w:r>
          </w:p>
        </w:tc>
        <w:tc>
          <w:tcPr>
            <w:tcW w:type="dxa" w:w="3085"/>
            <w:vAlign w:val="top"/>
            <w:tcMar>
              <w:top w:w="65" w:type="dxa"/>
              <w:bottom w:w="65" w:type="dxa"/>
              <w:left w:w="65" w:type="dxa"/>
              <w:right w:w="65" w:type="dxa"/>
            </w:tcMar>
          </w:tcPr>
          <w:p>
            <w:pPr>
              <w:spacing w:before="30" w:after="30" w:line="252" w:lineRule="auto"/>
            </w:pPr>
            <w:r>
              <w:rPr>
                <w:rFonts w:ascii="Arial" w:hAnsi="Arial" w:eastAsia="宋体"/>
                <w:b w:val="0"/>
                <w:i w:val="0"/>
                <w:sz w:val="19"/>
              </w:rPr>
              <w:t>先在下级完整处理再上卷</w:t>
            </w:r>
          </w:p>
        </w:tc>
      </w:tr>
    </w:tbl>
    <w:p>
      <w:pPr>
        <w:spacing w:after="40"/>
      </w:pPr>
    </w:p>
    <w:p>
      <w:r>
        <w:rPr>
          <w:rFonts w:ascii="Arial" w:hAnsi="Arial" w:eastAsia="宋体"/>
          <w:b w:val="0"/>
          <w:i w:val="0"/>
        </w:rPr>
        <w:t>ERP适配规则仅影响后续导入，不以改配置重写旧行；相应ledgerFingerprint主要依赖实际规范化后的科目/期初/凭证。这样“对新导入调整客商解释”和“修改已经批准的历史账务”是两个可区分的动作。</w:t>
      </w:r>
    </w:p>
    <w:p>
      <w:pPr>
        <w:pStyle w:val="Heading2"/>
      </w:pPr>
      <w:bookmarkStart w:id="93" w:name="epm_93"/>
      <w:r>
        <w:rPr>
          <w:rFonts w:ascii="Arial" w:hAnsi="Arial" w:eastAsia="宋体"/>
          <w:b w:val="0"/>
          <w:i w:val="0"/>
        </w:rPr>
        <w:t>19.13 当前和历史凭证查询</w:t>
      </w:r>
      <w:bookmarkEnd w:id="93"/>
    </w:p>
    <w:p>
      <w:r>
        <w:rPr>
          <w:rFonts w:ascii="Arial" w:hAnsi="Arial" w:eastAsia="宋体"/>
          <w:b w:val="0"/>
          <w:i w:val="0"/>
        </w:rPr>
        <w:t>GET /api/erp/trace以entityId、month、area、field指定来源，resultId为空时从当前sources读取；给resultId时从该结果snapshot.sourceSnapshots取法人源，再读取其中ledgerSnapshot。接口返回basis标识当前法人源或历史签核输入。rows只包括当前字段实际归因的原分录，openingRows是相应期初行，traceRows保留字段归因及amount；relatedVoucherRows另列这些分录对应的完整借贷凭证，不能把相关整张凭证冒称全部归属于该报表项目。手工三表源返回no_erp_lineage，不编造凭证明细；未知area或field返回400。</w:t>
      </w:r>
    </w:p>
    <w:p>
      <w:r>
        <w:rPr>
          <w:rFonts w:ascii="Arial" w:hAnsi="Arial" w:eastAsia="宋体"/>
          <w:b w:val="0"/>
          <w:i w:val="0"/>
        </w:rPr>
        <w:t>结果快照保存当次映射、年初、凭证、批次、账簿/客商规则、trace与ledgerFingerprint。历史集团结果钻取后必须看到当时凭证金额，不能重新访问state.erp.vouchers取今日更正后的行。按字段追溯同时保留“参与该字段的引用”和“完整原凭证上下文”；前者与报表金额归因，后者供核对整张借贷平衡。当前支持利润gross/operating/pretax/net、资产负债assets/liabilities/equity/balance和现金流change/openingcash/cash等派生项，按组成字段及方向求值。</w:t>
      </w:r>
    </w:p>
    <w:p>
      <w:pPr>
        <w:pStyle w:val="Heading2"/>
      </w:pPr>
      <w:bookmarkStart w:id="94" w:name="epm_94"/>
      <w:r>
        <w:rPr>
          <w:rFonts w:ascii="Arial" w:hAnsi="Arial" w:eastAsia="宋体"/>
          <w:b w:val="0"/>
          <w:i w:val="0"/>
        </w:rPr>
        <w:t>19.14 ERP动作清单与权限</w:t>
      </w:r>
      <w:bookmarkEnd w:id="94"/>
    </w:p>
    <w:tbl>
      <w:tblPr>
        <w:tblStyle w:val="TableGrid"/>
        <w:tblW w:type="auto" w:w="0"/>
        <w:jc w:val="center"/>
        <w:tblLayout w:type="fixed"/>
        <w:tblLook w:firstColumn="1" w:firstRow="1" w:lastColumn="0" w:lastRow="0" w:noHBand="0" w:noVBand="1" w:val="04A0"/>
      </w:tblPr>
      <w:tblGrid>
        <w:gridCol w:w="2387"/>
        <w:gridCol w:w="3550"/>
        <w:gridCol w:w="3469"/>
      </w:tblGrid>
      <w:tr>
        <w:trPr>
          <w:cantSplit/>
          <w:tblHeader w:val="true"/>
        </w:trPr>
        <w:tc>
          <w:tcPr>
            <w:tcW w:type="dxa" w:w="238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action</w:t>
            </w:r>
          </w:p>
        </w:tc>
        <w:tc>
          <w:tcPr>
            <w:tcW w:type="dxa" w:w="355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payload核心字段</w:t>
            </w:r>
          </w:p>
        </w:tc>
        <w:tc>
          <w:tcPr>
            <w:tcW w:type="dxa" w:w="346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当前权限/结果</w:t>
            </w:r>
          </w:p>
        </w:tc>
      </w:tr>
      <w:tr>
        <w:trPr>
          <w:cantSplit/>
        </w:trPr>
        <w:tc>
          <w:tcPr>
            <w:tcW w:type="dxa" w:w="2387"/>
            <w:vAlign w:val="top"/>
            <w:tcMar>
              <w:top w:w="65" w:type="dxa"/>
              <w:bottom w:w="65" w:type="dxa"/>
              <w:left w:w="65" w:type="dxa"/>
              <w:right w:w="65" w:type="dxa"/>
            </w:tcMar>
          </w:tcPr>
          <w:p>
            <w:pPr>
              <w:spacing w:before="30" w:after="30" w:line="252" w:lineRule="auto"/>
            </w:pPr>
            <w:r>
              <w:rPr>
                <w:rFonts w:ascii="Arial" w:hAnsi="Arial" w:eastAsia="宋体"/>
                <w:b w:val="0"/>
                <w:i w:val="0"/>
                <w:sz w:val="19"/>
              </w:rPr>
              <w:t>erp_adapter_save</w:t>
            </w:r>
          </w:p>
        </w:tc>
        <w:tc>
          <w:tcPr>
            <w:tcW w:type="dxa" w:w="3550"/>
            <w:vAlign w:val="top"/>
            <w:tcMar>
              <w:top w:w="65" w:type="dxa"/>
              <w:bottom w:w="65" w:type="dxa"/>
              <w:left w:w="65" w:type="dxa"/>
              <w:right w:w="65" w:type="dxa"/>
            </w:tcMar>
          </w:tcPr>
          <w:p>
            <w:pPr>
              <w:spacing w:before="30" w:after="30" w:line="252" w:lineRule="auto"/>
            </w:pPr>
            <w:r>
              <w:rPr>
                <w:rFonts w:ascii="Arial" w:hAnsi="Arial" w:eastAsia="宋体"/>
                <w:b w:val="0"/>
                <w:i w:val="0"/>
                <w:sz w:val="19"/>
              </w:rPr>
              <w:t>adapter、bookMappings、counterpartyMappings、importOptions</w:t>
            </w:r>
          </w:p>
        </w:tc>
        <w:tc>
          <w:tcPr>
            <w:tcW w:type="dxa" w:w="3469"/>
            <w:vAlign w:val="top"/>
            <w:tcMar>
              <w:top w:w="65" w:type="dxa"/>
              <w:bottom w:w="65" w:type="dxa"/>
              <w:left w:w="65" w:type="dxa"/>
              <w:right w:w="65" w:type="dxa"/>
            </w:tcMar>
          </w:tcPr>
          <w:p>
            <w:pPr>
              <w:spacing w:before="30" w:after="30" w:line="252" w:lineRule="auto"/>
            </w:pPr>
            <w:r>
              <w:rPr>
                <w:rFonts w:ascii="Arial" w:hAnsi="Arial" w:eastAsia="宋体"/>
                <w:b w:val="0"/>
                <w:i w:val="0"/>
                <w:sz w:val="19"/>
              </w:rPr>
              <w:t>负责人；保存generic/nc65文件解释规则，不建立在线连接</w:t>
            </w:r>
          </w:p>
        </w:tc>
      </w:tr>
      <w:tr>
        <w:trPr>
          <w:cantSplit/>
        </w:trPr>
        <w:tc>
          <w:tcPr>
            <w:tcW w:type="dxa" w:w="238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erp_mapping_save</w:t>
            </w:r>
          </w:p>
        </w:tc>
        <w:tc>
          <w:tcPr>
            <w:tcW w:type="dxa" w:w="35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rows或文件/csv，sourceName、可选columnMap</w:t>
            </w:r>
          </w:p>
        </w:tc>
        <w:tc>
          <w:tcPr>
            <w:tcW w:type="dxa" w:w="34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负责人；按法人/科目保存新映射批次并失效相关来源</w:t>
            </w:r>
          </w:p>
        </w:tc>
      </w:tr>
      <w:tr>
        <w:trPr>
          <w:cantSplit/>
        </w:trPr>
        <w:tc>
          <w:tcPr>
            <w:tcW w:type="dxa" w:w="2387"/>
            <w:vAlign w:val="top"/>
            <w:tcMar>
              <w:top w:w="65" w:type="dxa"/>
              <w:bottom w:w="65" w:type="dxa"/>
              <w:left w:w="65" w:type="dxa"/>
              <w:right w:w="65" w:type="dxa"/>
            </w:tcMar>
          </w:tcPr>
          <w:p>
            <w:pPr>
              <w:spacing w:before="30" w:after="30" w:line="252" w:lineRule="auto"/>
            </w:pPr>
            <w:r>
              <w:rPr>
                <w:rFonts w:ascii="Arial" w:hAnsi="Arial" w:eastAsia="宋体"/>
                <w:b w:val="0"/>
                <w:i w:val="0"/>
                <w:sz w:val="19"/>
              </w:rPr>
              <w:t>erp_opening_import</w:t>
            </w:r>
          </w:p>
        </w:tc>
        <w:tc>
          <w:tcPr>
            <w:tcW w:type="dxa" w:w="3550"/>
            <w:vAlign w:val="top"/>
            <w:tcMar>
              <w:top w:w="65" w:type="dxa"/>
              <w:bottom w:w="65" w:type="dxa"/>
              <w:left w:w="65" w:type="dxa"/>
              <w:right w:w="65" w:type="dxa"/>
            </w:tcMar>
          </w:tcPr>
          <w:p>
            <w:pPr>
              <w:spacing w:before="30" w:after="30" w:line="252" w:lineRule="auto"/>
            </w:pPr>
            <w:r>
              <w:rPr>
                <w:rFonts w:ascii="Arial" w:hAnsi="Arial" w:eastAsia="宋体"/>
                <w:b w:val="0"/>
                <w:i w:val="0"/>
                <w:sz w:val="19"/>
              </w:rPr>
              <w:t>csv或fileBase64、fileName、sheetName、amountUnit、columnMap</w:t>
            </w:r>
          </w:p>
        </w:tc>
        <w:tc>
          <w:tcPr>
            <w:tcW w:type="dxa" w:w="3469"/>
            <w:vAlign w:val="top"/>
            <w:tcMar>
              <w:top w:w="65" w:type="dxa"/>
              <w:bottom w:w="65" w:type="dxa"/>
              <w:left w:w="65" w:type="dxa"/>
              <w:right w:w="65" w:type="dxa"/>
            </w:tcMar>
          </w:tcPr>
          <w:p>
            <w:pPr>
              <w:spacing w:before="30" w:after="30" w:line="252" w:lineRule="auto"/>
            </w:pPr>
            <w:r>
              <w:rPr>
                <w:rFonts w:ascii="Arial" w:hAnsi="Arial" w:eastAsia="宋体"/>
                <w:b w:val="0"/>
                <w:i w:val="0"/>
                <w:sz w:val="19"/>
              </w:rPr>
              <w:t>可写角色；完整年初余额批次，相关锁需先重开</w:t>
            </w:r>
          </w:p>
        </w:tc>
      </w:tr>
      <w:tr>
        <w:trPr>
          <w:cantSplit/>
        </w:trPr>
        <w:tc>
          <w:tcPr>
            <w:tcW w:type="dxa" w:w="238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erp_voucher_import</w:t>
            </w:r>
          </w:p>
        </w:tc>
        <w:tc>
          <w:tcPr>
            <w:tcW w:type="dxa" w:w="35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同上、format、NC时postedConfirmed</w:t>
            </w:r>
          </w:p>
        </w:tc>
        <w:tc>
          <w:tcPr>
            <w:tcW w:type="dxa" w:w="34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可写角色；整张平衡凭证、重复检测及原行留档</w:t>
            </w:r>
          </w:p>
        </w:tc>
      </w:tr>
      <w:tr>
        <w:trPr>
          <w:cantSplit/>
        </w:trPr>
        <w:tc>
          <w:tcPr>
            <w:tcW w:type="dxa" w:w="2387"/>
            <w:vAlign w:val="top"/>
            <w:tcMar>
              <w:top w:w="65" w:type="dxa"/>
              <w:bottom w:w="65" w:type="dxa"/>
              <w:left w:w="65" w:type="dxa"/>
              <w:right w:w="65" w:type="dxa"/>
            </w:tcMar>
          </w:tcPr>
          <w:p>
            <w:pPr>
              <w:spacing w:before="30" w:after="30" w:line="252" w:lineRule="auto"/>
            </w:pPr>
            <w:r>
              <w:rPr>
                <w:rFonts w:ascii="Arial" w:hAnsi="Arial" w:eastAsia="宋体"/>
                <w:b w:val="0"/>
                <w:i w:val="0"/>
                <w:sz w:val="19"/>
              </w:rPr>
              <w:t>erp_batch_cancel</w:t>
            </w:r>
          </w:p>
        </w:tc>
        <w:tc>
          <w:tcPr>
            <w:tcW w:type="dxa" w:w="3550"/>
            <w:vAlign w:val="top"/>
            <w:tcMar>
              <w:top w:w="65" w:type="dxa"/>
              <w:bottom w:w="65" w:type="dxa"/>
              <w:left w:w="65" w:type="dxa"/>
              <w:right w:w="65" w:type="dxa"/>
            </w:tcMar>
          </w:tcPr>
          <w:p>
            <w:pPr>
              <w:spacing w:before="30" w:after="30" w:line="252" w:lineRule="auto"/>
            </w:pPr>
            <w:r>
              <w:rPr>
                <w:rFonts w:ascii="Arial" w:hAnsi="Arial" w:eastAsia="宋体"/>
                <w:b w:val="0"/>
                <w:i w:val="0"/>
                <w:sz w:val="19"/>
              </w:rPr>
              <w:t>batchId、reason</w:t>
            </w:r>
          </w:p>
        </w:tc>
        <w:tc>
          <w:tcPr>
            <w:tcW w:type="dxa" w:w="3469"/>
            <w:vAlign w:val="top"/>
            <w:tcMar>
              <w:top w:w="65" w:type="dxa"/>
              <w:bottom w:w="65" w:type="dxa"/>
              <w:left w:w="65" w:type="dxa"/>
              <w:right w:w="65" w:type="dxa"/>
            </w:tcMar>
          </w:tcPr>
          <w:p>
            <w:pPr>
              <w:spacing w:before="30" w:after="30" w:line="252" w:lineRule="auto"/>
            </w:pPr>
            <w:r>
              <w:rPr>
                <w:rFonts w:ascii="Arial" w:hAnsi="Arial" w:eastAsia="宋体"/>
                <w:b w:val="0"/>
                <w:i w:val="0"/>
                <w:sz w:val="19"/>
              </w:rPr>
              <w:t>负责人；原因停用，保留原行，相关来源待重算</w:t>
            </w:r>
          </w:p>
        </w:tc>
      </w:tr>
      <w:tr>
        <w:trPr>
          <w:cantSplit/>
        </w:trPr>
        <w:tc>
          <w:tcPr>
            <w:tcW w:type="dxa" w:w="238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erp_voucher_annotations_save</w:t>
            </w:r>
          </w:p>
        </w:tc>
        <w:tc>
          <w:tcPr>
            <w:tcW w:type="dxa" w:w="35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rowIds、reason，以及counterpartyId/reference/cashflow至少一项</w:t>
            </w:r>
          </w:p>
        </w:tc>
        <w:tc>
          <w:tcPr>
            <w:tcW w:type="dxa" w:w="34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非只读角色；仅当前范围本期有效原行，先重开相关签核链；规范化补注不改原日期、科目、金额或rawFields</w:t>
            </w:r>
          </w:p>
        </w:tc>
      </w:tr>
      <w:tr>
        <w:trPr>
          <w:cantSplit/>
        </w:trPr>
        <w:tc>
          <w:tcPr>
            <w:tcW w:type="dxa" w:w="2387"/>
            <w:vAlign w:val="top"/>
            <w:tcMar>
              <w:top w:w="65" w:type="dxa"/>
              <w:bottom w:w="65" w:type="dxa"/>
              <w:left w:w="65" w:type="dxa"/>
              <w:right w:w="65" w:type="dxa"/>
            </w:tcMar>
          </w:tcPr>
          <w:p>
            <w:pPr>
              <w:spacing w:before="30" w:after="30" w:line="252" w:lineRule="auto"/>
            </w:pPr>
            <w:r>
              <w:rPr>
                <w:rFonts w:ascii="Arial" w:hAnsi="Arial" w:eastAsia="宋体"/>
                <w:b w:val="0"/>
                <w:i w:val="0"/>
                <w:sz w:val="19"/>
              </w:rPr>
              <w:t>erp_report_generate</w:t>
            </w:r>
          </w:p>
        </w:tc>
        <w:tc>
          <w:tcPr>
            <w:tcW w:type="dxa" w:w="3550"/>
            <w:vAlign w:val="top"/>
            <w:tcMar>
              <w:top w:w="65" w:type="dxa"/>
              <w:bottom w:w="65" w:type="dxa"/>
              <w:left w:w="65" w:type="dxa"/>
              <w:right w:w="65" w:type="dxa"/>
            </w:tcMar>
          </w:tcPr>
          <w:p>
            <w:pPr>
              <w:spacing w:before="30" w:after="30" w:line="252" w:lineRule="auto"/>
            </w:pPr>
            <w:r>
              <w:rPr>
                <w:rFonts w:ascii="Arial" w:hAnsi="Arial" w:eastAsia="宋体"/>
                <w:b w:val="0"/>
                <w:i w:val="0"/>
                <w:sz w:val="19"/>
              </w:rPr>
              <w:t>entityIds，可选unitId</w:t>
            </w:r>
          </w:p>
        </w:tc>
        <w:tc>
          <w:tcPr>
            <w:tcW w:type="dxa" w:w="3469"/>
            <w:vAlign w:val="top"/>
            <w:tcMar>
              <w:top w:w="65" w:type="dxa"/>
              <w:bottom w:w="65" w:type="dxa"/>
              <w:left w:w="65" w:type="dxa"/>
              <w:right w:w="65" w:type="dxa"/>
            </w:tcMar>
          </w:tcPr>
          <w:p>
            <w:pPr>
              <w:spacing w:before="30" w:after="30" w:line="252" w:lineRule="auto"/>
            </w:pPr>
            <w:r>
              <w:rPr>
                <w:rFonts w:ascii="Arial" w:hAnsi="Arial" w:eastAsia="宋体"/>
                <w:b w:val="0"/>
                <w:i w:val="0"/>
                <w:sz w:val="19"/>
              </w:rPr>
              <w:t>可写角色；批量生成所选法人完整源及账务快照</w:t>
            </w:r>
          </w:p>
        </w:tc>
      </w:tr>
      <w:tr>
        <w:trPr>
          <w:cantSplit/>
        </w:trPr>
        <w:tc>
          <w:tcPr>
            <w:tcW w:type="dxa" w:w="238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erp_match_run</w:t>
            </w:r>
          </w:p>
        </w:tc>
        <w:tc>
          <w:tcPr>
            <w:tcW w:type="dxa" w:w="35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可选unitId</w:t>
            </w:r>
          </w:p>
        </w:tc>
        <w:tc>
          <w:tcPr>
            <w:tcW w:type="dxa" w:w="34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可写角色；保存当前本层相符和差异，不直接批准</w:t>
            </w:r>
          </w:p>
        </w:tc>
      </w:tr>
      <w:tr>
        <w:trPr>
          <w:cantSplit/>
        </w:trPr>
        <w:tc>
          <w:tcPr>
            <w:tcW w:type="dxa" w:w="2387"/>
            <w:vAlign w:val="top"/>
            <w:tcMar>
              <w:top w:w="65" w:type="dxa"/>
              <w:bottom w:w="65" w:type="dxa"/>
              <w:left w:w="65" w:type="dxa"/>
              <w:right w:w="65" w:type="dxa"/>
            </w:tcMar>
          </w:tcPr>
          <w:p>
            <w:pPr>
              <w:spacing w:before="30" w:after="30" w:line="252" w:lineRule="auto"/>
            </w:pPr>
            <w:r>
              <w:rPr>
                <w:rFonts w:ascii="Arial" w:hAnsi="Arial" w:eastAsia="宋体"/>
                <w:b w:val="0"/>
                <w:i w:val="0"/>
                <w:sz w:val="19"/>
              </w:rPr>
              <w:t>erp_demo_eliminations_replace</w:t>
            </w:r>
          </w:p>
        </w:tc>
        <w:tc>
          <w:tcPr>
            <w:tcW w:type="dxa" w:w="3550"/>
            <w:vAlign w:val="top"/>
            <w:tcMar>
              <w:top w:w="65" w:type="dxa"/>
              <w:bottom w:w="65" w:type="dxa"/>
              <w:left w:w="65" w:type="dxa"/>
              <w:right w:w="65" w:type="dxa"/>
            </w:tcMar>
          </w:tcPr>
          <w:p>
            <w:pPr>
              <w:spacing w:before="30" w:after="30" w:line="252" w:lineRule="auto"/>
            </w:pPr>
            <w:r>
              <w:rPr>
                <w:rFonts w:ascii="Arial" w:hAnsi="Arial" w:eastAsia="宋体"/>
                <w:b w:val="0"/>
                <w:i w:val="0"/>
                <w:sz w:val="19"/>
              </w:rPr>
              <w:t>可选unitId、reason</w:t>
            </w:r>
          </w:p>
        </w:tc>
        <w:tc>
          <w:tcPr>
            <w:tcW w:type="dxa" w:w="3469"/>
            <w:vAlign w:val="top"/>
            <w:tcMar>
              <w:top w:w="65" w:type="dxa"/>
              <w:bottom w:w="65" w:type="dxa"/>
              <w:left w:w="65" w:type="dxa"/>
              <w:right w:w="65" w:type="dxa"/>
            </w:tcMar>
          </w:tcPr>
          <w:p>
            <w:pPr>
              <w:spacing w:before="30" w:after="30" w:line="252" w:lineRule="auto"/>
            </w:pPr>
            <w:r>
              <w:rPr>
                <w:rFonts w:ascii="Arial" w:hAnsi="Arial" w:eastAsia="宋体"/>
                <w:b w:val="0"/>
                <w:i w:val="0"/>
                <w:sz w:val="19"/>
              </w:rPr>
              <w:t>负责人；明确停用本层本期初始化示例销售，保留用户自建和投资权益，防旧示例双扣</w:t>
            </w:r>
          </w:p>
        </w:tc>
      </w:tr>
      <w:tr>
        <w:trPr>
          <w:cantSplit/>
        </w:trPr>
        <w:tc>
          <w:tcPr>
            <w:tcW w:type="dxa" w:w="238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erp_elimination_generate</w:t>
            </w:r>
          </w:p>
        </w:tc>
        <w:tc>
          <w:tcPr>
            <w:tcW w:type="dxa" w:w="35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可选unitId、matchIds</w:t>
            </w:r>
          </w:p>
        </w:tc>
        <w:tc>
          <w:tcPr>
            <w:tcW w:type="dxa" w:w="34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可写角色；仅当前有效相符项形成草稿，审批另走负责人动作</w:t>
            </w:r>
          </w:p>
        </w:tc>
      </w:tr>
      <w:tr>
        <w:trPr>
          <w:cantSplit/>
        </w:trPr>
        <w:tc>
          <w:tcPr>
            <w:tcW w:type="dxa" w:w="2387"/>
            <w:vAlign w:val="top"/>
            <w:tcMar>
              <w:top w:w="65" w:type="dxa"/>
              <w:bottom w:w="65" w:type="dxa"/>
              <w:left w:w="65" w:type="dxa"/>
              <w:right w:w="65" w:type="dxa"/>
            </w:tcMar>
          </w:tcPr>
          <w:p>
            <w:pPr>
              <w:spacing w:before="30" w:after="30" w:line="252" w:lineRule="auto"/>
            </w:pPr>
            <w:r>
              <w:rPr>
                <w:rFonts w:ascii="Arial" w:hAnsi="Arial" w:eastAsia="宋体"/>
                <w:b w:val="0"/>
                <w:i w:val="0"/>
                <w:sz w:val="19"/>
              </w:rPr>
              <w:t>erp_eliminations_approve</w:t>
            </w:r>
          </w:p>
        </w:tc>
        <w:tc>
          <w:tcPr>
            <w:tcW w:type="dxa" w:w="3550"/>
            <w:vAlign w:val="top"/>
            <w:tcMar>
              <w:top w:w="65" w:type="dxa"/>
              <w:bottom w:w="65" w:type="dxa"/>
              <w:left w:w="65" w:type="dxa"/>
              <w:right w:w="65" w:type="dxa"/>
            </w:tcMar>
          </w:tcPr>
          <w:p>
            <w:pPr>
              <w:spacing w:before="30" w:after="30" w:line="252" w:lineRule="auto"/>
            </w:pPr>
            <w:r>
              <w:rPr>
                <w:rFonts w:ascii="Arial" w:hAnsi="Arial" w:eastAsia="宋体"/>
                <w:b w:val="0"/>
                <w:i w:val="0"/>
                <w:sz w:val="19"/>
              </w:rPr>
              <w:t>可选unitId、ids、reason</w:t>
            </w:r>
          </w:p>
        </w:tc>
        <w:tc>
          <w:tcPr>
            <w:tcW w:type="dxa" w:w="3469"/>
            <w:vAlign w:val="top"/>
            <w:tcMar>
              <w:top w:w="65" w:type="dxa"/>
              <w:bottom w:w="65" w:type="dxa"/>
              <w:left w:w="65" w:type="dxa"/>
              <w:right w:w="65" w:type="dxa"/>
            </w:tcMar>
          </w:tcPr>
          <w:p>
            <w:pPr>
              <w:spacing w:before="30" w:after="30" w:line="252" w:lineRule="auto"/>
            </w:pPr>
            <w:r>
              <w:rPr>
                <w:rFonts w:ascii="Arial" w:hAnsi="Arial" w:eastAsia="宋体"/>
                <w:b w:val="0"/>
                <w:i w:val="0"/>
                <w:sz w:val="19"/>
              </w:rPr>
              <w:t>负责人；本层本期ERP草稿逐张正式校验，同一事务全部通过才提交</w:t>
            </w:r>
          </w:p>
        </w:tc>
      </w:tr>
      <w:tr>
        <w:trPr>
          <w:cantSplit/>
        </w:trPr>
        <w:tc>
          <w:tcPr>
            <w:tcW w:type="dxa" w:w="238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erp_sample_load</w:t>
            </w:r>
          </w:p>
        </w:tc>
        <w:tc>
          <w:tcPr>
            <w:tcW w:type="dxa" w:w="35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replace=true、reason</w:t>
            </w:r>
          </w:p>
        </w:tc>
        <w:tc>
          <w:tcPr>
            <w:tcW w:type="dxa" w:w="34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负责人；明确归档已有ERP输入、载入虚构样例并保留历史</w:t>
            </w:r>
          </w:p>
        </w:tc>
      </w:tr>
    </w:tbl>
    <w:p>
      <w:pPr>
        <w:spacing w:after="40"/>
      </w:pPr>
    </w:p>
    <w:p>
      <w:r>
        <w:rPr>
          <w:rFonts w:ascii="Arial" w:hAnsi="Arial" w:eastAsia="宋体"/>
          <w:b w:val="0"/>
          <w:i w:val="0"/>
        </w:rPr>
        <w:t>所有命令仍携带同一revision/context、Cookie和CSRF。erp_validation与erp_duplicate等错误必须向用户显示中文原因；未解决差异、旧输入摘要、锁定或只读角色不能只靠页面隐藏来保护。</w:t>
      </w:r>
    </w:p>
    <w:p>
      <w:pPr>
        <w:pStyle w:val="Heading2"/>
      </w:pPr>
      <w:bookmarkStart w:id="95" w:name="epm_95"/>
      <w:r>
        <w:rPr>
          <w:rFonts w:ascii="Arial" w:hAnsi="Arial" w:eastAsia="宋体"/>
          <w:b w:val="0"/>
          <w:i w:val="0"/>
        </w:rPr>
        <w:t>19.15 规范化核对补注与重算</w:t>
      </w:r>
      <w:bookmarkEnd w:id="95"/>
    </w:p>
    <w:p>
      <w:r>
        <w:rPr>
          <w:rFonts w:ascii="Arial" w:hAnsi="Arial" w:eastAsia="宋体"/>
          <w:b w:val="0"/>
          <w:i w:val="0"/>
        </w:rPr>
        <w:t>差异页/原凭证入口通过erp_voucher_annotations_save提交</w:t>
      </w:r>
      <w:r>
        <w:rPr>
          <w:rFonts w:ascii="Consolas" w:hAnsi="Consolas" w:eastAsia="宋体"/>
          <w:b w:val="0"/>
          <w:i w:val="0"/>
          <w:sz w:val="18"/>
        </w:rPr>
        <w:t>{rowIds:[canonicalRowId,...],counterpartyId?,reference?,cashflow?,reason}</w:t>
      </w:r>
      <w:r>
        <w:rPr>
          <w:rFonts w:ascii="Arial" w:hAnsi="Arial" w:eastAsia="宋体"/>
          <w:b w:val="0"/>
          <w:i w:val="0"/>
        </w:rPr>
        <w:t>。必须选不重复的当前范围、截至当前期间的有效原行，并至少提供一项允许改的规范化字段；提交前相关签核链必须已经重开。counterpartyId可为明确对方法人或EXTERNAL，reference是已核实的共同关联号，cashflow只能是operating/investing/financing或空值清除。</w:t>
      </w:r>
    </w:p>
    <w:p>
      <w:r>
        <w:rPr>
          <w:rFonts w:ascii="Arial" w:hAnsi="Arial" w:eastAsia="宋体"/>
          <w:b w:val="0"/>
          <w:i w:val="0"/>
        </w:rPr>
        <w:t>补注不改原账金额。payload出现日期、科目、借贷金额、rawFields、批次或原行号等额外字段即400整批拒绝。现金分类只允许补在映射为cash的原行，选中列表混入非现金行时整批拒绝，不能先改部分行再报错。EXTERNAL将规范化对方标为external并清空内部法人ID，原NC客商编码及全部rawFields仍保留。</w:t>
      </w:r>
    </w:p>
    <w:p>
      <w:r>
        <w:rPr>
          <w:rFonts w:ascii="Arial" w:hAnsi="Arial" w:eastAsia="宋体"/>
          <w:b w:val="0"/>
          <w:i w:val="0"/>
        </w:rPr>
        <w:t>系统逐行记录annotations的ID、at、by、reason、rowId、before和after，并进入同一事务的ERP版本及audit。保存后不是立即认可旧报表：相关源、匹配、自动抵销和合并结果失效，须重新生成法人三表、匹配、生成草稿、审批及逐层计算签核。历史ledgerSnapshot仍包含原来的规范化值和补注轨迹；不能用当前补注反写以前批准的凭证快照。保存适配器映射仅影响后续导入，若要重新解释旧NC辅助原值，应停用旧批次后重导，不能把补注或重跑匹配说成已自动重解析全部原文件。</w:t>
      </w:r>
    </w:p>
    <w:p>
      <w:pPr>
        <w:pStyle w:val="Heading2"/>
      </w:pPr>
      <w:bookmarkStart w:id="96" w:name="epm_96"/>
      <w:r>
        <w:rPr>
          <w:rFonts w:ascii="Arial" w:hAnsi="Arial" w:eastAsia="宋体"/>
          <w:b w:val="0"/>
          <w:i w:val="0"/>
        </w:rPr>
        <w:t>19.16 文件适配与在线NC的明确界限</w:t>
      </w:r>
      <w:bookmarkEnd w:id="96"/>
    </w:p>
    <w:p>
      <w:r>
        <w:rPr>
          <w:rFonts w:ascii="Arial" w:hAnsi="Arial" w:eastAsia="宋体"/>
          <w:b w:val="0"/>
          <w:i w:val="0"/>
        </w:rPr>
        <w:t>当前onlineConnected=false。软件能处理用户确认表头的NC文件，并可让凭证、三表、匹配、自动草稿及分级合并连续运行。它尚未向真实NC查询导出完整性、记账状态、撤销状态或接口水位，也没有自动增量、定时拉取、NC权限代理和回写审批。正式在线集成应另交连接配置、授权、增量键、撤销/冲销处理、数据核对及生产验收，不将文件适配演示当作已连企业ERP。</w:t>
      </w:r>
    </w:p>
    <w:p>
      <w:pPr>
        <w:pStyle w:val="Heading1"/>
      </w:pPr>
      <w:bookmarkStart w:id="97" w:name="epm_97"/>
      <w:r>
        <w:rPr>
          <w:rFonts w:ascii="Arial" w:hAnsi="Arial" w:eastAsia="宋体"/>
          <w:b w:val="0"/>
          <w:i w:val="0"/>
        </w:rPr>
        <w:t>附录：本说明的源码与证据索引</w:t>
      </w:r>
      <w:bookmarkEnd w:id="97"/>
    </w:p>
    <w:tbl>
      <w:tblPr>
        <w:tblStyle w:val="TableGrid"/>
        <w:tblW w:type="auto" w:w="0"/>
        <w:jc w:val="center"/>
        <w:tblLayout w:type="fixed"/>
        <w:tblLook w:firstColumn="1" w:firstRow="1" w:lastColumn="0" w:lastRow="0" w:noHBand="0" w:noVBand="1" w:val="04A0"/>
      </w:tblPr>
      <w:tblGrid>
        <w:gridCol w:w="3057"/>
        <w:gridCol w:w="6349"/>
      </w:tblGrid>
      <w:tr>
        <w:trPr>
          <w:cantSplit/>
          <w:tblHeader w:val="true"/>
        </w:trPr>
        <w:tc>
          <w:tcPr>
            <w:tcW w:type="dxa" w:w="305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说明主题</w:t>
            </w:r>
          </w:p>
        </w:tc>
        <w:tc>
          <w:tcPr>
            <w:tcW w:type="dxa" w:w="634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查阅位置</w:t>
            </w:r>
          </w:p>
        </w:tc>
      </w:tr>
      <w:tr>
        <w:trPr>
          <w:cantSplit/>
        </w:trPr>
        <w:tc>
          <w:tcPr>
            <w:tcW w:type="dxa" w:w="3057"/>
            <w:vAlign w:val="top"/>
            <w:tcMar>
              <w:top w:w="65" w:type="dxa"/>
              <w:bottom w:w="65" w:type="dxa"/>
              <w:left w:w="65" w:type="dxa"/>
              <w:right w:w="65" w:type="dxa"/>
            </w:tcMar>
          </w:tcPr>
          <w:p>
            <w:pPr>
              <w:spacing w:before="30" w:after="30" w:line="252" w:lineRule="auto"/>
            </w:pPr>
            <w:r>
              <w:rPr>
                <w:rFonts w:ascii="Arial" w:hAnsi="Arial" w:eastAsia="宋体"/>
                <w:b w:val="0"/>
                <w:i w:val="0"/>
                <w:sz w:val="19"/>
              </w:rPr>
              <w:t>24菜单与页面上下文</w:t>
            </w:r>
          </w:p>
        </w:tc>
        <w:tc>
          <w:tcPr>
            <w:tcW w:type="dxa" w:w="6349"/>
            <w:vAlign w:val="top"/>
            <w:tcMar>
              <w:top w:w="65" w:type="dxa"/>
              <w:bottom w:w="65" w:type="dxa"/>
              <w:left w:w="65" w:type="dxa"/>
              <w:right w:w="65" w:type="dxa"/>
            </w:tcMar>
          </w:tcPr>
          <w:p>
            <w:pPr>
              <w:spacing w:before="30" w:after="30" w:line="252" w:lineRule="auto"/>
            </w:pPr>
            <w:r>
              <w:rPr>
                <w:rFonts w:ascii="Arial" w:hAnsi="Arial" w:eastAsia="宋体"/>
                <w:b w:val="0"/>
                <w:i w:val="0"/>
                <w:sz w:val="19"/>
              </w:rPr>
              <w:t>frontend/src/app.js的MENU、applyBootstrap、mutate；ml-pages.js；ml-actions.js；budget.js</w:t>
            </w:r>
          </w:p>
        </w:tc>
      </w:tr>
      <w:tr>
        <w:trPr>
          <w:cantSplit/>
        </w:trPr>
        <w:tc>
          <w:tcPr>
            <w:tcW w:type="dxa" w:w="30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ERP文件、凭证及匹配</w:t>
            </w:r>
          </w:p>
        </w:tc>
        <w:tc>
          <w:tcPr>
            <w:tcW w:type="dxa" w:w="63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backend/ledger.py、erp_domain.py、ledger_seed.py；backend/LEDGER-CONTRACT.md；research-erp/NC65-HEADERS.json</w:t>
            </w:r>
          </w:p>
        </w:tc>
      </w:tr>
      <w:tr>
        <w:trPr>
          <w:cantSplit/>
        </w:trPr>
        <w:tc>
          <w:tcPr>
            <w:tcW w:type="dxa" w:w="3057"/>
            <w:vAlign w:val="top"/>
            <w:tcMar>
              <w:top w:w="65" w:type="dxa"/>
              <w:bottom w:w="65" w:type="dxa"/>
              <w:left w:w="65" w:type="dxa"/>
              <w:right w:w="65" w:type="dxa"/>
            </w:tcMar>
          </w:tcPr>
          <w:p>
            <w:pPr>
              <w:spacing w:before="30" w:after="30" w:line="252" w:lineRule="auto"/>
            </w:pPr>
            <w:r>
              <w:rPr>
                <w:rFonts w:ascii="Arial" w:hAnsi="Arial" w:eastAsia="宋体"/>
                <w:b w:val="0"/>
                <w:i w:val="0"/>
                <w:sz w:val="19"/>
              </w:rPr>
              <w:t>ERP独立接口/浏览器证据</w:t>
            </w:r>
          </w:p>
        </w:tc>
        <w:tc>
          <w:tcPr>
            <w:tcW w:type="dxa" w:w="6349"/>
            <w:vAlign w:val="top"/>
            <w:tcMar>
              <w:top w:w="65" w:type="dxa"/>
              <w:bottom w:w="65" w:type="dxa"/>
              <w:left w:w="65" w:type="dxa"/>
              <w:right w:w="65" w:type="dxa"/>
            </w:tcMar>
          </w:tcPr>
          <w:p>
            <w:pPr>
              <w:spacing w:before="30" w:after="30" w:line="252" w:lineRule="auto"/>
            </w:pPr>
            <w:r>
              <w:rPr>
                <w:rFonts w:ascii="Arial" w:hAnsi="Arial" w:eastAsia="宋体"/>
                <w:b w:val="0"/>
                <w:i w:val="0"/>
                <w:sz w:val="19"/>
              </w:rPr>
              <w:t>acceptance/NC65凭证合并独立验收报告.md；results/erp-api-results.json、erp-browser-results.json</w:t>
            </w:r>
          </w:p>
        </w:tc>
      </w:tr>
      <w:tr>
        <w:trPr>
          <w:cantSplit/>
        </w:trPr>
        <w:tc>
          <w:tcPr>
            <w:tcW w:type="dxa" w:w="30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实际HTTP、CSRF与实例入口</w:t>
            </w:r>
          </w:p>
        </w:tc>
        <w:tc>
          <w:tcPr>
            <w:tcW w:type="dxa" w:w="63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backend/server.py；windows/app/demo_launcher.py</w:t>
            </w:r>
          </w:p>
        </w:tc>
      </w:tr>
      <w:tr>
        <w:trPr>
          <w:cantSplit/>
        </w:trPr>
        <w:tc>
          <w:tcPr>
            <w:tcW w:type="dxa" w:w="3057"/>
            <w:vAlign w:val="top"/>
            <w:tcMar>
              <w:top w:w="65" w:type="dxa"/>
              <w:bottom w:w="65" w:type="dxa"/>
              <w:left w:w="65" w:type="dxa"/>
              <w:right w:w="65" w:type="dxa"/>
            </w:tcMar>
          </w:tcPr>
          <w:p>
            <w:pPr>
              <w:spacing w:before="30" w:after="30" w:line="252" w:lineRule="auto"/>
            </w:pPr>
            <w:r>
              <w:rPr>
                <w:rFonts w:ascii="Arial" w:hAnsi="Arial" w:eastAsia="宋体"/>
                <w:b w:val="0"/>
                <w:i w:val="0"/>
                <w:sz w:val="19"/>
              </w:rPr>
              <w:t>数据库DDL、事务及旧库保护</w:t>
            </w:r>
          </w:p>
        </w:tc>
        <w:tc>
          <w:tcPr>
            <w:tcW w:type="dxa" w:w="6349"/>
            <w:vAlign w:val="top"/>
            <w:tcMar>
              <w:top w:w="65" w:type="dxa"/>
              <w:bottom w:w="65" w:type="dxa"/>
              <w:left w:w="65" w:type="dxa"/>
              <w:right w:w="65" w:type="dxa"/>
            </w:tcMar>
          </w:tcPr>
          <w:p>
            <w:pPr>
              <w:spacing w:before="30" w:after="30" w:line="252" w:lineRule="auto"/>
            </w:pPr>
            <w:r>
              <w:rPr>
                <w:rFonts w:ascii="Arial" w:hAnsi="Arial" w:eastAsia="宋体"/>
                <w:b w:val="0"/>
                <w:i w:val="0"/>
                <w:sz w:val="19"/>
              </w:rPr>
              <w:t>backend/store.py</w:t>
            </w:r>
          </w:p>
        </w:tc>
      </w:tr>
      <w:tr>
        <w:trPr>
          <w:cantSplit/>
        </w:trPr>
        <w:tc>
          <w:tcPr>
            <w:tcW w:type="dxa" w:w="30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源、配置、签核、重开与输入快照</w:t>
            </w:r>
          </w:p>
        </w:tc>
        <w:tc>
          <w:tcPr>
            <w:tcW w:type="dxa" w:w="63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backend/multilevel_domain.py</w:t>
            </w:r>
          </w:p>
        </w:tc>
      </w:tr>
      <w:tr>
        <w:trPr>
          <w:cantSplit/>
        </w:trPr>
        <w:tc>
          <w:tcPr>
            <w:tcW w:type="dxa" w:w="3057"/>
            <w:vAlign w:val="top"/>
            <w:tcMar>
              <w:top w:w="65" w:type="dxa"/>
              <w:bottom w:w="65" w:type="dxa"/>
              <w:left w:w="65" w:type="dxa"/>
              <w:right w:w="65" w:type="dxa"/>
            </w:tcMar>
          </w:tcPr>
          <w:p>
            <w:pPr>
              <w:spacing w:before="30" w:after="30" w:line="252" w:lineRule="auto"/>
            </w:pPr>
            <w:r>
              <w:rPr>
                <w:rFonts w:ascii="Arial" w:hAnsi="Arial" w:eastAsia="宋体"/>
                <w:b w:val="0"/>
                <w:i w:val="0"/>
                <w:sz w:val="19"/>
              </w:rPr>
              <w:t>动态树、严格下级引用、月度抵销、分类折算</w:t>
            </w:r>
          </w:p>
        </w:tc>
        <w:tc>
          <w:tcPr>
            <w:tcW w:type="dxa" w:w="6349"/>
            <w:vAlign w:val="top"/>
            <w:tcMar>
              <w:top w:w="65" w:type="dxa"/>
              <w:bottom w:w="65" w:type="dxa"/>
              <w:left w:w="65" w:type="dxa"/>
              <w:right w:w="65" w:type="dxa"/>
            </w:tcMar>
          </w:tcPr>
          <w:p>
            <w:pPr>
              <w:spacing w:before="30" w:after="30" w:line="252" w:lineRule="auto"/>
            </w:pPr>
            <w:r>
              <w:rPr>
                <w:rFonts w:ascii="Arial" w:hAnsi="Arial" w:eastAsia="宋体"/>
                <w:b w:val="0"/>
                <w:i w:val="0"/>
                <w:sz w:val="19"/>
              </w:rPr>
              <w:t>backend/consolidation.py</w:t>
            </w:r>
          </w:p>
        </w:tc>
      </w:tr>
      <w:tr>
        <w:trPr>
          <w:cantSplit/>
        </w:trPr>
        <w:tc>
          <w:tcPr>
            <w:tcW w:type="dxa" w:w="30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当前虚构初始数据</w:t>
            </w:r>
          </w:p>
        </w:tc>
        <w:tc>
          <w:tcPr>
            <w:tcW w:type="dxa" w:w="63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backend/multilevel_seed.py；backend/engine.py的seed</w:t>
            </w:r>
          </w:p>
        </w:tc>
      </w:tr>
      <w:tr>
        <w:trPr>
          <w:cantSplit/>
        </w:trPr>
        <w:tc>
          <w:tcPr>
            <w:tcW w:type="dxa" w:w="3057"/>
            <w:vAlign w:val="top"/>
            <w:tcMar>
              <w:top w:w="65" w:type="dxa"/>
              <w:bottom w:w="65" w:type="dxa"/>
              <w:left w:w="65" w:type="dxa"/>
              <w:right w:w="65" w:type="dxa"/>
            </w:tcMar>
          </w:tcPr>
          <w:p>
            <w:pPr>
              <w:spacing w:before="30" w:after="30" w:line="252" w:lineRule="auto"/>
            </w:pPr>
            <w:r>
              <w:rPr>
                <w:rFonts w:ascii="Arial" w:hAnsi="Arial" w:eastAsia="宋体"/>
                <w:b w:val="0"/>
                <w:i w:val="0"/>
                <w:sz w:val="19"/>
              </w:rPr>
              <w:t>预算流程</w:t>
            </w:r>
          </w:p>
        </w:tc>
        <w:tc>
          <w:tcPr>
            <w:tcW w:type="dxa" w:w="6349"/>
            <w:vAlign w:val="top"/>
            <w:tcMar>
              <w:top w:w="65" w:type="dxa"/>
              <w:bottom w:w="65" w:type="dxa"/>
              <w:left w:w="65" w:type="dxa"/>
              <w:right w:w="65" w:type="dxa"/>
            </w:tcMar>
          </w:tcPr>
          <w:p>
            <w:pPr>
              <w:spacing w:before="30" w:after="30" w:line="252" w:lineRule="auto"/>
            </w:pPr>
            <w:r>
              <w:rPr>
                <w:rFonts w:ascii="Arial" w:hAnsi="Arial" w:eastAsia="宋体"/>
                <w:b w:val="0"/>
                <w:i w:val="0"/>
                <w:sz w:val="19"/>
              </w:rPr>
              <w:t>backend/legacy_engine.py仅budget_分支；engine.py的入口范围检查</w:t>
            </w:r>
          </w:p>
        </w:tc>
      </w:tr>
      <w:tr>
        <w:trPr>
          <w:cantSplit/>
        </w:trPr>
        <w:tc>
          <w:tcPr>
            <w:tcW w:type="dxa" w:w="30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接口字段约定</w:t>
            </w:r>
          </w:p>
        </w:tc>
        <w:tc>
          <w:tcPr>
            <w:tcW w:type="dxa" w:w="63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backend/API-CONTRACT.md及同版PRD字段附录</w:t>
            </w:r>
          </w:p>
        </w:tc>
      </w:tr>
      <w:tr>
        <w:trPr>
          <w:cantSplit/>
        </w:trPr>
        <w:tc>
          <w:tcPr>
            <w:tcW w:type="dxa" w:w="3057"/>
            <w:vAlign w:val="top"/>
            <w:tcMar>
              <w:top w:w="65" w:type="dxa"/>
              <w:bottom w:w="65" w:type="dxa"/>
              <w:left w:w="65" w:type="dxa"/>
              <w:right w:w="65" w:type="dxa"/>
            </w:tcMar>
          </w:tcPr>
          <w:p>
            <w:pPr>
              <w:spacing w:before="30" w:after="30" w:line="252" w:lineRule="auto"/>
            </w:pPr>
            <w:r>
              <w:rPr>
                <w:rFonts w:ascii="Arial" w:hAnsi="Arial" w:eastAsia="宋体"/>
                <w:b w:val="0"/>
                <w:i w:val="0"/>
                <w:sz w:val="19"/>
              </w:rPr>
              <w:t>财务字段与规则</w:t>
            </w:r>
          </w:p>
        </w:tc>
        <w:tc>
          <w:tcPr>
            <w:tcW w:type="dxa" w:w="6349"/>
            <w:vAlign w:val="top"/>
            <w:tcMar>
              <w:top w:w="65" w:type="dxa"/>
              <w:bottom w:w="65" w:type="dxa"/>
              <w:left w:w="65" w:type="dxa"/>
              <w:right w:w="65" w:type="dxa"/>
            </w:tcMar>
          </w:tcPr>
          <w:p>
            <w:pPr>
              <w:spacing w:before="30" w:after="30" w:line="252" w:lineRule="auto"/>
            </w:pPr>
            <w:r>
              <w:rPr>
                <w:rFonts w:ascii="Arial" w:hAnsi="Arial" w:eastAsia="宋体"/>
                <w:b w:val="0"/>
                <w:i w:val="0"/>
                <w:sz w:val="19"/>
              </w:rPr>
              <w:t>backend/CALCULATION-CONTRACT.md</w:t>
            </w:r>
          </w:p>
        </w:tc>
      </w:tr>
      <w:tr>
        <w:trPr>
          <w:cantSplit/>
        </w:trPr>
        <w:tc>
          <w:tcPr>
            <w:tcW w:type="dxa" w:w="30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独立业务验收</w:t>
            </w:r>
          </w:p>
        </w:tc>
        <w:tc>
          <w:tcPr>
            <w:tcW w:type="dxa" w:w="63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本版acceptance中的ERP独立验收报告、接口/浏览器结果及实际截图；旧ML证据放research-erp/ML-history-reference</w:t>
            </w:r>
          </w:p>
        </w:tc>
      </w:tr>
      <w:tr>
        <w:trPr>
          <w:cantSplit/>
        </w:trPr>
        <w:tc>
          <w:tcPr>
            <w:tcW w:type="dxa" w:w="3057"/>
            <w:vAlign w:val="top"/>
            <w:tcMar>
              <w:top w:w="65" w:type="dxa"/>
              <w:bottom w:w="65" w:type="dxa"/>
              <w:left w:w="65" w:type="dxa"/>
              <w:right w:w="65" w:type="dxa"/>
            </w:tcMar>
          </w:tcPr>
          <w:p>
            <w:pPr>
              <w:spacing w:before="30" w:after="30" w:line="252" w:lineRule="auto"/>
            </w:pPr>
            <w:r>
              <w:rPr>
                <w:rFonts w:ascii="Arial" w:hAnsi="Arial" w:eastAsia="宋体"/>
                <w:b w:val="0"/>
                <w:i w:val="0"/>
                <w:sz w:val="19"/>
              </w:rPr>
              <w:t>独立技术复核</w:t>
            </w:r>
          </w:p>
        </w:tc>
        <w:tc>
          <w:tcPr>
            <w:tcW w:type="dxa" w:w="6349"/>
            <w:vAlign w:val="top"/>
            <w:tcMar>
              <w:top w:w="65" w:type="dxa"/>
              <w:bottom w:w="65" w:type="dxa"/>
              <w:left w:w="65" w:type="dxa"/>
              <w:right w:w="65" w:type="dxa"/>
            </w:tcMar>
          </w:tcPr>
          <w:p>
            <w:pPr>
              <w:spacing w:before="30" w:after="30" w:line="252" w:lineRule="auto"/>
            </w:pPr>
            <w:r>
              <w:rPr>
                <w:rFonts w:ascii="Arial" w:hAnsi="Arial" w:eastAsia="宋体"/>
                <w:b w:val="0"/>
                <w:i w:val="0"/>
                <w:sz w:val="19"/>
              </w:rPr>
              <w:t>acceptance/只读复核报告.md及只读复核证据.json</w:t>
            </w:r>
          </w:p>
        </w:tc>
      </w:tr>
      <w:tr>
        <w:trPr>
          <w:cantSplit/>
        </w:trPr>
        <w:tc>
          <w:tcPr>
            <w:tcW w:type="dxa" w:w="30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原生构建与运行</w:t>
            </w:r>
          </w:p>
        </w:tc>
        <w:tc>
          <w:tcPr>
            <w:tcW w:type="dxa" w:w="63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windows/BUILD.md；windows/evidence；包内verification</w:t>
            </w:r>
          </w:p>
        </w:tc>
      </w:tr>
      <w:tr>
        <w:trPr>
          <w:cantSplit/>
        </w:trPr>
        <w:tc>
          <w:tcPr>
            <w:tcW w:type="dxa" w:w="3057"/>
            <w:vAlign w:val="top"/>
            <w:tcMar>
              <w:top w:w="65" w:type="dxa"/>
              <w:bottom w:w="65" w:type="dxa"/>
              <w:left w:w="65" w:type="dxa"/>
              <w:right w:w="65" w:type="dxa"/>
            </w:tcMar>
          </w:tcPr>
          <w:p>
            <w:pPr>
              <w:spacing w:before="30" w:after="30" w:line="252" w:lineRule="auto"/>
            </w:pPr>
            <w:r>
              <w:rPr>
                <w:rFonts w:ascii="Arial" w:hAnsi="Arial" w:eastAsia="宋体"/>
                <w:b w:val="0"/>
                <w:i w:val="0"/>
                <w:sz w:val="19"/>
              </w:rPr>
              <w:t>公开软件下载核对</w:t>
            </w:r>
          </w:p>
        </w:tc>
        <w:tc>
          <w:tcPr>
            <w:tcW w:type="dxa" w:w="6349"/>
            <w:vAlign w:val="top"/>
            <w:tcMar>
              <w:top w:w="65" w:type="dxa"/>
              <w:bottom w:w="65" w:type="dxa"/>
              <w:left w:w="65" w:type="dxa"/>
              <w:right w:w="65" w:type="dxa"/>
            </w:tcMar>
          </w:tcPr>
          <w:p>
            <w:pPr>
              <w:spacing w:before="30" w:after="30" w:line="252" w:lineRule="auto"/>
            </w:pPr>
            <w:r>
              <w:rPr>
                <w:rFonts w:ascii="Arial" w:hAnsi="Arial" w:eastAsia="宋体"/>
                <w:b w:val="0"/>
                <w:i w:val="0"/>
                <w:sz w:val="19"/>
              </w:rPr>
              <w:t>本版下载分支对应ERP目录的公开下载核验与release.json，禁止混用ML记录</w:t>
            </w:r>
          </w:p>
        </w:tc>
      </w:tr>
    </w:tbl>
    <w:p>
      <w:pPr>
        <w:spacing w:after="40"/>
      </w:pPr>
    </w:p>
    <w:sectPr w:rsidR="00FC693F" w:rsidRPr="0006063C" w:rsidSect="00034616">
      <w:headerReference w:type="default" r:id="rId9"/>
      <w:footerReference w:type="default" r:id="rId10"/>
      <w:pgSz w:w="12240" w:h="15840"/>
      <w:pgMar w:top="1134" w:right="1417" w:bottom="1134" w:left="141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宋体"/>
        <w:sz w:val="16"/>
      </w:rPr>
      <w:t xml:space="preserve">TY-EPM-SYS-ERP-001  ·  D1.0  ·  第 </w:t>
    </w:r>
    <w:fldSimple w:instr="PAGE"/>
    <w:r>
      <w:rPr>
        <w:rFonts w:ascii="Arial" w:hAnsi="Arial" w:eastAsia="宋体"/>
        <w:sz w:val="16"/>
      </w:rPr>
      <w:t xml:space="preserve"> 页 / 共 </w:t>
    </w:r>
    <w:fldSimple w:instr="NUMPAGES"/>
    <w:r>
      <w:rPr>
        <w:rFonts w:ascii="Arial" w:hAnsi="Arial" w:eastAsia="宋体"/>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宋体"/>
        <w:color w:val="66758D"/>
        <w:sz w:val="16"/>
      </w:rPr>
      <w:t>杭州天元宠物用品有限公司  |  系统研发与交互说明书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76" w:lineRule="auto"/>
    </w:pPr>
    <w:rPr>
      <w:rFonts w:ascii="Arial" w:hAnsi="Arial"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宋体"/>
      <w:b/>
      <w:bCs/>
      <w:color w:val="173F6E"/>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宋体"/>
      <w:b/>
      <w:bCs/>
      <w:color w:val="173F6E"/>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宋体"/>
      <w:b/>
      <w:bCs/>
      <w:color w:val="173F6E"/>
      <w:sz w:val="23"/>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eastAsia="宋体"/>
      <w:b/>
      <w:bCs/>
      <w:i/>
      <w:iCs/>
      <w:color w:val="173F6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宋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天元EPM · 系统研发与交互说明书</dc:title>
  <dc:subject>杭州天元宠物用品有限公司：中文本机EPM Demo文档</dc:subject>
  <dc:creator>自研EPM项目文档</dc:creator>
  <cp:keywords>集团财务合并,全面预算,经营分析,多层合并,PRD,全模块,ERP-20261021,D1.0</cp:keywords>
  <dc:description>generated by python-docx</dc:description>
  <cp:lastModifiedBy/>
  <cp:revision>1</cp:revision>
  <dcterms:created xsi:type="dcterms:W3CDTF">2026-10-21T02:52:06Z</dcterms:created>
  <dcterms:modified xsi:type="dcterms:W3CDTF">2026-10-21T02:52:06Z</dcterms:modified>
  <cp:category/>
</cp:coreProperties>
</file>