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rFonts w:ascii="Arial" w:hAnsi="Arial" w:eastAsia="宋体"/>
          <w:color w:val="4B6995"/>
          <w:sz w:val="24"/>
        </w:rPr>
        <w:t>天元 EPM  /  凭证与分级合并中文演示版</w:t>
      </w:r>
    </w:p>
    <w:p>
      <w:pPr>
        <w:spacing w:before="240" w:after="280"/>
      </w:pPr>
      <w:r>
        <w:rPr>
          <w:rFonts w:ascii="Arial" w:hAnsi="Arial" w:eastAsia="宋体"/>
          <w:b/>
          <w:color w:val="173F6E"/>
          <w:sz w:val="50"/>
        </w:rPr>
        <w:t>用户操作手册</w:t>
      </w:r>
    </w:p>
    <w:p>
      <w:r>
        <w:rPr>
          <w:rFonts w:ascii="Arial" w:hAnsi="Arial" w:eastAsia="宋体"/>
          <w:sz w:val="30"/>
        </w:rPr>
        <w:t>杭州天元宠物用品有限公司</w:t>
      </w:r>
    </w:p>
    <w:p>
      <w:r>
        <w:rPr>
          <w:rFonts w:ascii="Arial" w:hAnsi="Arial" w:eastAsia="宋体"/>
          <w:color w:val="66758D"/>
          <w:sz w:val="22"/>
        </w:rPr>
        <w:t>安装启动 · 全模块操作 · 字段填写 · 排错恢复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6764"/>
      </w:tblGrid>
      <w:tr>
        <w:trPr>
          <w:cantSplit/>
          <w:tblHeader w:val="true"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文档控制项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TY-EPM-USER-ERP-001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 / 日期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D1.0 / 2026-10-21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适配软件基线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ERP-20261021 · NC6.5凭证、单体报表及分级合并Demo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适用读者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集团财务、法人会计、预算及经营分析人员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数据说明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主公司及鸿旺相关主体名称由用户提供；其他演示主体、人员、交易和财务金额为虚构样例。</w:t>
            </w:r>
          </w:p>
        </w:tc>
      </w:tr>
    </w:tbl>
    <w:p>
      <w:pPr>
        <w:spacing w:after="40"/>
      </w:pPr>
    </w:p>
    <w:p>
      <w:pPr>
        <w:spacing w:before="200"/>
        <w:shd w:fill="F0F5FC"/>
      </w:pPr>
      <w:r>
        <w:t>本套说明依据实际交付源码、接口与验收结果整理，明确区分可操作功能、演示计算口径及后续研发建议。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点击下列章节可跳转。Word/WPS 的标题样式也可用于导航及生成自动目录。</w:t>
      </w:r>
    </w:p>
    <w:p>
      <w:pPr>
        <w:spacing w:after="80"/>
      </w:pPr>
      <w:hyperlink w:anchor="epm_1">
        <w:r>
          <w:rPr>
            <w:color w:val="245CA8"/>
            <w:rFonts w:ascii="Arial" w:eastAsia="宋体"/>
            <w:sz w:val="21"/>
          </w:rPr>
          <w:t xml:space="preserve">文档控制与适用版本</w:t>
        </w:r>
      </w:hyperlink>
    </w:p>
    <w:p>
      <w:pPr>
        <w:spacing w:after="80"/>
      </w:pPr>
      <w:hyperlink w:anchor="epm_2">
        <w:r>
          <w:rPr>
            <w:color w:val="245CA8"/>
            <w:rFonts w:ascii="Arial" w:eastAsia="宋体"/>
            <w:sz w:val="21"/>
          </w:rPr>
          <w:t xml:space="preserve">一、下载安装、首次打开和日常退出</w:t>
        </w:r>
      </w:hyperlink>
    </w:p>
    <w:p>
      <w:pPr>
        <w:spacing w:after="80"/>
      </w:pPr>
      <w:hyperlink w:anchor="epm_7">
        <w:r>
          <w:rPr>
            <w:color w:val="245CA8"/>
            <w:rFonts w:ascii="Arial" w:eastAsia="宋体"/>
            <w:sz w:val="21"/>
          </w:rPr>
          <w:t xml:space="preserve">二、认识工作台、范围、期间和结果状态</w:t>
        </w:r>
      </w:hyperlink>
    </w:p>
    <w:p>
      <w:pPr>
        <w:spacing w:after="80"/>
      </w:pPr>
      <w:hyperlink w:anchor="epm_11">
        <w:r>
          <w:rPr>
            <w:color w:val="245CA8"/>
            <w:rFonts w:ascii="Arial" w:eastAsia="宋体"/>
            <w:sz w:val="21"/>
          </w:rPr>
          <w:t xml:space="preserve">三、集团法人、管理合并范围与真实持股</w:t>
        </w:r>
      </w:hyperlink>
    </w:p>
    <w:p>
      <w:pPr>
        <w:spacing w:after="80"/>
      </w:pPr>
      <w:hyperlink w:anchor="epm_17">
        <w:r>
          <w:rPr>
            <w:color w:val="245CA8"/>
            <w:rFonts w:ascii="Arial" w:eastAsia="宋体"/>
            <w:sz w:val="21"/>
          </w:rPr>
          <w:t xml:space="preserve">四、科目与维度</w:t>
        </w:r>
      </w:hyperlink>
    </w:p>
    <w:p>
      <w:pPr>
        <w:spacing w:after="80"/>
      </w:pPr>
      <w:hyperlink w:anchor="epm_18">
        <w:r>
          <w:rPr>
            <w:color w:val="245CA8"/>
            <w:rFonts w:ascii="Arial" w:eastAsia="宋体"/>
            <w:sz w:val="21"/>
          </w:rPr>
          <w:t xml:space="preserve">五、集团经营总览</w:t>
        </w:r>
      </w:hyperlink>
    </w:p>
    <w:p>
      <w:pPr>
        <w:spacing w:after="80"/>
      </w:pPr>
      <w:hyperlink w:anchor="epm_19">
        <w:r>
          <w:rPr>
            <w:color w:val="245CA8"/>
            <w:rFonts w:ascii="Arial" w:eastAsia="宋体"/>
            <w:sz w:val="21"/>
          </w:rPr>
          <w:t xml:space="preserve">六、NC6.5凭证到单体报表、内部匹配及集团合并</w:t>
        </w:r>
      </w:hyperlink>
    </w:p>
    <w:p>
      <w:pPr>
        <w:spacing w:after="80"/>
      </w:pPr>
      <w:hyperlink w:anchor="epm_38">
        <w:r>
          <w:rPr>
            <w:color w:val="245CA8"/>
            <w:rFonts w:ascii="Arial" w:eastAsia="宋体"/>
            <w:sz w:val="21"/>
          </w:rPr>
          <w:t xml:space="preserve">七、数据接入与财务三表报送</w:t>
        </w:r>
      </w:hyperlink>
    </w:p>
    <w:p>
      <w:pPr>
        <w:spacing w:after="80"/>
      </w:pPr>
      <w:hyperlink w:anchor="epm_45">
        <w:r>
          <w:rPr>
            <w:color w:val="245CA8"/>
            <w:rFonts w:ascii="Arial" w:eastAsia="宋体"/>
            <w:sz w:val="21"/>
          </w:rPr>
          <w:t xml:space="preserve">八、集团分类汇率与海外折算</w:t>
        </w:r>
      </w:hyperlink>
    </w:p>
    <w:p>
      <w:pPr>
        <w:spacing w:after="80"/>
      </w:pPr>
      <w:hyperlink w:anchor="epm_49">
        <w:r>
          <w:rPr>
            <w:color w:val="245CA8"/>
            <w:rFonts w:ascii="Arial" w:eastAsia="宋体"/>
            <w:sz w:val="21"/>
          </w:rPr>
          <w:t xml:space="preserve">九、内部往来与分层抵销凭证</w:t>
        </w:r>
      </w:hyperlink>
    </w:p>
    <w:p>
      <w:pPr>
        <w:spacing w:after="80"/>
      </w:pPr>
      <w:hyperlink w:anchor="epm_54">
        <w:r>
          <w:rPr>
            <w:color w:val="245CA8"/>
            <w:rFonts w:ascii="Arial" w:eastAsia="宋体"/>
            <w:sz w:val="21"/>
          </w:rPr>
          <w:t xml:space="preserve">十、分级合并、关账校验与结果签核</w:t>
        </w:r>
      </w:hyperlink>
    </w:p>
    <w:p>
      <w:pPr>
        <w:spacing w:after="80"/>
      </w:pPr>
      <w:hyperlink w:anchor="epm_59">
        <w:r>
          <w:rPr>
            <w:color w:val="245CA8"/>
            <w:rFonts w:ascii="Arial" w:eastAsia="宋体"/>
            <w:sz w:val="21"/>
          </w:rPr>
          <w:t xml:space="preserve">十一、集团三张报表、历史钻取与导出</w:t>
        </w:r>
      </w:hyperlink>
    </w:p>
    <w:p>
      <w:pPr>
        <w:spacing w:after="80"/>
      </w:pPr>
      <w:hyperlink w:anchor="epm_63">
        <w:r>
          <w:rPr>
            <w:color w:val="245CA8"/>
            <w:rFonts w:ascii="Arial" w:eastAsia="宋体"/>
            <w:sz w:val="21"/>
          </w:rPr>
          <w:t xml:space="preserve">十二、预算周期与审批</w:t>
        </w:r>
      </w:hyperlink>
    </w:p>
    <w:p>
      <w:pPr>
        <w:spacing w:after="80"/>
      </w:pPr>
      <w:hyperlink w:anchor="epm_66">
        <w:r>
          <w:rPr>
            <w:color w:val="245CA8"/>
            <w:rFonts w:ascii="Arial" w:eastAsia="宋体"/>
            <w:sz w:val="21"/>
          </w:rPr>
          <w:t xml:space="preserve">十三、预算编制、分摊与业务明细</w:t>
        </w:r>
      </w:hyperlink>
    </w:p>
    <w:p>
      <w:pPr>
        <w:spacing w:after="80"/>
      </w:pPr>
      <w:hyperlink w:anchor="epm_72">
        <w:r>
          <w:rPr>
            <w:color w:val="245CA8"/>
            <w:rFonts w:ascii="Arial" w:eastAsia="宋体"/>
            <w:sz w:val="21"/>
          </w:rPr>
          <w:t xml:space="preserve">十四、预算调整、滚动预测与多情景</w:t>
        </w:r>
      </w:hyperlink>
    </w:p>
    <w:p>
      <w:pPr>
        <w:spacing w:after="80"/>
      </w:pPr>
      <w:hyperlink w:anchor="epm_77">
        <w:r>
          <w:rPr>
            <w:color w:val="245CA8"/>
            <w:rFonts w:ascii="Arial" w:eastAsia="宋体"/>
            <w:sz w:val="21"/>
          </w:rPr>
          <w:t xml:space="preserve">十五、经营分析与管理报表</w:t>
        </w:r>
      </w:hyperlink>
    </w:p>
    <w:p>
      <w:pPr>
        <w:spacing w:after="80"/>
      </w:pPr>
      <w:hyperlink w:anchor="epm_81">
        <w:r>
          <w:rPr>
            <w:color w:val="245CA8"/>
            <w:rFonts w:ascii="Arial" w:eastAsia="宋体"/>
            <w:sz w:val="21"/>
          </w:rPr>
          <w:t xml:space="preserve">十六、组织权限、审计和系统配置</w:t>
        </w:r>
      </w:hyperlink>
    </w:p>
    <w:p>
      <w:pPr>
        <w:spacing w:after="80"/>
      </w:pPr>
      <w:hyperlink w:anchor="epm_86">
        <w:r>
          <w:rPr>
            <w:color w:val="245CA8"/>
            <w:rFonts w:ascii="Arial" w:eastAsia="宋体"/>
            <w:sz w:val="21"/>
          </w:rPr>
          <w:t xml:space="preserve">十七、日常工作清单与完整演示路线</w:t>
        </w:r>
      </w:hyperlink>
    </w:p>
    <w:p>
      <w:pPr>
        <w:spacing w:after="80"/>
      </w:pPr>
      <w:hyperlink w:anchor="epm_93">
        <w:r>
          <w:rPr>
            <w:color w:val="245CA8"/>
            <w:rFonts w:ascii="Arial" w:eastAsia="宋体"/>
            <w:sz w:val="21"/>
          </w:rPr>
          <w:t xml:space="preserve">十八、备份、恢复与升级交接</w:t>
        </w:r>
      </w:hyperlink>
    </w:p>
    <w:p>
      <w:pPr>
        <w:spacing w:after="80"/>
      </w:pPr>
      <w:hyperlink w:anchor="epm_97">
        <w:r>
          <w:rPr>
            <w:color w:val="245CA8"/>
            <w:rFonts w:ascii="Arial" w:eastAsia="宋体"/>
            <w:sz w:val="21"/>
          </w:rPr>
          <w:t xml:space="preserve">十九、常见问题与中文报错处理</w:t>
        </w:r>
      </w:hyperlink>
    </w:p>
    <w:p>
      <w:pPr>
        <w:spacing w:after="80"/>
      </w:pPr>
      <w:hyperlink w:anchor="epm_98">
        <w:r>
          <w:rPr>
            <w:color w:val="245CA8"/>
            <w:rFonts w:ascii="Arial" w:eastAsia="宋体"/>
            <w:sz w:val="21"/>
          </w:rPr>
          <w:t xml:space="preserve">二十、范围和验收说明</w:t>
        </w:r>
      </w:hyperlink>
    </w:p>
    <w:p>
      <w:pPr>
        <w:spacing w:after="80"/>
      </w:pPr>
      <w:hyperlink w:anchor="epm_99">
        <w:r>
          <w:rPr>
            <w:color w:val="245CA8"/>
            <w:rFonts w:ascii="Arial" w:eastAsia="宋体"/>
            <w:sz w:val="21"/>
          </w:rPr>
          <w:t xml:space="preserve">附录：首次验收可核对的数字</w:t>
        </w:r>
      </w:hyperlink>
    </w:p>
    <w:p>
      <w:r>
        <w:br w:type="page"/>
      </w:r>
    </w:p>
    <w:p>
      <w:pPr>
        <w:pStyle w:val="Heading1"/>
      </w:pPr>
      <w:bookmarkStart w:id="1" w:name="epm_1"/>
      <w:r>
        <w:rPr>
          <w:rFonts w:ascii="Arial" w:hAnsi="Arial" w:eastAsia="宋体"/>
          <w:b w:val="0"/>
          <w:i w:val="0"/>
        </w:rPr>
        <w:t>文档控制与适用版本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7272"/>
      </w:tblGrid>
      <w:tr>
        <w:trPr>
          <w:cantSplit/>
          <w:tblHeader w:val="true"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使用单位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TY-EPM-USER-ERP-001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D1.0，2026-10-21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适配业务基线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ERP-20261021，NC6.5凭证、单体报表与分级合并 Demo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适配程序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天元EPM 凭证合并Demo.exe，Windows 10/11 64位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运行包SHA256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以本次ERP-20261021发布清单及SHA256SUMS.txt为准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主要读者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集团财务负责人、法人会计、预算编制人员、经营分析人员及审计演示人员</w:t>
            </w:r>
          </w:p>
        </w:tc>
      </w:tr>
      <w:tr>
        <w:trPr>
          <w:cantSplit/>
        </w:trPr>
        <w:tc>
          <w:tcPr>
            <w:tcW w:type="dxa" w:w="21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本次变化</w:t>
            </w:r>
          </w:p>
        </w:tc>
        <w:tc>
          <w:tcPr>
            <w:tcW w:type="dxa" w:w="72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覆盖24项菜单；新增NC6.5 CSV/XLSX凭证导入、期初、科目映射、由凭证生成单体三表、内部销售/应收应付自动匹配、抵销草稿与审批、差异追到原凭证及有依据的核对补注，同时完整保留多层合并、预算、分析和治理。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本手册对应实际交付的本机中文 Demo。主公司名称及鸿旺相关法人名称按用户提供维护，其他示例法人、人员、交易、金额及汇率为虚构数据。当前支持2026年度、100%全资、人民币和美元的普通非高通胀演示场景；正式企业报账、审计及生产部署须另行确认真实数据和会计政策。</w:t>
      </w:r>
    </w:p>
    <w:p>
      <w:r>
        <w:rPr>
          <w:rFonts w:ascii="Arial" w:hAnsi="Arial" w:eastAsia="宋体"/>
          <w:b w:val="0"/>
          <w:i w:val="0"/>
        </w:rPr>
        <w:t>本套文档与ERP-20261021软件版本一起交付。用户应把软件基线、文档版本和适用范围一起保存，旧ML版本文档保留为历史资料。后续每次软件升级均应配套完整PRD、系统说明、产品说明书和用户操作手册，保留旧版本文档及变更记录。</w:t>
      </w:r>
    </w:p>
    <w:p>
      <w:pPr>
        <w:pStyle w:val="Heading1"/>
      </w:pPr>
      <w:bookmarkStart w:id="2" w:name="epm_2"/>
      <w:r>
        <w:rPr>
          <w:rFonts w:ascii="Arial" w:hAnsi="Arial" w:eastAsia="宋体"/>
          <w:b w:val="0"/>
          <w:i w:val="0"/>
        </w:rPr>
        <w:t>一、下载安装、首次打开和日常退出</w:t>
      </w:r>
      <w:bookmarkEnd w:id="2"/>
    </w:p>
    <w:p>
      <w:pPr>
        <w:pStyle w:val="Heading2"/>
      </w:pPr>
      <w:bookmarkStart w:id="3" w:name="epm_3"/>
      <w:r>
        <w:rPr>
          <w:rFonts w:ascii="Arial" w:hAnsi="Arial" w:eastAsia="宋体"/>
          <w:b w:val="0"/>
          <w:i w:val="0"/>
        </w:rPr>
        <w:t>1.1 下载与解压</w:t>
      </w:r>
      <w:bookmarkEnd w:id="3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 xml:space="preserve">下载 </w:t>
      </w:r>
      <w:r>
        <w:rPr>
          <w:rFonts w:ascii="Consolas" w:hAnsi="Consolas" w:eastAsia="宋体"/>
          <w:b w:val="0"/>
          <w:i w:val="0"/>
          <w:sz w:val="18"/>
        </w:rPr>
        <w:t>ERP-20261021完整Windows运行ZIP</w:t>
      </w:r>
      <w:r>
        <w:rPr>
          <w:rFonts w:ascii="Arial" w:hAnsi="Arial" w:eastAsia="宋体"/>
          <w:b w:val="0"/>
          <w:i w:val="0"/>
        </w:rPr>
        <w:t>，保存到电脑可写位置。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 xml:space="preserve">右键ZIP选择“全部解压”，例如解压到 </w:t>
      </w:r>
      <w:r>
        <w:rPr>
          <w:rFonts w:ascii="Consolas" w:hAnsi="Consolas" w:eastAsia="宋体"/>
          <w:b w:val="0"/>
          <w:i w:val="0"/>
          <w:sz w:val="18"/>
        </w:rPr>
        <w:t>D:\天元EPM演示</w:t>
      </w:r>
      <w:r>
        <w:rPr>
          <w:rFonts w:ascii="Arial" w:hAnsi="Arial" w:eastAsia="宋体"/>
          <w:b w:val="0"/>
          <w:i w:val="0"/>
        </w:rPr>
        <w:t>。不要在压缩软件的预览窗口内直接运行EXE。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 xml:space="preserve">保留解压目录内的所有文件夹，包括 </w:t>
      </w:r>
      <w:r>
        <w:rPr>
          <w:rFonts w:ascii="Consolas" w:hAnsi="Consolas" w:eastAsia="宋体"/>
          <w:b w:val="0"/>
          <w:i w:val="0"/>
          <w:sz w:val="18"/>
        </w:rPr>
        <w:t>python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app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backend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frontend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docs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source</w:t>
      </w:r>
      <w:r>
        <w:rPr>
          <w:rFonts w:ascii="Arial" w:hAnsi="Arial" w:eastAsia="宋体"/>
          <w:b w:val="0"/>
          <w:i w:val="0"/>
        </w:rPr>
        <w:t xml:space="preserve"> 和 </w:t>
      </w:r>
      <w:r>
        <w:rPr>
          <w:rFonts w:ascii="Consolas" w:hAnsi="Consolas" w:eastAsia="宋体"/>
          <w:b w:val="0"/>
          <w:i w:val="0"/>
          <w:sz w:val="18"/>
        </w:rPr>
        <w:t>verification</w:t>
      </w:r>
      <w:r>
        <w:rPr>
          <w:rFonts w:ascii="Arial" w:hAnsi="Arial" w:eastAsia="宋体"/>
          <w:b w:val="0"/>
          <w:i w:val="0"/>
        </w:rPr>
        <w:t>。只复制EXE会缺少运行文件。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双击“天元EPM 凭证合并Demo.exe”。程序会启动本机服务，并自动用浏览器打开中文工作台。</w:t>
      </w:r>
    </w:p>
    <w:p>
      <w:r>
        <w:rPr>
          <w:rFonts w:ascii="Arial" w:hAnsi="Arial" w:eastAsia="宋体"/>
          <w:b w:val="0"/>
          <w:i w:val="0"/>
        </w:rPr>
        <w:t>普通使用者无需自行安装Python、Docker、WSL或虚拟机。程序已经带有私有运行环境，首次启动不下载额外环境。EXE适用于Windows 10/11 64位，未做数字签名；如单位终端策略阻止运行，由单位管理员按软件管理要求处理。</w:t>
      </w:r>
    </w:p>
    <w:p>
      <w:pPr>
        <w:pStyle w:val="Heading2"/>
      </w:pPr>
      <w:bookmarkStart w:id="4" w:name="epm_4"/>
      <w:r>
        <w:rPr>
          <w:rFonts w:ascii="Arial" w:hAnsi="Arial" w:eastAsia="宋体"/>
          <w:b w:val="0"/>
          <w:i w:val="0"/>
        </w:rPr>
        <w:t>1.2 登录与语言</w:t>
      </w:r>
      <w:bookmarkEnd w:id="4"/>
    </w:p>
    <w:p>
      <w:r>
        <w:rPr>
          <w:rFonts w:ascii="Arial" w:hAnsi="Arial" w:eastAsia="宋体"/>
          <w:b w:val="0"/>
          <w:i w:val="0"/>
        </w:rPr>
        <w:t xml:space="preserve">本版从EXE建立本机演示会话，不需要注册、谷歌邮箱或邮件验证码。界面固定为简体中文，不会要求先从英语初始化向导进入。请使用EXE自动打开的新地址，不要继续使用旧Frappe页面或旧的 </w:t>
      </w:r>
      <w:r>
        <w:rPr>
          <w:rFonts w:ascii="Consolas" w:hAnsi="Consolas" w:eastAsia="宋体"/>
          <w:b w:val="0"/>
          <w:i w:val="0"/>
          <w:sz w:val="18"/>
        </w:rPr>
        <w:t>127.0.0.1:18480</w:t>
      </w:r>
      <w:r>
        <w:rPr>
          <w:rFonts w:ascii="Arial" w:hAnsi="Arial" w:eastAsia="宋体"/>
          <w:b w:val="0"/>
          <w:i w:val="0"/>
        </w:rPr>
        <w:t xml:space="preserve"> 书签。</w:t>
      </w:r>
    </w:p>
    <w:p>
      <w:r>
        <w:rPr>
          <w:rFonts w:ascii="Arial" w:hAnsi="Arial" w:eastAsia="宋体"/>
          <w:b w:val="0"/>
          <w:i w:val="0"/>
        </w:rPr>
        <w:t>地址中的本机端口由程序自动选择。只有当前电脑可以访问此服务，本手册不提供局域网多人访问的配置流程。</w:t>
      </w:r>
    </w:p>
    <w:p>
      <w:pPr>
        <w:pStyle w:val="Heading2"/>
      </w:pPr>
      <w:bookmarkStart w:id="5" w:name="epm_5"/>
      <w:r>
        <w:rPr>
          <w:rFonts w:ascii="Arial" w:hAnsi="Arial" w:eastAsia="宋体"/>
          <w:b w:val="0"/>
          <w:i w:val="0"/>
        </w:rPr>
        <w:t>1.3 关闭、重新打开与安全退出</w:t>
      </w:r>
      <w:bookmarkEnd w:id="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4"/>
        <w:gridCol w:w="2737"/>
        <w:gridCol w:w="3334"/>
      </w:tblGrid>
      <w:tr>
        <w:trPr>
          <w:cantSplit/>
          <w:tblHeader w:val="true"/>
        </w:trPr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操作</w:t>
            </w:r>
          </w:p>
        </w:tc>
        <w:tc>
          <w:tcPr>
            <w:tcW w:type="dxa" w:w="27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实际效果</w:t>
            </w:r>
          </w:p>
        </w:tc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后续处理</w:t>
            </w:r>
          </w:p>
        </w:tc>
      </w:tr>
      <w:tr>
        <w:trPr>
          <w:cantSplit/>
        </w:trPr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关闭浏览器标签页</w:t>
            </w:r>
          </w:p>
        </w:tc>
        <w:tc>
          <w:tcPr>
            <w:tcW w:type="dxa" w:w="27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本机服务继续运行，已保存数据仍在</w:t>
            </w:r>
          </w:p>
        </w:tc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再次双击相同EXE重新打开</w:t>
            </w:r>
          </w:p>
        </w:tc>
      </w:tr>
      <w:tr>
        <w:trPr>
          <w:cantSplit/>
        </w:trPr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再次双击EXE</w:t>
            </w:r>
          </w:p>
        </w:tc>
        <w:tc>
          <w:tcPr>
            <w:tcW w:type="dxa" w:w="27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检查当前服务身份后复用本环境</w:t>
            </w:r>
          </w:p>
        </w:tc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不要同时使用旧版程序打开新环境</w:t>
            </w:r>
          </w:p>
        </w:tc>
      </w:tr>
      <w:tr>
        <w:trPr>
          <w:cantSplit/>
        </w:trPr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“本机环境”→“安全退出”→“确认安全退出”</w:t>
            </w:r>
          </w:p>
        </w:tc>
        <w:tc>
          <w:tcPr>
            <w:tcW w:type="dxa" w:w="27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停止本机服务，保留数据</w:t>
            </w:r>
          </w:p>
        </w:tc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下次双击同一EXE继续</w:t>
            </w:r>
          </w:p>
        </w:tc>
      </w:tr>
      <w:tr>
        <w:trPr>
          <w:cantSplit/>
        </w:trPr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重新解压运行包</w:t>
            </w:r>
          </w:p>
        </w:tc>
        <w:tc>
          <w:tcPr>
            <w:tcW w:type="dxa" w:w="27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更新程序文件，不清除独立数据目录</w:t>
            </w:r>
          </w:p>
        </w:tc>
        <w:tc>
          <w:tcPr>
            <w:tcW w:type="dxa" w:w="33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更新前先退出并备份，不把重新解压当作重置账套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保存以页面提示“已保存”和数据版本递增为准。关闭尚未保存的编辑弹窗，不会提交表单；“填入平衡变更”也只是改变表单内容，仍需点击保存按钮。</w:t>
      </w:r>
    </w:p>
    <w:p>
      <w:pPr>
        <w:pStyle w:val="Heading2"/>
      </w:pPr>
      <w:bookmarkStart w:id="6" w:name="epm_6"/>
      <w:r>
        <w:rPr>
          <w:rFonts w:ascii="Arial" w:hAnsi="Arial" w:eastAsia="宋体"/>
          <w:b w:val="0"/>
          <w:i w:val="0"/>
        </w:rPr>
        <w:t>1.4 数据位置与旧环境</w:t>
      </w:r>
      <w:bookmarkEnd w:id="6"/>
    </w:p>
    <w:p>
      <w:r>
        <w:rPr>
          <w:rFonts w:ascii="Arial" w:hAnsi="Arial" w:eastAsia="宋体"/>
          <w:b w:val="0"/>
          <w:i w:val="0"/>
        </w:rPr>
        <w:t xml:space="preserve">新版默认数据目录为 </w:t>
      </w:r>
      <w:r>
        <w:rPr>
          <w:rFonts w:ascii="Consolas" w:hAnsi="Consolas" w:eastAsia="宋体"/>
          <w:b w:val="0"/>
          <w:i w:val="0"/>
          <w:sz w:val="18"/>
        </w:rPr>
        <w:t>%LOCALAPPDATA%\TianyuanEPMVoucherDemo</w:t>
      </w:r>
      <w:r>
        <w:rPr>
          <w:rFonts w:ascii="Arial" w:hAnsi="Arial" w:eastAsia="宋体"/>
          <w:b w:val="0"/>
          <w:i w:val="0"/>
        </w:rPr>
        <w:t xml:space="preserve">。按 </w:t>
      </w:r>
      <w:r>
        <w:rPr>
          <w:rFonts w:ascii="Consolas" w:hAnsi="Consolas" w:eastAsia="宋体"/>
          <w:b w:val="0"/>
          <w:i w:val="0"/>
          <w:sz w:val="18"/>
        </w:rPr>
        <w:t>Win+R</w:t>
      </w:r>
      <w:r>
        <w:rPr>
          <w:rFonts w:ascii="Arial" w:hAnsi="Arial" w:eastAsia="宋体"/>
          <w:b w:val="0"/>
          <w:i w:val="0"/>
        </w:rPr>
        <w:t xml:space="preserve"> 或在文件资源管理器地址栏粘贴该路径，即可查看数据文件夹。程序目录与数据目录相互独立。</w:t>
      </w:r>
    </w:p>
    <w:p>
      <w:r>
        <w:rPr>
          <w:rFonts w:ascii="Arial" w:hAnsi="Arial" w:eastAsia="宋体"/>
          <w:b w:val="0"/>
          <w:i w:val="0"/>
        </w:rPr>
        <w:t xml:space="preserve">旧版目录 </w:t>
      </w:r>
      <w:r>
        <w:rPr>
          <w:rFonts w:ascii="Consolas" w:hAnsi="Consolas" w:eastAsia="宋体"/>
          <w:b w:val="0"/>
          <w:i w:val="0"/>
          <w:sz w:val="18"/>
        </w:rPr>
        <w:t>%LOCALAPPDATA%\TianyuanEPMGroupDemo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%LOCALAPPDATA%\TianyuanEPMDemo</w:t>
      </w:r>
      <w:r>
        <w:rPr>
          <w:rFonts w:ascii="Arial" w:hAnsi="Arial" w:eastAsia="宋体"/>
          <w:b w:val="0"/>
          <w:i w:val="0"/>
        </w:rPr>
        <w:t xml:space="preserve"> 和 </w:t>
      </w:r>
      <w:r>
        <w:rPr>
          <w:rFonts w:ascii="Consolas" w:hAnsi="Consolas" w:eastAsia="宋体"/>
          <w:b w:val="0"/>
          <w:i w:val="0"/>
          <w:sz w:val="18"/>
        </w:rPr>
        <w:t>%LOCALAPPDATA%\SelfDevelopedEPM</w:t>
      </w:r>
      <w:r>
        <w:rPr>
          <w:rFonts w:ascii="Arial" w:hAnsi="Arial" w:eastAsia="宋体"/>
          <w:b w:val="0"/>
          <w:i w:val="0"/>
        </w:rPr>
        <w:t xml:space="preserve"> 保留，旧账套不会自动迁入本版。不要把新版参数指向旧账套；新版遇到旧版或未知数据库会拒绝改写。需要迁移真实数据时，应安排单独的数据转换、核对和验收。</w:t>
      </w:r>
    </w:p>
    <w:p>
      <w:pPr>
        <w:pStyle w:val="Heading1"/>
      </w:pPr>
      <w:bookmarkStart w:id="7" w:name="epm_7"/>
      <w:r>
        <w:rPr>
          <w:rFonts w:ascii="Arial" w:hAnsi="Arial" w:eastAsia="宋体"/>
          <w:b w:val="0"/>
          <w:i w:val="0"/>
        </w:rPr>
        <w:t>二、认识工作台、范围、期间和结果状态</w:t>
      </w:r>
      <w:bookmarkEnd w:id="7"/>
    </w:p>
    <w:p>
      <w:pPr>
        <w:pStyle w:val="Heading2"/>
      </w:pPr>
      <w:bookmarkStart w:id="8" w:name="epm_8"/>
      <w:r>
        <w:rPr>
          <w:rFonts w:ascii="Arial" w:hAnsi="Arial" w:eastAsia="宋体"/>
          <w:b w:val="0"/>
          <w:i w:val="0"/>
        </w:rPr>
        <w:t>2.1 首屏与24项菜单</w:t>
      </w:r>
      <w:bookmarkEnd w:id="8"/>
    </w:p>
    <w:p>
      <w:r>
        <w:rPr>
          <w:rFonts w:ascii="Arial" w:hAnsi="Arial" w:eastAsia="宋体"/>
          <w:b w:val="0"/>
          <w:i w:val="0"/>
        </w:rPr>
        <w:t>默认打开2026年09期、杭州天元集团合并、人民币口径。全新数据目录已经通过同一计算及签核逻辑建立三层“系统初始化演示”结果，方便直接浏览。它们是正式保存的演示版本，仍然不是企业真实报表。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4688"/>
        <w:gridCol w:w="2097"/>
      </w:tblGrid>
      <w:tr>
        <w:trPr>
          <w:cantSplit/>
          <w:tblHeader w:val="true"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菜单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主要用途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本手册位置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集团经营总览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查看当前结果指标、月度趋势及输入版本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第五章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集团组织与持股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维护法人、管理单元和直接成员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第三章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科目与维度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维护科目编码及报表字段映射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第四章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ERP凭证与期初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NC6.5适配、科目映射、期初及凭证批次导入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第六章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法人凭证与三表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凭证生成单体、试算余额及原始分录追溯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第六章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内部交易匹配与差异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匹配、差异补核、自动草稿与经理审批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第六章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数据接入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取得完整源CSV、导入手工三表数据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第七章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财务三表报送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查看法人本位币源，编辑尚未转入凭证来源的手工源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第七章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集团分类汇率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发布当前期间分类汇率版本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第八章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分级合并与结果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重开、逐层计算、签核与版本查询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持股与企业合并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维护真实法人持股关系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第三章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内部往来核对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检查分层交易、来源标识与抵销层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第九章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抵销与调整凭证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维护、审批或停用分层抵销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第九章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关账校验与签核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查看结果校验及上卷前置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集团三张报表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切换利润、资产负债及现金流报表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第十一章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预算周期与审批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提交、审批和锁定预算版本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第十二章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预算编制与分摊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四层目标、量价、月分摊及业务预算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第十三章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预算调整与滚动预测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调整申请、独立调整版及预测情景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第十四章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版本与多情景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复制、切换和比较完整预算版本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第十四章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经营差异与钻取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集团人民币预实比较及经营说明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第十五章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管理报表中心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进入报表、分析、源和证据导出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第十五章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组织权限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切换本机演示角色，查看权限矩阵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第十六章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审计轨迹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查看及导出实际操作记录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第十六章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系统配置</w:t>
            </w:r>
          </w:p>
        </w:tc>
        <w:tc>
          <w:tcPr>
            <w:tcW w:type="dxa" w:w="46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维护集团名称、查看固定账套设置</w:t>
            </w:r>
          </w:p>
        </w:tc>
        <w:tc>
          <w:tcPr>
            <w:tcW w:type="dxa" w:w="20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第十六章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左侧菜单搜索框按中文菜单名筛选，清空即可恢复全部菜单。窗口较小时，左侧导航和宽表格可滚动；表格最右侧的操作列可能需要横向滚动才能看到。</w:t>
      </w:r>
    </w:p>
    <w:p>
      <w:pPr>
        <w:pStyle w:val="Heading2"/>
      </w:pPr>
      <w:bookmarkStart w:id="9" w:name="epm_9"/>
      <w:r>
        <w:rPr>
          <w:rFonts w:ascii="Arial" w:hAnsi="Arial" w:eastAsia="宋体"/>
          <w:b w:val="0"/>
          <w:i w:val="0"/>
        </w:rPr>
        <w:t>2.2 切换合并单元与财政期间</w:t>
      </w:r>
      <w:bookmarkEnd w:id="9"/>
    </w:p>
    <w:p>
      <w:r>
        <w:rPr>
          <w:rFonts w:ascii="Arial" w:hAnsi="Arial" w:eastAsia="宋体"/>
          <w:b w:val="0"/>
          <w:i w:val="0"/>
        </w:rPr>
        <w:t>顶部“合并单元”初始有“鸿旺小合并”“海外小合并”“杭州天元集团合并”。切换后，当前结果、前置条件、版本历史和报表口径随之改变；这不会把一个结果重新保存成其他范围。</w:t>
      </w:r>
    </w:p>
    <w:p>
      <w:r>
        <w:rPr>
          <w:rFonts w:ascii="Arial" w:hAnsi="Arial" w:eastAsia="宋体"/>
          <w:b w:val="0"/>
          <w:i w:val="0"/>
        </w:rPr>
        <w:t>“财政期间·累计口径”中的09期表示2026年1—9月累计，展开月度发生额才能看到各月数。年度固定2026，当前没有新年度建账操作。初始实际样例截至09期；没有另行报送时，10—12期样例沿用09期累计，不表示发生了新的真实交易。</w:t>
      </w:r>
    </w:p>
    <w:p>
      <w:r>
        <w:rPr>
          <w:rFonts w:ascii="Arial" w:hAnsi="Arial" w:eastAsia="宋体"/>
          <w:b w:val="0"/>
          <w:i w:val="0"/>
        </w:rPr>
        <w:t>报表币种由单元配置决定，顶部币种控件不可任意切换：鸿旺为人民币CNY，海外为美元USD，集团为人民币CNY。法人源始终保留其本位币。修改合并单元报表币种后，当前操作范围会使用新币种；保留的历史失效快照仍按原币种显示，须重新计算才得到新币种结果。</w:t>
      </w:r>
    </w:p>
    <w:p>
      <w:pPr>
        <w:pStyle w:val="Heading2"/>
      </w:pPr>
      <w:bookmarkStart w:id="10" w:name="epm_10"/>
      <w:r>
        <w:rPr>
          <w:rFonts w:ascii="Arial" w:hAnsi="Arial" w:eastAsia="宋体"/>
          <w:b w:val="0"/>
          <w:i w:val="0"/>
        </w:rPr>
        <w:t>2.3 认清四类结果</w:t>
      </w:r>
      <w:bookmarkEnd w:id="1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4577"/>
        <w:gridCol w:w="2751"/>
      </w:tblGrid>
      <w:tr>
        <w:trPr>
          <w:cantSplit/>
          <w:tblHeader w:val="true"/>
        </w:trPr>
        <w:tc>
          <w:tcPr>
            <w:tcW w:type="dxa" w:w="20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界面状态</w:t>
            </w:r>
          </w:p>
        </w:tc>
        <w:tc>
          <w:tcPr>
            <w:tcW w:type="dxa" w:w="45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含义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能否作为上级输入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预览或未计算</w:t>
            </w:r>
          </w:p>
        </w:tc>
        <w:tc>
          <w:tcPr>
            <w:tcW w:type="dxa" w:w="45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该期尚无可用正式版本，页面仅提供计算预览或前置提示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已计算，待签核</w:t>
            </w:r>
          </w:p>
        </w:tc>
        <w:tc>
          <w:tcPr>
            <w:tcW w:type="dxa" w:w="45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已生成保存的新结果，但负责人尚未签核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已签核且有效</w:t>
            </w:r>
          </w:p>
        </w:tc>
        <w:tc>
          <w:tcPr>
            <w:tcW w:type="dxa" w:w="45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负责人批准了当前版本，来源和校验仍有效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已失效，待重算</w:t>
            </w:r>
          </w:p>
        </w:tc>
        <w:tc>
          <w:tcPr>
            <w:tcW w:type="dxa" w:w="45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重开或相关输入变化后保留的历史快照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不能；先逐层重算再签核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查看任何数字时，先读结果提示条中的单元、版本、币种、来源及有效性。旧结果的“已签核”记录和当前是否有效是两件事；历史批准并不允许把过期金额继续上卷。</w:t>
      </w:r>
    </w:p>
    <w:p>
      <w:pPr>
        <w:pStyle w:val="Heading1"/>
      </w:pPr>
      <w:bookmarkStart w:id="11" w:name="epm_11"/>
      <w:r>
        <w:rPr>
          <w:rFonts w:ascii="Arial" w:hAnsi="Arial" w:eastAsia="宋体"/>
          <w:b w:val="0"/>
          <w:i w:val="0"/>
        </w:rPr>
        <w:t>三、集团法人、管理合并范围与真实持股</w:t>
      </w:r>
      <w:bookmarkEnd w:id="11"/>
    </w:p>
    <w:p>
      <w:pPr>
        <w:pStyle w:val="Heading2"/>
      </w:pPr>
      <w:bookmarkStart w:id="12" w:name="epm_12"/>
      <w:r>
        <w:rPr>
          <w:rFonts w:ascii="Arial" w:hAnsi="Arial" w:eastAsia="宋体"/>
          <w:b w:val="0"/>
          <w:i w:val="0"/>
        </w:rPr>
        <w:t>3.1 初始结构如何理解</w:t>
      </w:r>
      <w:bookmarkEnd w:id="12"/>
    </w:p>
    <w:p>
      <w:r>
        <w:rPr>
          <w:rFonts w:ascii="Arial" w:hAnsi="Arial" w:eastAsia="宋体"/>
          <w:b w:val="0"/>
          <w:i w:val="0"/>
        </w:rPr>
        <w:t>用户确认的鸿旺单体、鸿旺猫爬架生产事业部、杭州鸿旺宠物用品有限公司电子工厂是三家独立法人，三份单体报表互不包含。名称中有“事业部”或“工厂”不改变本例的独立法人处理。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4"/>
        <w:gridCol w:w="1593"/>
        <w:gridCol w:w="1703"/>
        <w:gridCol w:w="3266"/>
      </w:tblGrid>
      <w:tr>
        <w:trPr>
          <w:cantSplit/>
          <w:tblHeader w:val="true"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对象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类型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本位币或报表币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在集团中的输入方式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鸿旺单体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独立法人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先进入鸿旺小合并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鸿旺猫爬架生产事业部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独立法人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先进入鸿旺小合并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杭州鸿旺宠物用品有限公司电子工厂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独立法人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先进入鸿旺小合并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鸿旺小合并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管理合并单元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以有效已签核结果进入集团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海外公司甲、乙（演示）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独立法人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USD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先进入海外小合并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海外小合并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管理合并单元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USD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以美元签核结果输入集团，再分类折算人民币</w:t>
            </w:r>
          </w:p>
        </w:tc>
      </w:tr>
      <w:tr>
        <w:trPr>
          <w:cantSplit/>
        </w:trPr>
        <w:tc>
          <w:tcPr>
            <w:tcW w:type="dxa" w:w="28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天元本部、其他境内公司（演示）</w:t>
            </w:r>
          </w:p>
        </w:tc>
        <w:tc>
          <w:tcPr>
            <w:tcW w:type="dxa" w:w="15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独立法人</w:t>
            </w:r>
          </w:p>
        </w:tc>
        <w:tc>
          <w:tcPr>
            <w:tcW w:type="dxa" w:w="17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32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直接进入集团本层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管理树表示报表处理范围；真实持股树表示法律关系。三家鸿旺相关法人按天元100%持股示例维护，不会因为它们放在鸿旺管理范围中，就自动产生“鸿旺持有另外两家”的投资。</w:t>
      </w:r>
    </w:p>
    <w:p>
      <w:pPr>
        <w:pStyle w:val="Heading2"/>
      </w:pPr>
      <w:bookmarkStart w:id="13" w:name="epm_13"/>
      <w:r>
        <w:rPr>
          <w:rFonts w:ascii="Arial" w:hAnsi="Arial" w:eastAsia="宋体"/>
          <w:b w:val="0"/>
          <w:i w:val="0"/>
        </w:rPr>
        <w:t>3.2 新增或编辑独立法人</w:t>
      </w:r>
      <w:bookmarkEnd w:id="13"/>
    </w:p>
    <w:p>
      <w:r>
        <w:rPr>
          <w:rFonts w:ascii="Arial" w:hAnsi="Arial" w:eastAsia="宋体"/>
          <w:b w:val="0"/>
          <w:i w:val="0"/>
        </w:rPr>
        <w:t>入口：“集团组织与持股”→“新增法人”，或法人行“编辑”。需要“集团财务负责人”角色。修改已影响签核结果的档案前，先重开相关单元及祖先；全局档案修改可能受其他已签核期间保护，不能仅重开错误期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7"/>
        <w:gridCol w:w="3110"/>
        <w:gridCol w:w="4779"/>
      </w:tblGrid>
      <w:tr>
        <w:trPr>
          <w:cantSplit/>
          <w:tblHeader w:val="true"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怎么填写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主要检查</w:t>
            </w:r>
          </w:p>
        </w:tc>
      </w:tr>
      <w:tr>
        <w:trPr>
          <w:cantSplit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法人标识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 xml:space="preserve">稳定的内部ID，例如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DEMO_A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以大写英文字母开头，只含大写字母、数字、下划线、短横线，最多40字符；编辑时只读</w:t>
            </w:r>
          </w:p>
        </w:tc>
      </w:tr>
      <w:tr>
        <w:trPr>
          <w:cantSplit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 xml:space="preserve">用于CSV匹配的业务编码，例如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DA01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必填，最多30字符，与其他法人不同</w:t>
            </w:r>
          </w:p>
        </w:tc>
      </w:tr>
      <w:tr>
        <w:trPr>
          <w:cantSplit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法人全称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独立法人名称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必填，最多100字符</w:t>
            </w:r>
          </w:p>
        </w:tc>
      </w:tr>
      <w:tr>
        <w:trPr>
          <w:cantSplit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简称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工作台显示简称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必填，最多100字符</w:t>
            </w:r>
          </w:p>
        </w:tc>
      </w:tr>
      <w:tr>
        <w:trPr>
          <w:cantSplit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报送责任人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演示财务负责人名称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必填，最多100字符；不创建真实账号</w:t>
            </w:r>
          </w:p>
        </w:tc>
      </w:tr>
      <w:tr>
        <w:trPr>
          <w:cantSplit/>
        </w:trPr>
        <w:tc>
          <w:tcPr>
            <w:tcW w:type="dxa" w:w="15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记账本位币</w:t>
            </w:r>
          </w:p>
        </w:tc>
        <w:tc>
          <w:tcPr>
            <w:tcW w:type="dxa" w:w="31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选择人民币CNY或美元USD</w:t>
            </w:r>
          </w:p>
        </w:tc>
        <w:tc>
          <w:tcPr>
            <w:tcW w:type="dxa" w:w="4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已有任何财务报送后不能直接改币种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点击“保存独立法人”。保存成功只建立或修改档案，不自动产生源余额、不自动加入管理范围，也不自动产生真实投资金额。新增后需分别维护真实持股、合法完整的财务源和管理单元成员；涉及超出本轮模型的资本事件，应先做正式研发适配。</w:t>
      </w:r>
    </w:p>
    <w:p>
      <w:r>
        <w:rPr>
          <w:rFonts w:ascii="Arial" w:hAnsi="Arial" w:eastAsia="宋体"/>
          <w:b w:val="0"/>
          <w:i w:val="0"/>
        </w:rPr>
        <w:t>若法人编码重复，修改为未占用编码后重试；若误建了错误本位币且已经报送，勿通过改币种重标历史金额。本轮页面没有删除法人按钮，应由研发评估修正方案，保留历史核对依据。</w:t>
      </w:r>
    </w:p>
    <w:p>
      <w:pPr>
        <w:pStyle w:val="Heading2"/>
      </w:pPr>
      <w:bookmarkStart w:id="14" w:name="epm_14"/>
      <w:r>
        <w:rPr>
          <w:rFonts w:ascii="Arial" w:hAnsi="Arial" w:eastAsia="宋体"/>
          <w:b w:val="0"/>
          <w:i w:val="0"/>
        </w:rPr>
        <w:t>3.3 配置管理合并单元与成员</w:t>
      </w:r>
      <w:bookmarkEnd w:id="14"/>
    </w:p>
    <w:p>
      <w:r>
        <w:rPr>
          <w:rFonts w:ascii="Arial" w:hAnsi="Arial" w:eastAsia="宋体"/>
          <w:b w:val="0"/>
          <w:i w:val="0"/>
        </w:rPr>
        <w:t>入口：“集团组织与持股”→“新增管理合并单元”；已有单元行“维护”，或“分级合并与结果”→“维护成员”。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负责人重开受影响的已有签核范围。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填写稳定的单元标识、单元名称，选择本层报表币种。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勾选本层直接输入。可以选择独立法人，也可以选择下级管理合并单元。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点击“保存单元及成员”，检查保存后的管理树和直接成员清单。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自下而上重新计算及签核。</w:t>
      </w:r>
    </w:p>
    <w:p>
      <w:r>
        <w:rPr>
          <w:rFonts w:ascii="Arial" w:hAnsi="Arial" w:eastAsia="宋体"/>
          <w:b w:val="0"/>
          <w:i w:val="0"/>
        </w:rPr>
        <w:t>成员必须非空，单层最多200个直接成员。每棵上卷树内一个底层法人只能出现一次；例如集团已经选择“鸿旺小合并”，不能再选择鸿旺猫爬架单体。单元不能包含自己或祖先，同一下级单元不能同时有两个父单元。本轮支持同币种输入，或USD输入进入CNY层；不支持把CNY输入反向放入USD层。</w:t>
      </w:r>
    </w:p>
    <w:p>
      <w:r>
        <w:rPr>
          <w:rFonts w:ascii="Arial" w:hAnsi="Arial" w:eastAsia="宋体"/>
          <w:b w:val="0"/>
          <w:i w:val="0"/>
        </w:rPr>
        <w:t>错误配置会显示中文原因并拒绝保存。先核对直接成员，再核对其叶子法人。若成员变更使现有内部销售抵销不再位于双方最低共同层，需要先重开并停用相关旧抵销，再用新来源标识在正确层配置；不要反复取消勾选来绕过抵销关系。</w:t>
      </w:r>
    </w:p>
    <w:p>
      <w:pPr>
        <w:pStyle w:val="Heading2"/>
      </w:pPr>
      <w:bookmarkStart w:id="15" w:name="epm_15"/>
      <w:r>
        <w:rPr>
          <w:rFonts w:ascii="Arial" w:hAnsi="Arial" w:eastAsia="宋体"/>
          <w:b w:val="0"/>
          <w:i w:val="0"/>
        </w:rPr>
        <w:t>3.4 将“其他公司”改成新小合并的完整步骤</w:t>
      </w:r>
      <w:bookmarkEnd w:id="15"/>
    </w:p>
    <w:p>
      <w:r>
        <w:rPr>
          <w:rFonts w:ascii="Arial" w:hAnsi="Arial" w:eastAsia="宋体"/>
          <w:b w:val="0"/>
          <w:i w:val="0"/>
        </w:rPr>
        <w:t>此例用于演示动态配置，不新增交易金额。在未执行其他改数的基线中：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 xml:space="preserve">保持其他境内公司本期源不变，新增 </w:t>
      </w:r>
      <w:r>
        <w:rPr>
          <w:rFonts w:ascii="Consolas" w:hAnsi="Consolas" w:eastAsia="宋体"/>
          <w:b w:val="0"/>
          <w:i w:val="0"/>
          <w:sz w:val="18"/>
        </w:rPr>
        <w:t>OTHER_SUB</w:t>
      </w:r>
      <w:r>
        <w:rPr>
          <w:rFonts w:ascii="Arial" w:hAnsi="Arial" w:eastAsia="宋体"/>
          <w:b w:val="0"/>
          <w:i w:val="0"/>
        </w:rPr>
        <w:t xml:space="preserve"> 管理单元，币种CNY，直接成员仅“集团其他境内公司（演示）”。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切到该新单元，计算并签核，收入为600万元。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重开杭州天元集团合并。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维护集团成员：取消勾选其他境内公司单体，勾选“OTHER_SUB”；其余成员保持。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保存后重新计算并签核集团。集团收入仍为2650万元，直接输入中显示新子结果版本。</w:t>
      </w:r>
    </w:p>
    <w:p>
      <w:r>
        <w:rPr>
          <w:rFonts w:ascii="Arial" w:hAnsi="Arial" w:eastAsia="宋体"/>
          <w:b w:val="0"/>
          <w:i w:val="0"/>
        </w:rPr>
        <w:t>在独立、尚未挂接的管理范围中暂时引用同一法人，可用于上述分步配置；一旦挂入同一上卷树仍会检查重复叶子。不要把彼此重叠的独立范围直接相加当作集团。</w:t>
      </w:r>
    </w:p>
    <w:p>
      <w:pPr>
        <w:pStyle w:val="Heading2"/>
      </w:pPr>
      <w:bookmarkStart w:id="16" w:name="epm_16"/>
      <w:r>
        <w:rPr>
          <w:rFonts w:ascii="Arial" w:hAnsi="Arial" w:eastAsia="宋体"/>
          <w:b w:val="0"/>
          <w:i w:val="0"/>
        </w:rPr>
        <w:t>3.5 维护真实持股</w:t>
      </w:r>
      <w:bookmarkEnd w:id="16"/>
    </w:p>
    <w:p>
      <w:r>
        <w:rPr>
          <w:rFonts w:ascii="Arial" w:hAnsi="Arial" w:eastAsia="宋体"/>
          <w:b w:val="0"/>
          <w:i w:val="0"/>
        </w:rPr>
        <w:t>入口：“持股与企业合并”→某法人行“维护真实持股”。负责人填写实际母公司，持股比例保持100，合并方法为“全额合并”，点击“保存真实持股”。本轮不接受少数股东比例或其他合并方法。</w:t>
      </w:r>
    </w:p>
    <w:p>
      <w:r>
        <w:rPr>
          <w:rFonts w:ascii="Arial" w:hAnsi="Arial" w:eastAsia="宋体"/>
          <w:b w:val="0"/>
          <w:i w:val="0"/>
        </w:rPr>
        <w:t>保存真实股权不改变管理树，但会使相关依赖结果失效。已有签核需先重开。真实持股关系不能自持或循环。现有根级投资权益抵销会核对子公司实际资本、适用历史率及母公司实报投资总额；改股权后还需核对抵销配对，不能只改显示名称就继续上卷。</w:t>
      </w:r>
    </w:p>
    <w:p>
      <w:pPr>
        <w:pStyle w:val="Heading1"/>
      </w:pPr>
      <w:bookmarkStart w:id="17" w:name="epm_17"/>
      <w:r>
        <w:rPr>
          <w:rFonts w:ascii="Arial" w:hAnsi="Arial" w:eastAsia="宋体"/>
          <w:b w:val="0"/>
          <w:i w:val="0"/>
        </w:rPr>
        <w:t>四、科目与维度</w:t>
      </w:r>
      <w:bookmarkEnd w:id="17"/>
    </w:p>
    <w:p>
      <w:r>
        <w:rPr>
          <w:rFonts w:ascii="Arial" w:hAnsi="Arial" w:eastAsia="宋体"/>
          <w:b w:val="0"/>
          <w:i w:val="0"/>
        </w:rPr>
        <w:t>入口：“科目与维度”。页面列出科目编码、名称、类型、余额方向和报表字段。负责人可点“新增集团科目”或某行“编辑”。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3"/>
        <w:gridCol w:w="4462"/>
        <w:gridCol w:w="3251"/>
      </w:tblGrid>
      <w:tr>
        <w:trPr>
          <w:cantSplit/>
          <w:tblHeader w:val="true"/>
        </w:trPr>
        <w:tc>
          <w:tcPr>
            <w:tcW w:type="dxa" w:w="16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44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填写规则</w:t>
            </w:r>
          </w:p>
        </w:tc>
        <w:tc>
          <w:tcPr>
            <w:tcW w:type="dxa" w:w="32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6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</w:t>
            </w:r>
          </w:p>
        </w:tc>
        <w:tc>
          <w:tcPr>
            <w:tcW w:type="dxa" w:w="44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1—20位英文字母、数字、下划线或短横线；编辑现有编码时只读</w:t>
            </w:r>
          </w:p>
        </w:tc>
        <w:tc>
          <w:tcPr>
            <w:tcW w:type="dxa" w:w="32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1511</w:t>
            </w:r>
          </w:p>
        </w:tc>
      </w:tr>
      <w:tr>
        <w:trPr>
          <w:cantSplit/>
        </w:trPr>
        <w:tc>
          <w:tcPr>
            <w:tcW w:type="dxa" w:w="16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科目名称</w:t>
            </w:r>
          </w:p>
        </w:tc>
        <w:tc>
          <w:tcPr>
            <w:tcW w:type="dxa" w:w="44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必填，最多100字符</w:t>
            </w:r>
          </w:p>
        </w:tc>
        <w:tc>
          <w:tcPr>
            <w:tcW w:type="dxa" w:w="32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长期股权投资</w:t>
            </w:r>
          </w:p>
        </w:tc>
      </w:tr>
      <w:tr>
        <w:trPr>
          <w:cantSplit/>
        </w:trPr>
        <w:tc>
          <w:tcPr>
            <w:tcW w:type="dxa" w:w="16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科目类型</w:t>
            </w:r>
          </w:p>
        </w:tc>
        <w:tc>
          <w:tcPr>
            <w:tcW w:type="dxa" w:w="44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资产、负债、权益、收入、成本、费用、税费之一</w:t>
            </w:r>
          </w:p>
        </w:tc>
        <w:tc>
          <w:tcPr>
            <w:tcW w:type="dxa" w:w="32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资产</w:t>
            </w:r>
          </w:p>
        </w:tc>
      </w:tr>
      <w:tr>
        <w:trPr>
          <w:cantSplit/>
        </w:trPr>
        <w:tc>
          <w:tcPr>
            <w:tcW w:type="dxa" w:w="16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余额方向</w:t>
            </w:r>
          </w:p>
        </w:tc>
        <w:tc>
          <w:tcPr>
            <w:tcW w:type="dxa" w:w="44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借或贷</w:t>
            </w:r>
          </w:p>
        </w:tc>
        <w:tc>
          <w:tcPr>
            <w:tcW w:type="dxa" w:w="32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借</w:t>
            </w:r>
          </w:p>
        </w:tc>
      </w:tr>
      <w:tr>
        <w:trPr>
          <w:cantSplit/>
        </w:trPr>
        <w:tc>
          <w:tcPr>
            <w:tcW w:type="dxa" w:w="16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报表口径</w:t>
            </w:r>
          </w:p>
        </w:tc>
        <w:tc>
          <w:tcPr>
            <w:tcW w:type="dxa" w:w="44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从已支持的报表字段下拉选择</w:t>
            </w:r>
          </w:p>
        </w:tc>
        <w:tc>
          <w:tcPr>
            <w:tcW w:type="dxa" w:w="32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长期股权投资对应investment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点击“保存科目”。科目属于全局配置，已有锁定结果时需要先由负责人重开有关期间及单元。科目变更后重新检查相关报表来源和计算结果。</w:t>
      </w:r>
    </w:p>
    <w:p>
      <w:r>
        <w:rPr>
          <w:rFonts w:ascii="Arial" w:hAnsi="Arial" w:eastAsia="宋体"/>
          <w:b w:val="0"/>
          <w:i w:val="0"/>
        </w:rPr>
        <w:t>当前法人三表源按固定项目直接录入，不会因新增一个科目就自动把ERP明细接入系统。此页没有任意自定义客商、产品、渠道维度的完整建模功能；管理层级通过合并单元配置，生产维度模型需后续研发。</w:t>
      </w:r>
    </w:p>
    <w:p>
      <w:pPr>
        <w:pStyle w:val="Heading1"/>
      </w:pPr>
      <w:bookmarkStart w:id="18" w:name="epm_18"/>
      <w:r>
        <w:rPr>
          <w:rFonts w:ascii="Arial" w:hAnsi="Arial" w:eastAsia="宋体"/>
          <w:b w:val="0"/>
          <w:i w:val="0"/>
        </w:rPr>
        <w:t>五、集团经营总览</w:t>
      </w:r>
      <w:bookmarkEnd w:id="18"/>
    </w:p>
    <w:p>
      <w:r>
        <w:rPr>
          <w:rFonts w:ascii="Arial" w:hAnsi="Arial" w:eastAsia="宋体"/>
          <w:b w:val="0"/>
          <w:i w:val="0"/>
        </w:rPr>
        <w:t>入口：“集团经营总览”。先确认顶部范围和期间，再查看累计营业收入、累计净利润、经营现金净额及外币报表折算差额。</w:t>
      </w:r>
    </w:p>
    <w:p>
      <w:r>
        <w:rPr>
          <w:rFonts w:ascii="Arial" w:hAnsi="Arial" w:eastAsia="宋体"/>
          <w:b w:val="0"/>
          <w:i w:val="0"/>
        </w:rPr>
        <w:t>全新基线09期，集团营业收入2650、净利润770、经营现金净额770、折算差额74，单位人民币万元。鸿旺小合并收入1400、净利润450；海外小合并收入100、净利润20，单位万美元。切换单元后金额单位随结果改变。</w:t>
      </w:r>
    </w:p>
    <w:p>
      <w:r>
        <w:rPr>
          <w:rFonts w:ascii="Arial" w:hAnsi="Arial" w:eastAsia="宋体"/>
          <w:b w:val="0"/>
          <w:i w:val="0"/>
        </w:rPr>
        <w:t>“营业收入趋势”来自当前已保存结果中的各月发生额。点击图上的月份点可查看该月收入来源和单位；它不是独立修改月份数据的入口。右侧分级合并工作台可“进入”具体单元；“本层直接输入与版本”可钻取已签核下级或法人源。</w:t>
      </w:r>
    </w:p>
    <w:p>
      <w:r>
        <w:rPr>
          <w:rFonts w:ascii="Arial" w:hAnsi="Arial" w:eastAsia="宋体"/>
          <w:b w:val="0"/>
          <w:i w:val="0"/>
        </w:rPr>
        <w:t>“导出经营摘要”会下载CSV，含所选范围、期间、币种、结果版本及状态说明。处于历史失效状态时，导出的仍是该快照数据，应先重算再用于当前经营讨论。</w:t>
      </w:r>
    </w:p>
    <w:p>
      <w:pPr>
        <w:pStyle w:val="Heading1"/>
      </w:pPr>
      <w:bookmarkStart w:id="19" w:name="epm_19"/>
      <w:r>
        <w:rPr>
          <w:rFonts w:ascii="Arial" w:hAnsi="Arial" w:eastAsia="宋体"/>
          <w:b w:val="0"/>
          <w:i w:val="0"/>
        </w:rPr>
        <w:t>六、NC6.5凭证到单体报表、内部匹配及集团合并</w:t>
      </w:r>
      <w:bookmarkEnd w:id="19"/>
    </w:p>
    <w:p>
      <w:pPr>
        <w:pStyle w:val="Heading2"/>
      </w:pPr>
      <w:bookmarkStart w:id="20" w:name="epm_20"/>
      <w:r>
        <w:rPr>
          <w:rFonts w:ascii="Arial" w:hAnsi="Arial" w:eastAsia="宋体"/>
          <w:b w:val="0"/>
          <w:i w:val="0"/>
        </w:rPr>
        <w:t>6.1 本版新增的主流程</w:t>
      </w:r>
      <w:bookmarkEnd w:id="20"/>
    </w:p>
    <w:p>
      <w:r>
        <w:rPr>
          <w:rFonts w:ascii="Arial" w:hAnsi="Arial" w:eastAsia="宋体"/>
          <w:b w:val="0"/>
          <w:i w:val="0"/>
        </w:rPr>
        <w:t>本版新增“ERP凭证与期初”“法人凭证与三表”“内部交易匹配与差异”三个主菜单。完整顺序为：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准备三套账及相关集团账务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账簿/本位币、客商与科目映射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年初余额 + 年初至测试月完整已记账凭证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生成各法人单体报表，核对试算/三表/现金流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鸿旺层扫描内部交易、追溯差异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准确匹配项生成抵销草稿 → 财务负责人审批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鸿旺小合并计算、签核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集团层扫描跨小合并交易、生成草稿、审批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集团引用有效下级结果计算、签核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→ 从报表、差异或历史结果追到原凭证和期初</w:t>
      </w:r>
    </w:p>
    <w:p>
      <w:pPr>
        <w:spacing w:after="20"/>
      </w:pPr>
    </w:p>
    <w:p>
      <w:r>
        <w:rPr>
          <w:rFonts w:ascii="Arial" w:hAnsi="Arial" w:eastAsia="宋体"/>
          <w:b w:val="0"/>
          <w:i w:val="0"/>
        </w:rPr>
        <w:t>“自动匹配”“生成抵销草稿”“审批抵销”“计算合并”“签核结果”是五个独立步骤。导入成功不代表已生成单体，匹配成功不代表已经审批或合并；不能跳过负责人审批就把自动事项发布到集团结果。</w:t>
      </w:r>
    </w:p>
    <w:p>
      <w:r>
        <w:rPr>
          <w:rFonts w:ascii="Arial" w:hAnsi="Arial" w:eastAsia="宋体"/>
          <w:b w:val="0"/>
          <w:i w:val="0"/>
        </w:rPr>
        <w:t>本版没有连接NC在线API，不读取NC数据库，也不会自动取得你们的凭证。你们从NC6.5导出文件，系统在本机读取CSV/XLSX。导出表头没有记账状态列，因此必须由财务确认文件只有已记账业务数据；页面勾选是用户确认记录，不是系统向NC核验过记账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850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C65凭证与期初工作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8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  图6-1 本版NC凭证导入工作台</w:t>
      </w:r>
    </w:p>
    <w:p>
      <w:r>
        <w:rPr>
          <w:rFonts w:ascii="Arial" w:hAnsi="Arial" w:eastAsia="宋体"/>
          <w:b w:val="0"/>
          <w:i w:val="0"/>
        </w:rPr>
        <w:t>图6-1来自本版独立浏览器验收。界面显示文件导入入口，在线ERP连接状态仍为“未连接”；演示企业与金额均为测试用途。</w:t>
      </w:r>
    </w:p>
    <w:p>
      <w:pPr>
        <w:pStyle w:val="Heading2"/>
      </w:pPr>
      <w:bookmarkStart w:id="21" w:name="epm_21"/>
      <w:r>
        <w:rPr>
          <w:rFonts w:ascii="Arial" w:hAnsi="Arial" w:eastAsia="宋体"/>
          <w:b w:val="0"/>
          <w:i w:val="0"/>
        </w:rPr>
        <w:t>6.2 先准备哪些资料</w:t>
      </w:r>
      <w:bookmarkEnd w:id="2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503"/>
        <w:gridCol w:w="3348"/>
      </w:tblGrid>
      <w:tr>
        <w:trPr>
          <w:cantSplit/>
          <w:tblHeader w:val="true"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资料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必须准备的范围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为什么需要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法人及账簿清单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鸿旺单体、鸿旺猫爬架生产事业部、杭州鸿旺宠物用品有限公司电子工厂的真实核算账簿原值、法人ID、本位币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三个独立法人不能并成一套单体账，也不能以交易币种替代本位币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科目映射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每家实际NC科目编码、名称、正常方向及对应报表字段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系统按编码归集，不靠摘要猜科目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2026年年初余额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2026年期初完整资产负债科目借贷余额，逐法人平衡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本期凭证只有发生额，不能单独推出期初资产负债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内部往来辅助余额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期初应收、应付按内部客商和共同交易关联号分拆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只有总账科目合计，无法准确确定各内部方应抵销的余额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完整已记账凭证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2026年1月至测试月全部相关业务凭证，不只内部交易、不只最后一月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正确计算累计损益、余额及逐月现金流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内部客商映射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NC辅助核算原值→内部法人，外部客商明确标为外部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未知代码不能自动当外部，内部销售必须知道双方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共同交易依据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双方共同结算号或核销号及月度归属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相同金额不表示同一交易，跨月事项不能强配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现金流依据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现金科目分录的经营/投资/筹资归类，或能无歧义判断的对方科目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系统不把现金差额倒挤为经营现金流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上卷集团补充资料</w:t>
            </w:r>
          </w:p>
        </w:tc>
        <w:tc>
          <w:tcPr>
            <w:tcW w:type="dxa" w:w="4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集团本部、其他相关法人及海外范围的完整源和相关双方凭证</w:t>
            </w:r>
          </w:p>
        </w:tc>
        <w:tc>
          <w:tcPr>
            <w:tcW w:type="dxa" w:w="3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只导鸿旺三家可以先验收小合并，集团跨范围匹配仍需其他方真实依据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先选择统一测试期间，例如2026年09期。凭证默认按“制单日期”确定月份；“业务日期”保留作核对，不默认替代制单日期。年初余额不是08月末余额；如果只有09月凭证和08月末余额，不要假装它们已经构成2026年1—9月完整累计账套。</w:t>
      </w:r>
    </w:p>
    <w:p>
      <w:pPr>
        <w:pStyle w:val="Heading2"/>
      </w:pPr>
      <w:bookmarkStart w:id="22" w:name="epm_22"/>
      <w:r>
        <w:rPr>
          <w:rFonts w:ascii="Arial" w:hAnsi="Arial" w:eastAsia="宋体"/>
          <w:b w:val="0"/>
          <w:i w:val="0"/>
        </w:rPr>
        <w:t>6.3 元、万元、交易币、本位币怎样区分</w:t>
      </w:r>
      <w:bookmarkEnd w:id="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9"/>
        <w:gridCol w:w="3335"/>
        <w:gridCol w:w="3512"/>
      </w:tblGrid>
      <w:tr>
        <w:trPr>
          <w:cantSplit/>
          <w:tblHeader w:val="true"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位置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金额或币种规则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操作提醒</w:t>
            </w:r>
          </w:p>
        </w:tc>
      </w:tr>
      <w:tr>
        <w:trPr>
          <w:cantSplit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NC本币借方/本币贷方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法人本位币，按导入时单位换算为元两位字符串保存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通常NC文件为元，先核对，不要误选万元</w:t>
            </w:r>
          </w:p>
        </w:tc>
      </w:tr>
      <w:tr>
        <w:trPr>
          <w:cantSplit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NC原币借方/贷方及“币种”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交易币金额和交易币种，保留原值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不能再加到本币金额上</w:t>
            </w:r>
          </w:p>
        </w:tc>
      </w:tr>
      <w:tr>
        <w:trPr>
          <w:cantSplit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集团本币/全局本币金额及汇率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只保留核对，不生成第二笔法人账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不能把NC已折算集团额再重复入账</w:t>
            </w:r>
          </w:p>
        </w:tc>
      </w:tr>
      <w:tr>
        <w:trPr>
          <w:cantSplit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法人单体、匹配、抵销及合并三表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本位币或该层报表币种的万元，最多六位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一分＝0.000001万元，不能按旧万元两位先截断</w:t>
            </w:r>
          </w:p>
        </w:tc>
      </w:tr>
      <w:tr>
        <w:trPr>
          <w:cantSplit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科目试算、原始凭证明细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元，两位小数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与报表万元存在10000倍关系</w:t>
            </w:r>
          </w:p>
        </w:tc>
      </w:tr>
      <w:tr>
        <w:trPr>
          <w:cantSplit/>
        </w:trPr>
        <w:tc>
          <w:tcPr>
            <w:tcW w:type="dxa" w:w="25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预算与量价</w:t>
            </w:r>
          </w:p>
        </w:tc>
        <w:tc>
          <w:tcPr>
            <w:tcW w:type="dxa" w:w="33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人民币万元，两位小数</w:t>
            </w:r>
          </w:p>
        </w:tc>
        <w:tc>
          <w:tcPr>
            <w:tcW w:type="dxa" w:w="35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财务精度升级不把预算变成六位编制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例如本币借方123.45元在报表中为0.012345万元。红字负借或负贷按原方向保留并计入单体；凭证仍须借贷平衡。负向内部交易或反向往来余额本轮进入人工核对差异，不会被绝对值转换成正向自动抵销。</w:t>
      </w:r>
    </w:p>
    <w:p>
      <w:pPr>
        <w:pStyle w:val="Heading2"/>
      </w:pPr>
      <w:bookmarkStart w:id="23" w:name="epm_23"/>
      <w:r>
        <w:rPr>
          <w:rFonts w:ascii="Arial" w:hAnsi="Arial" w:eastAsia="宋体"/>
          <w:b w:val="0"/>
          <w:i w:val="0"/>
        </w:rPr>
        <w:t>6.4 NC48列表头与账簿/客商适配</w:t>
      </w:r>
      <w:bookmarkEnd w:id="23"/>
    </w:p>
    <w:p>
      <w:r>
        <w:rPr>
          <w:rFonts w:ascii="Arial" w:hAnsi="Arial" w:eastAsia="宋体"/>
          <w:b w:val="0"/>
          <w:i w:val="0"/>
        </w:rPr>
        <w:t>入口：“ERP凭证与期初”→“维护NC6.5适配”。负责人先维护下列设置，再导入NC文件。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1"/>
        <w:gridCol w:w="3901"/>
        <w:gridCol w:w="3565"/>
      </w:tblGrid>
      <w:tr>
        <w:trPr>
          <w:cantSplit/>
          <w:tblHeader w:val="true"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设置区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怎么填写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示例及注意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核算账簿原值/编码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按NC导出“核算账簿”列的实际原值填写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样例为BOOK-HW；真实文件必须改为真实原值，不能沿用样例代码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对应独立法人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一行账簿对应一个正确法人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鸿旺账簿→鸿旺单体；两家下属独立法人分别配置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记账本位币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按该账簿实际CNY或USD选择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国内三家一般为CNY；不能依据某张美元交易凭证就改为USD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代表客户/供应商的辅助列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只勾选确实代表客商的辅助核算1—9，可多选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不要把部门、员工、产品等维度全部勾成内部客商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双方共同交易关联号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明确选择“结算号”或“核销号”，没有可靠字段时选“无可靠关联号，列为差异”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两方必须使用同一业务依据，不能仅因金额相等填同一号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辅助值映射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填选中辅助列内实际出现的代码/原值，映到内部法人或“明确为外部客商”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样例IC-HW→鸿旺；EXT→外部只是虚构约定</w:t>
            </w:r>
          </w:p>
        </w:tc>
      </w:tr>
      <w:tr>
        <w:trPr>
          <w:cantSplit/>
        </w:trPr>
        <w:tc>
          <w:tcPr>
            <w:tcW w:type="dxa" w:w="19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辅助列限定</w:t>
            </w:r>
          </w:p>
        </w:tc>
        <w:tc>
          <w:tcPr>
            <w:tcW w:type="dxa" w:w="39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同一代码在不同列有不同含义时指定辅助核算列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不区分列只用于真正相同含义的代码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用“新增账簿映射”“新增内部客商映射”添加行，“移除此行”只是在未保存表单中移除。点击“保存NC6.5适配”才保存。辅助客商识别列至少选择一个，不能用空设置假装已完成内部识别。</w:t>
      </w:r>
    </w:p>
    <w:p>
      <w:r>
        <w:rPr>
          <w:rFonts w:ascii="Arial" w:hAnsi="Arial" w:eastAsia="宋体"/>
          <w:b w:val="0"/>
          <w:i w:val="0"/>
        </w:rPr>
        <w:t>适配器规则只解释后续导入，不回头修改已经导入的规范化凭证。若发现先前选错辅助列或账簿映射，应先重开相关范围、取消旧NC批次，再按正确规则重导；只重新扫描匹配，不会重新解释旧批次。</w:t>
      </w:r>
    </w:p>
    <w:p>
      <w:r>
        <w:rPr>
          <w:rFonts w:ascii="Arial" w:hAnsi="Arial" w:eastAsia="宋体"/>
          <w:b w:val="0"/>
          <w:i w:val="0"/>
        </w:rPr>
        <w:t>用户确认的NC导出为48列，允许表头前导星号和空白，系统按以下作用分组读取：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3"/>
        <w:gridCol w:w="4570"/>
        <w:gridCol w:w="3533"/>
      </w:tblGrid>
      <w:tr>
        <w:trPr>
          <w:cantSplit/>
          <w:tblHeader w:val="true"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表头组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实际列名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本版用途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凭证身份与日期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核算账簿、凭证类别编码、凭证号、附单据数、制单人编码、制单日期、摘要、科目编码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账簿、年月、类别、号及凭证内行序构成唯一来源；附单据数/制单人原样保留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币种与借方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币种、原币借方金额、本币借方金额、集团本币借方金额、全局本币借方金额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只用本币借方入账，其他金额保留核对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数量及贷方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业务单元编码、单价、借方数量、贷方数量、原币贷方金额、本币贷方金额、集团本币贷方金额、全局本币贷方金额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只用本币贷方入账，数量等不自动变成预算或库存业务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关联与业务信息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结算号、结算日期、核销号、业务日期、银行账户、票据类型、结算方式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按设置读取共同关联号，其他原值留存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税务原字段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报税国家、收货国、交易代码、客户VAT注册码、供应商VAT注册码、税码、VAT方向、计税金额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用于原始记录核对，不表示已经实现相应税务申报规则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原导出汇率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组织本币汇率、集团本币汇率、全局本币汇率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原样保存，不重复折算法人本币借贷</w:t>
            </w:r>
          </w:p>
        </w:tc>
      </w:tr>
      <w:tr>
        <w:trPr>
          <w:cantSplit/>
        </w:trPr>
        <w:tc>
          <w:tcPr>
            <w:tcW w:type="dxa" w:w="13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辅助核算</w:t>
            </w:r>
          </w:p>
        </w:tc>
        <w:tc>
          <w:tcPr>
            <w:tcW w:type="dxa" w:w="457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辅助核算1、辅助核算2、辅助核算3、辅助核算4、辅助核算5、辅助核算6、辅助核算7、辅助核算8、辅助核算9</w:t>
            </w:r>
          </w:p>
        </w:tc>
        <w:tc>
          <w:tcPr>
            <w:tcW w:type="dxa" w:w="353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只有选定客商列和映射参与内部识别，其他维度原样保存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点击“下载NC6.5原表头样例”取得程序实际提供的同格式文件，核对原导出表头后再上真实文件。当前没有把未确认列按位置猜到记账字段的操作。</w:t>
      </w:r>
    </w:p>
    <w:p>
      <w:pPr>
        <w:pStyle w:val="Heading2"/>
      </w:pPr>
      <w:bookmarkStart w:id="24" w:name="epm_24"/>
      <w:r>
        <w:rPr>
          <w:rFonts w:ascii="Arial" w:hAnsi="Arial" w:eastAsia="宋体"/>
          <w:b w:val="0"/>
          <w:i w:val="0"/>
        </w:rPr>
        <w:t>6.5 同凭证空辅助值如何处理</w:t>
      </w:r>
      <w:bookmarkEnd w:id="24"/>
    </w:p>
    <w:p>
      <w:r>
        <w:rPr>
          <w:rFonts w:ascii="Arial" w:hAnsi="Arial" w:eastAsia="宋体"/>
          <w:b w:val="0"/>
          <w:i w:val="0"/>
        </w:rPr>
        <w:t>NC常见做法是在应收/应付行填客商和关联号，而收入/成本行留空。系统只在同一账簿、年月、类别及凭证号内，确认唯一客商、唯一共同关联号且没有未映射/冲突辅助值时，向原本为空的损益及往来行承接这一依据。</w:t>
      </w:r>
    </w:p>
    <w:p>
      <w:r>
        <w:rPr>
          <w:rFonts w:ascii="Arial" w:hAnsi="Arial" w:eastAsia="宋体"/>
          <w:b w:val="0"/>
          <w:i w:val="0"/>
        </w:rPr>
        <w:t xml:space="preserve">原NC字段不变，规范化行保留客商/关联号的推导依据及来源行。原始行详情可查看 </w:t>
      </w:r>
      <w:r>
        <w:rPr>
          <w:rFonts w:ascii="Consolas" w:hAnsi="Consolas" w:eastAsia="宋体"/>
          <w:b w:val="0"/>
          <w:i w:val="0"/>
          <w:sz w:val="18"/>
        </w:rPr>
        <w:t>counterpartyBasis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referenceBasis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derivedFromVoucherRows</w:t>
      </w:r>
      <w:r>
        <w:rPr>
          <w:rFonts w:ascii="Arial" w:hAnsi="Arial" w:eastAsia="宋体"/>
          <w:b w:val="0"/>
          <w:i w:val="0"/>
        </w:rPr>
        <w:t>。多客商、多关联号或内外部冲突时不任取，不跨凭证、跨账簿或跨月份传播；期初余额也不适用这种凭证内承接。</w:t>
      </w:r>
    </w:p>
    <w:p>
      <w:r>
        <w:rPr>
          <w:rFonts w:ascii="Arial" w:hAnsi="Arial" w:eastAsia="宋体"/>
          <w:b w:val="0"/>
          <w:i w:val="0"/>
        </w:rPr>
        <w:t>若一张凭证确实包含多个不同内部业务，请保留差异，提供按业务拆分的正确导出或逐行有依据补注。不要把整个凭证都标成第一个客商。</w:t>
      </w:r>
    </w:p>
    <w:p>
      <w:pPr>
        <w:pStyle w:val="Heading2"/>
      </w:pPr>
      <w:bookmarkStart w:id="25" w:name="epm_25"/>
      <w:r>
        <w:rPr>
          <w:rFonts w:ascii="Arial" w:hAnsi="Arial" w:eastAsia="宋体"/>
          <w:b w:val="0"/>
          <w:i w:val="0"/>
        </w:rPr>
        <w:t>6.6 普通NC文件流程第一步：重开并转入凭证模式</w:t>
      </w:r>
      <w:bookmarkEnd w:id="25"/>
    </w:p>
    <w:p>
      <w:r>
        <w:rPr>
          <w:rFonts w:ascii="Arial" w:hAnsi="Arial" w:eastAsia="宋体"/>
          <w:b w:val="0"/>
          <w:i w:val="0"/>
        </w:rPr>
        <w:t>这是正常文件导入流程，不需要使用“载入样例”快捷操作。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当前角色选集团财务负责人，顶部选择测试期间。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到“分级合并与结果”，选择鸿旺小合并，点“重新开启及祖先”，填写原因并确认；集团同时解锁并失效。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若本次文件还含海外法人，海外小合并也需要重开。只导鸿旺三家时不应无故重开不相关范围。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到“内部交易匹配与差异”，当前鸿旺层若出现“先确认本层转入凭证合并模式”，核对列出的初始化100抵销，点“确认停用本层预置交易抵销”，填写原因→“确认停用预置事项”。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集团层同理确认初始化50事项停用，不能遗漏父层。</w:t>
      </w:r>
    </w:p>
    <w:p>
      <w:pPr>
        <w:ind w:left="283" w:hanging="198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  <w:b w:val="0"/>
          <w:i w:val="0"/>
        </w:rPr>
        <w:t>检查投资权益950和用户自己维护的手工事项仍保留；转换只处理系统预置、当前层当前期的示例销售抵销。</w:t>
      </w:r>
    </w:p>
    <w:p>
      <w:r>
        <w:rPr>
          <w:rFonts w:ascii="Arial" w:hAnsi="Arial" w:eastAsia="宋体"/>
          <w:b w:val="0"/>
          <w:i w:val="0"/>
        </w:rPr>
        <w:t>原始初始化快照仍保留。转换不是删除全部手工凭证，也不会替你判断企业真实的其他手工调整是否重复；用户事项需要财务独立核对。普通导入后如果未转换，自动草稿生成会被拒绝，防止旧100/50与同源自动抵销重复扣减。</w:t>
      </w:r>
    </w:p>
    <w:p>
      <w:pPr>
        <w:pStyle w:val="Heading2"/>
      </w:pPr>
      <w:bookmarkStart w:id="26" w:name="epm_26"/>
      <w:r>
        <w:rPr>
          <w:rFonts w:ascii="Arial" w:hAnsi="Arial" w:eastAsia="宋体"/>
          <w:b w:val="0"/>
          <w:i w:val="0"/>
        </w:rPr>
        <w:t>6.7 导入科目映射</w:t>
      </w:r>
      <w:bookmarkEnd w:id="26"/>
    </w:p>
    <w:p>
      <w:r>
        <w:rPr>
          <w:rFonts w:ascii="Arial" w:hAnsi="Arial" w:eastAsia="宋体"/>
          <w:b w:val="0"/>
          <w:i w:val="0"/>
        </w:rPr>
        <w:t>入口：“ERP凭证与期初”→“①科目字段映射”→“下载科目映射样例”“选择文件并导入”。负责人操作。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法人编码,科目编码,科目名称,报表字段,余额方向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8"/>
        <w:gridCol w:w="3250"/>
        <w:gridCol w:w="4618"/>
      </w:tblGrid>
      <w:tr>
        <w:trPr>
          <w:cantSplit/>
          <w:tblHeader w:val="true"/>
        </w:trPr>
        <w:tc>
          <w:tcPr>
            <w:tcW w:type="dxa" w:w="15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</w:t>
            </w:r>
          </w:p>
        </w:tc>
        <w:tc>
          <w:tcPr>
            <w:tcW w:type="dxa" w:w="32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填写方法</w:t>
            </w:r>
          </w:p>
        </w:tc>
        <w:tc>
          <w:tcPr>
            <w:tcW w:type="dxa" w:w="46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5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32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使用对应法人档案业务编码或稳定ID</w:t>
            </w:r>
          </w:p>
        </w:tc>
        <w:tc>
          <w:tcPr>
            <w:tcW w:type="dxa" w:w="46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HW00或HW</w:t>
            </w:r>
          </w:p>
        </w:tc>
      </w:tr>
      <w:tr>
        <w:trPr>
          <w:cantSplit/>
        </w:trPr>
        <w:tc>
          <w:tcPr>
            <w:tcW w:type="dxa" w:w="15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</w:t>
            </w:r>
          </w:p>
        </w:tc>
        <w:tc>
          <w:tcPr>
            <w:tcW w:type="dxa" w:w="32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实际NC科目编码，完整文本，不截断辅助级次</w:t>
            </w:r>
          </w:p>
        </w:tc>
        <w:tc>
          <w:tcPr>
            <w:tcW w:type="dxa" w:w="46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600101</w:t>
            </w:r>
          </w:p>
        </w:tc>
      </w:tr>
      <w:tr>
        <w:trPr>
          <w:cantSplit/>
        </w:trPr>
        <w:tc>
          <w:tcPr>
            <w:tcW w:type="dxa" w:w="15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科目名称</w:t>
            </w:r>
          </w:p>
        </w:tc>
        <w:tc>
          <w:tcPr>
            <w:tcW w:type="dxa" w:w="32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实际名称，便于核对</w:t>
            </w:r>
          </w:p>
        </w:tc>
        <w:tc>
          <w:tcPr>
            <w:tcW w:type="dxa" w:w="46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营业收入</w:t>
            </w:r>
          </w:p>
        </w:tc>
      </w:tr>
      <w:tr>
        <w:trPr>
          <w:cantSplit/>
        </w:trPr>
        <w:tc>
          <w:tcPr>
            <w:tcW w:type="dxa" w:w="15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报表字段</w:t>
            </w:r>
          </w:p>
        </w:tc>
        <w:tc>
          <w:tcPr>
            <w:tcW w:type="dxa" w:w="32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固定技术键，按科目经济性质对应</w:t>
            </w:r>
          </w:p>
        </w:tc>
        <w:tc>
          <w:tcPr>
            <w:tcW w:type="dxa" w:w="46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revenue、cost、cash、receivable、payable等</w:t>
            </w:r>
          </w:p>
        </w:tc>
      </w:tr>
      <w:tr>
        <w:trPr>
          <w:cantSplit/>
        </w:trPr>
        <w:tc>
          <w:tcPr>
            <w:tcW w:type="dxa" w:w="15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余额方向</w:t>
            </w:r>
          </w:p>
        </w:tc>
        <w:tc>
          <w:tcPr>
            <w:tcW w:type="dxa" w:w="32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科目正常方向借/贷</w:t>
            </w:r>
          </w:p>
        </w:tc>
        <w:tc>
          <w:tcPr>
            <w:tcW w:type="dxa" w:w="46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营业收入为贷，营业成本为借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映射按“法人＋科目编码”唯一，不因不同法人使用相同科目号就互相覆盖。三家科目不一致时逐家映射；ERP科目映射与原“科目与维度”集团科目目录不同，不是只修改集团科目名称就能完成ERP编码归集。</w:t>
      </w:r>
    </w:p>
    <w:p>
      <w:r>
        <w:rPr>
          <w:rFonts w:ascii="Arial" w:hAnsi="Arial" w:eastAsia="宋体"/>
          <w:b w:val="0"/>
          <w:i w:val="0"/>
        </w:rPr>
        <w:t>上传CSV或XLSX，核对文件名后“整批校验并导入”。通用列名不同时，可展开“列名映射”填实际列名；NC48凭证使用NC适配，不把其原币列映到本币列。同批重复、未知报表字段等会整批拒绝。重导同法人科目映射会保存新版本并使旧映射停用，相关生成源和合并结果需要重算。</w:t>
      </w:r>
    </w:p>
    <w:p>
      <w:pPr>
        <w:pStyle w:val="Heading2"/>
      </w:pPr>
      <w:bookmarkStart w:id="27" w:name="epm_27"/>
      <w:r>
        <w:rPr>
          <w:rFonts w:ascii="Arial" w:hAnsi="Arial" w:eastAsia="宋体"/>
          <w:b w:val="0"/>
          <w:i w:val="0"/>
        </w:rPr>
        <w:t>6.8 导入年初余额</w:t>
      </w:r>
      <w:bookmarkEnd w:id="27"/>
    </w:p>
    <w:p>
      <w:r>
        <w:rPr>
          <w:rFonts w:ascii="Arial" w:hAnsi="Arial" w:eastAsia="宋体"/>
          <w:b w:val="0"/>
          <w:i w:val="0"/>
        </w:rPr>
        <w:t>入口“②年初科目余额”→“选择文件并导入”。表头为：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法人编码,会计年度,科目编码,币种,期初借方余额,期初贷方余额,内部往来对方,交易关联号,期初人民币留存收益</w:t>
      </w:r>
    </w:p>
    <w:p>
      <w:pPr>
        <w:spacing w:after="20"/>
      </w:pPr>
    </w:p>
    <w:p>
      <w:r>
        <w:rPr>
          <w:rFonts w:ascii="Arial" w:hAnsi="Arial" w:eastAsia="宋体"/>
          <w:b w:val="0"/>
          <w:i w:val="0"/>
        </w:rPr>
        <w:t>填写2026年初余额，币种必须等于该法人的本位币。期初借/贷为余额，不是本期发生额；每家完整期初借贷合计须相等，损益科目期初为零。内部应收应付同一个总账科目可按对方与关联号拆多行，不能只有科目总额却指望系统准确分配给内部各方。</w:t>
      </w:r>
    </w:p>
    <w:p>
      <w:r>
        <w:rPr>
          <w:rFonts w:ascii="Arial" w:hAnsi="Arial" w:eastAsia="宋体"/>
          <w:b w:val="0"/>
          <w:i w:val="0"/>
        </w:rPr>
        <w:t>“内部往来对方”是明确的内部法人或明确外部标识；“交易关联号”须能与对方同一余额核对。海外USD期初留存收益非零时，在映射为留存收益retained的相应期初行，“期初人民币留存收益”填写已确认历史人民币值；金额单位与该期初文件选择一致，元文件填人民币元、万元文件填人民币万元，不能临时套期末率补差。其他不适用行留空，不能把同一历史留存金额复制到每一行重复录入。</w:t>
      </w:r>
    </w:p>
    <w:p>
      <w:r>
        <w:rPr>
          <w:rFonts w:ascii="Arial" w:hAnsi="Arial" w:eastAsia="宋体"/>
          <w:b w:val="0"/>
          <w:i w:val="0"/>
        </w:rPr>
        <w:t>界面“文件内本币金额单位”选择真实单位元/万元。期初和凭证单位要分别确认，不能因为报表用万元就把元文件选万元。重复有效期初组合会被拒绝，先取消错误旧批次再更正，不叠加两份完整期初。</w:t>
      </w:r>
    </w:p>
    <w:p>
      <w:pPr>
        <w:pStyle w:val="Heading2"/>
      </w:pPr>
      <w:bookmarkStart w:id="28" w:name="epm_28"/>
      <w:r>
        <w:rPr>
          <w:rFonts w:ascii="Arial" w:hAnsi="Arial" w:eastAsia="宋体"/>
          <w:b w:val="0"/>
          <w:i w:val="0"/>
        </w:rPr>
        <w:t>6.9 导入NC6.5凭证或通用凭证</w:t>
      </w:r>
      <w:bookmarkEnd w:id="28"/>
    </w:p>
    <w:p>
      <w:r>
        <w:rPr>
          <w:rFonts w:ascii="Arial" w:hAnsi="Arial" w:eastAsia="宋体"/>
          <w:b w:val="0"/>
          <w:i w:val="0"/>
        </w:rPr>
        <w:t>NC入口：“ERP凭证与期初”→“导入NC6.5凭证”。通用入口为“③完整已记账凭证”→“选择文件并导入”。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 xml:space="preserve">选择CSV或XLSX。旧 </w:t>
      </w:r>
      <w:r>
        <w:rPr>
          <w:rFonts w:ascii="Consolas" w:hAnsi="Consolas" w:eastAsia="宋体"/>
          <w:b w:val="0"/>
          <w:i w:val="0"/>
          <w:sz w:val="18"/>
        </w:rPr>
        <w:t>.xls</w:t>
      </w:r>
      <w:r>
        <w:rPr>
          <w:rFonts w:ascii="Arial" w:hAnsi="Arial" w:eastAsia="宋体"/>
          <w:b w:val="0"/>
          <w:i w:val="0"/>
        </w:rPr>
        <w:t xml:space="preserve"> 请在WPS/Excel另存为 </w:t>
      </w:r>
      <w:r>
        <w:rPr>
          <w:rFonts w:ascii="Consolas" w:hAnsi="Consolas" w:eastAsia="宋体"/>
          <w:b w:val="0"/>
          <w:i w:val="0"/>
          <w:sz w:val="18"/>
        </w:rPr>
        <w:t>.xlsx</w:t>
      </w:r>
      <w:r>
        <w:rPr>
          <w:rFonts w:ascii="Arial" w:hAnsi="Arial" w:eastAsia="宋体"/>
          <w:b w:val="0"/>
          <w:i w:val="0"/>
        </w:rPr>
        <w:t xml:space="preserve"> 或UTF-8 CSV，不能只改文件扩展名。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确认来源文件名、金额单位。CSV乱码时选择GB18030后重新读取；正常UTF-8不必改。XLSX工作表名可指定，留空读取首表。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查看CSV内容或XLSX文件摘要，确认期间和账簿正确。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勾选“我确认凭证文件仅包含已记账业务数据……”后点“整批校验并导入”。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检查批次和原行数，打开“查看原始行”核对关键凭证、原文件行号及NC原字段。</w:t>
      </w:r>
    </w:p>
    <w:p>
      <w:r>
        <w:rPr>
          <w:rFonts w:ascii="Arial" w:hAnsi="Arial" w:eastAsia="宋体"/>
          <w:b w:val="0"/>
          <w:i w:val="0"/>
        </w:rPr>
        <w:t>上传单文件上限为8000000字节，以页面显示及服务器校验为准。XLSX只读文件值，不执行公式、宏和外链；需要参与账务的单元格应提供正确导出值。大文件应按完整凭证分批，不能把同一凭证借方和贷方拆到两个尚不平衡的批次。</w:t>
      </w:r>
    </w:p>
    <w:p>
      <w:r>
        <w:rPr>
          <w:rFonts w:ascii="Arial" w:hAnsi="Arial" w:eastAsia="宋体"/>
          <w:b w:val="0"/>
          <w:i w:val="0"/>
        </w:rPr>
        <w:t>NC没有独立分录行号时，系统按同凭证文件行顺序生成规范化行号，同时保留原文件行号。同账簿、年月、类别、凭证号、行序重复会整批拒绝；凭证号跨月重号不应错误合成同一凭证。每张凭证借贷须相等，缺科目映射、不平衡或格式错误不能部分导入。</w:t>
      </w:r>
    </w:p>
    <w:p>
      <w:r>
        <w:rPr>
          <w:rFonts w:ascii="Arial" w:hAnsi="Arial" w:eastAsia="宋体"/>
          <w:b w:val="0"/>
          <w:i w:val="0"/>
        </w:rPr>
        <w:t>通用凭证表头为：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法人编码,凭证日期,凭证类别,凭证号,分录序号,科目编码,借方金额,贷方金额,币种,摘要,内部往来对方,交易关联号,内部交易类型,现金流类别,凭证类型</w:t>
      </w:r>
    </w:p>
    <w:p>
      <w:pPr>
        <w:spacing w:after="20"/>
      </w:pPr>
    </w:p>
    <w:p>
      <w:r>
        <w:rPr>
          <w:rFonts w:ascii="Arial" w:hAnsi="Arial" w:eastAsia="宋体"/>
          <w:b w:val="0"/>
          <w:i w:val="0"/>
        </w:rPr>
        <w:t>通用“币种”为法人本位币，“内部交易类型”填内部销售sales、内部成本cost、内部应收receivable、内部应付payable等明确类别；现金流类别只填在现金科目行，取经营/投资/筹资。凭证类型为业务或损益结转。NC原表无这些通用列时不要求擅自增加金额列，按NC适配与有依据的核对补注处理。</w:t>
      </w:r>
    </w:p>
    <w:p>
      <w:r>
        <w:rPr>
          <w:rFonts w:ascii="Arial" w:hAnsi="Arial" w:eastAsia="宋体"/>
          <w:b w:val="0"/>
          <w:i w:val="0"/>
        </w:rPr>
        <w:t>系统识别的损益结转凭证须整凭证平衡且只含损益及留存类，才从管理报表计算口径排除，原记录和排除依据保留，避免损益清零或重复结转。若误把包含资产、负债或资本科目的凭证标为损益结转，会明确拒绝生成；不要用改变摘要方式隐藏错误账务。</w:t>
      </w:r>
    </w:p>
    <w:p>
      <w:pPr>
        <w:pStyle w:val="Heading2"/>
      </w:pPr>
      <w:bookmarkStart w:id="29" w:name="epm_29"/>
      <w:r>
        <w:rPr>
          <w:rFonts w:ascii="Arial" w:hAnsi="Arial" w:eastAsia="宋体"/>
          <w:b w:val="0"/>
          <w:i w:val="0"/>
        </w:rPr>
        <w:t>6.10 生成单体三表并核对</w:t>
      </w:r>
      <w:bookmarkEnd w:id="29"/>
    </w:p>
    <w:p>
      <w:r>
        <w:rPr>
          <w:rFonts w:ascii="Arial" w:hAnsi="Arial" w:eastAsia="宋体"/>
          <w:b w:val="0"/>
          <w:i w:val="0"/>
        </w:rPr>
        <w:t>入口：“法人凭证与三表”。本页“独立法人”下拉用于选择法人；顶部“合并单元”仍控制匹配、补注与上卷范围。两者不是同一控件。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选择法人，点“生成当前法人三表源”；多家准备齐可点“生成全部已导入法人”。该按钮会处理所有有效期初/凭证涉及法人，不只当前鸿旺三家。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核对收入、净利润、期末现金、源版本及校验。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切换利润表、资产负债表、现金流量表、科目试算余额四个页签。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试算余额按元显示期初借贷、本期借贷、期末借贷；报表按本位币万元最多六位显示。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点击项目“追溯原始凭证”，或试算行“原始凭证行”，核对所归集科目、原行和期初依据。</w:t>
      </w:r>
    </w:p>
    <w:p>
      <w:r>
        <w:rPr>
          <w:rFonts w:ascii="Arial" w:hAnsi="Arial" w:eastAsia="宋体"/>
          <w:b w:val="0"/>
          <w:i w:val="0"/>
        </w:rPr>
        <w:t>系统按期初和截至当前月完整凭证生成六区财务源、各月发生额及完整来源快照，并递增法人源版本。数据不平、现金流待分类、历史权益资料不足时拒绝，不把现金差额倒挤为经营现金流。</w:t>
      </w:r>
    </w:p>
    <w:p>
      <w:r>
        <w:rPr>
          <w:rFonts w:ascii="Arial" w:hAnsi="Arial" w:eastAsia="宋体"/>
          <w:b w:val="0"/>
          <w:i w:val="0"/>
        </w:rPr>
        <w:t>新生成源带ERP血缘。在原“财务三表报送”点“编辑三表”时会提示不能手工覆盖，并提供“进入ERP凭证工作台”。该限制防止原凭证未变却手改报表破坏追溯；修改应从批次、映射、期初或允许补注的核对信息开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85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凭证生成法人三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8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  图6-2 凭证生成法人三表</w:t>
      </w:r>
    </w:p>
    <w:p>
      <w:r>
        <w:rPr>
          <w:rFonts w:ascii="Arial" w:hAnsi="Arial" w:eastAsia="宋体"/>
          <w:b w:val="0"/>
          <w:i w:val="0"/>
        </w:rPr>
        <w:t>图6-2展示本版凭证源与法人三表入口，操作以当前选择的法人、期间和本位币为准。</w:t>
      </w:r>
    </w:p>
    <w:p>
      <w:pPr>
        <w:pStyle w:val="Heading2"/>
      </w:pPr>
      <w:bookmarkStart w:id="30" w:name="epm_30"/>
      <w:r>
        <w:rPr>
          <w:rFonts w:ascii="Arial" w:hAnsi="Arial" w:eastAsia="宋体"/>
          <w:b w:val="0"/>
          <w:i w:val="0"/>
        </w:rPr>
        <w:t>6.11 现金流无法分类时怎样恢复</w:t>
      </w:r>
      <w:bookmarkEnd w:id="30"/>
    </w:p>
    <w:p>
      <w:r>
        <w:rPr>
          <w:rFonts w:ascii="Arial" w:hAnsi="Arial" w:eastAsia="宋体"/>
          <w:b w:val="0"/>
          <w:i w:val="0"/>
        </w:rPr>
        <w:t>NC没有直接现金流类别列。仅在对方科目能唯一判断经营/投资/筹资时，系统可以据此归类并保留依据；复合凭证同时含多种活动、信息不全时不会猜测。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从“查看该法人原凭证”找到现金科目行。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确认顶部范围包含该法人、期间覆盖该行，且相关签核已重开。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点该行“补充核对信息”，勾选“更新此现金行的现金流分类”。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选择经营、投资或筹资，填写“核对原因与依据”，点“保存核对标注”。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重新生成法人三表并核对，再重新匹配、审批、合并。</w:t>
      </w:r>
    </w:p>
    <w:p>
      <w:r>
        <w:rPr>
          <w:rFonts w:ascii="Arial" w:hAnsi="Arial" w:eastAsia="宋体"/>
          <w:b w:val="0"/>
          <w:i w:val="0"/>
        </w:rPr>
        <w:t>只能在映射为货币资金cash的行补现金流分类，不能在收入行填经营现金流替代现金行分类。选“清除标注，交规则重新判断”会清除人工现金分类，不保证信息不足的问题自动解决。</w:t>
      </w:r>
    </w:p>
    <w:p>
      <w:pPr>
        <w:pStyle w:val="Heading2"/>
      </w:pPr>
      <w:bookmarkStart w:id="31" w:name="epm_31"/>
      <w:r>
        <w:rPr>
          <w:rFonts w:ascii="Arial" w:hAnsi="Arial" w:eastAsia="宋体"/>
          <w:b w:val="0"/>
          <w:i w:val="0"/>
        </w:rPr>
        <w:t>6.12 鸿旺层扫描、差异与自动草稿</w:t>
      </w:r>
      <w:bookmarkEnd w:id="31"/>
    </w:p>
    <w:p>
      <w:r>
        <w:rPr>
          <w:rFonts w:ascii="Arial" w:hAnsi="Arial" w:eastAsia="宋体"/>
          <w:b w:val="0"/>
          <w:i w:val="0"/>
        </w:rPr>
        <w:t>顶部选择“鸿旺小合并”，进入“内部交易匹配与差异”，点“扫描本层内部交易”。</w:t>
      </w:r>
    </w:p>
    <w:p>
      <w:r>
        <w:rPr>
          <w:rFonts w:ascii="Arial" w:hAnsi="Arial" w:eastAsia="宋体"/>
          <w:b w:val="0"/>
          <w:i w:val="0"/>
        </w:rPr>
        <w:t>准确匹配要求双方、共同关联号、月份、币种和交易类型满足规则。收入/成本逐月等额形成销售抵销；内部应收/应付期初及期末余额按相同对方与关联号核对后形成余额抵销。下层内部事项只出现在最低共同层，集团不会再重复生成同一鸿旺内部事项。</w:t>
      </w:r>
    </w:p>
    <w:p>
      <w:r>
        <w:rPr>
          <w:rFonts w:ascii="Arial" w:hAnsi="Arial" w:eastAsia="宋体"/>
          <w:b w:val="0"/>
          <w:i w:val="0"/>
        </w:rPr>
        <w:t>页面分为“可生成的匹配项”“未匹配或金额差异”“本期生成的自动抵销”。先逐项“查看双方凭证”或“追到原始凭证”核对，不以“相符数多”代替财务核验。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确认匹配版本属于当前范围和期间，且未失效。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核清全部差异；正式计算不会忽略未解决差异。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勾选尚未生成的准确事项，点“准确匹配项生成抵销草稿”。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同一有效匹配版本重复生成不会再多扣一次；已生成行显示对应草稿号。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草稿状态还没有进入合并，继续由负责人审批。</w:t>
      </w:r>
    </w:p>
    <w:p>
      <w:r>
        <w:rPr>
          <w:rFonts w:ascii="Arial" w:hAnsi="Arial" w:eastAsia="宋体"/>
          <w:b w:val="0"/>
          <w:i w:val="0"/>
        </w:rPr>
        <w:t>销售草稿实际分录为借收入、贷成本；余额草稿为借应付、贷应收，并分别处理有依据的期初及期末。草稿包含原始凭证引用、来源匹配和会计效果，不会写回NC。</w:t>
      </w:r>
    </w:p>
    <w:p>
      <w:pPr>
        <w:pStyle w:val="Heading2"/>
      </w:pPr>
      <w:bookmarkStart w:id="32" w:name="epm_32"/>
      <w:r>
        <w:rPr>
          <w:rFonts w:ascii="Arial" w:hAnsi="Arial" w:eastAsia="宋体"/>
          <w:b w:val="0"/>
          <w:i w:val="0"/>
        </w:rPr>
        <w:t>6.13 经理审批、鸿旺签核与集团上卷</w:t>
      </w:r>
      <w:bookmarkEnd w:id="32"/>
    </w:p>
    <w:p>
      <w:r>
        <w:rPr>
          <w:rFonts w:ascii="Arial" w:hAnsi="Arial" w:eastAsia="宋体"/>
          <w:b w:val="0"/>
          <w:i w:val="0"/>
        </w:rPr>
        <w:t>在鸿旺层点“审批本层自动抵销草稿”，负责人核对本层本期草稿，填必填审批原因→“确认批量审批”。服务端逐张调用正式审批校验，任一失败整批不提交；该按钮不批改用户其他手工事项。</w:t>
      </w:r>
    </w:p>
    <w:p>
      <w:r>
        <w:rPr>
          <w:rFonts w:ascii="Arial" w:hAnsi="Arial" w:eastAsia="宋体"/>
          <w:b w:val="0"/>
          <w:i w:val="0"/>
        </w:rPr>
        <w:t>随后到“分级合并与结果”，确认凭证三表版本、匹配版本、差异、自动抵销及子结果前置全部通过，点“计算本层新版本”→“签核当前结果”→“确认签核”。</w:t>
      </w:r>
    </w:p>
    <w:p>
      <w:r>
        <w:rPr>
          <w:rFonts w:ascii="Arial" w:hAnsi="Arial" w:eastAsia="宋体"/>
          <w:b w:val="0"/>
          <w:i w:val="0"/>
        </w:rPr>
        <w:t>再切集团，重复“扫描本层内部交易”→处理集团跨范围差异→“准确匹配项生成抵销草稿”→负责人批量审批→集团计算并签核。集团直接输入引用的是刚才鸿旺有效签核结果，而不是把三家单体重复纳入。</w:t>
      </w:r>
    </w:p>
    <w:p>
      <w:r>
        <w:rPr>
          <w:rFonts w:ascii="Arial" w:hAnsi="Arial" w:eastAsia="宋体"/>
          <w:b w:val="0"/>
          <w:i w:val="0"/>
        </w:rPr>
        <w:t>海外仍按USD小合并后上卷CNY分类折算；如已导入海外凭证，须先生成其法人源、完成适用匹配和USD小合并签核。不同本位币法人之间的自动内部抵销本轮不支持倒挤汇兑差额，应列差异并按正式会计方案另行适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850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C缺共同号差异与待核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8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3  图6-3 共同关联号缺失时的差异</w:t>
      </w:r>
    </w:p>
    <w:p>
      <w:r>
        <w:rPr>
          <w:rFonts w:ascii="Arial" w:hAnsi="Arial" w:eastAsia="宋体"/>
          <w:b w:val="0"/>
          <w:i w:val="0"/>
        </w:rPr>
        <w:t>图6-3展示缺少共同关联号时的待核对状态。关联信息核实并补注后，仍须重新生成单体、匹配、审批和计算，不会仅因关闭提示而消除差异。</w:t>
      </w:r>
    </w:p>
    <w:p>
      <w:pPr>
        <w:pStyle w:val="Heading2"/>
      </w:pPr>
      <w:bookmarkStart w:id="33" w:name="epm_33"/>
      <w:r>
        <w:rPr>
          <w:rFonts w:ascii="Arial" w:hAnsi="Arial" w:eastAsia="宋体"/>
          <w:b w:val="0"/>
          <w:i w:val="0"/>
        </w:rPr>
        <w:t>6.14 差异补注与金额纠错的区别</w:t>
      </w:r>
      <w:bookmarkEnd w:id="3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4234"/>
        <w:gridCol w:w="2952"/>
      </w:tblGrid>
      <w:tr>
        <w:trPr>
          <w:cantSplit/>
          <w:tblHeader w:val="true"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差异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可以怎样处理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不能怎样做</w:t>
            </w:r>
          </w:p>
        </w:tc>
      </w:tr>
      <w:tr>
        <w:trPr>
          <w:cantSplit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缺共同关联号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查双方真实结算/核销依据，在相关规范化行补相同关联号，或修原文件重导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不能因金额相同随便编一个共同号</w:t>
            </w:r>
          </w:p>
        </w:tc>
      </w:tr>
      <w:tr>
        <w:trPr>
          <w:cantSplit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客商未知或冲突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核对辅助列及代码；修适配后重导，或逐行有依据补注明确内部/外部对方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不能把未知客商一律设为外部逃避差异</w:t>
            </w:r>
          </w:p>
        </w:tc>
      </w:tr>
      <w:tr>
        <w:trPr>
          <w:cantSplit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现金流待分类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只在现金行补经营/投资/筹资及原因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不能在非现金行写分类，不能以现金差倒挤</w:t>
            </w:r>
          </w:p>
        </w:tc>
      </w:tr>
      <w:tr>
        <w:trPr>
          <w:cantSplit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借贷金额不同或漏账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回NC核对并更正完整凭证，取消旧批次后重导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不能在补注中改金额、日期、科目或原字段</w:t>
            </w:r>
          </w:p>
        </w:tc>
      </w:tr>
      <w:tr>
        <w:trPr>
          <w:cantSplit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跨月、跨币或负向内部事项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保留差异，核对期间/币种及正式处理方案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不能把月份或币种改到能匹配为止</w:t>
            </w:r>
          </w:p>
        </w:tc>
      </w:tr>
      <w:tr>
        <w:trPr>
          <w:cantSplit/>
        </w:trPr>
        <w:tc>
          <w:tcPr>
            <w:tcW w:type="dxa" w:w="22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期初往来只有总额</w:t>
            </w:r>
          </w:p>
        </w:tc>
        <w:tc>
          <w:tcPr>
            <w:tcW w:type="dxa" w:w="42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取得按对方和关联号拆分的真实期初辅助余额，重导正确期初</w:t>
            </w:r>
          </w:p>
        </w:tc>
        <w:tc>
          <w:tcPr>
            <w:tcW w:type="dxa" w:w="29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不能把余额总额任意按比例分给内部法人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补注入口在差异详情的原始行或“查看该法人原凭证”行“补充核对信息”。每项更改先勾选对应“更新……”复选框，再填明确对方、共同关联号或现金行分类，并填写必填原因。未勾选的项不保存；至少选择一项。原NC字段、日期、科目、借贷金额及文件行号始终不改。</w:t>
      </w:r>
    </w:p>
    <w:p>
      <w:r>
        <w:rPr>
          <w:rFonts w:ascii="Arial" w:hAnsi="Arial" w:eastAsia="宋体"/>
          <w:b w:val="0"/>
          <w:i w:val="0"/>
        </w:rPr>
        <w:t>补注只作用于当前点选行。同一业务涉及双方多个损益/往来行时，应按依据逐行补全，或在源文件中统一修正再重导，不能假定改一个备注就改了整张凭证。保存后可查看标注前/后、时间、操作者和原因；旧历史快照保留原值。</w:t>
      </w:r>
    </w:p>
    <w:p>
      <w:r>
        <w:rPr>
          <w:rFonts w:ascii="Arial" w:hAnsi="Arial" w:eastAsia="宋体"/>
          <w:b w:val="0"/>
          <w:i w:val="0"/>
        </w:rPr>
        <w:t>补注会使当前相关源、匹配、自动抵销和结果失效。恢复顺序为：重新生成受影响法人三表→重新扫描对应最低共同层→生成新版本草稿→负责人审批→小合并签核→集团匹配及签核。仅刷新页面不会把旧匹配重新变成有效。</w:t>
      </w:r>
    </w:p>
    <w:p>
      <w:pPr>
        <w:pStyle w:val="Heading2"/>
      </w:pPr>
      <w:bookmarkStart w:id="34" w:name="epm_34"/>
      <w:r>
        <w:rPr>
          <w:rFonts w:ascii="Arial" w:hAnsi="Arial" w:eastAsia="宋体"/>
          <w:b w:val="0"/>
          <w:i w:val="0"/>
        </w:rPr>
        <w:t>6.15 批次取消与重导</w:t>
      </w:r>
      <w:bookmarkEnd w:id="34"/>
    </w:p>
    <w:p>
      <w:r>
        <w:rPr>
          <w:rFonts w:ascii="Arial" w:hAnsi="Arial" w:eastAsia="宋体"/>
          <w:b w:val="0"/>
          <w:i w:val="0"/>
        </w:rPr>
        <w:t>导入批次行“查看原始行”可读原文件、类型、状态、行数及元数据。“取消批次”由负责人填写原因并确认；后端停用该批次及其有效行，保留记录和历史快照。</w:t>
      </w:r>
    </w:p>
    <w:p>
      <w:r>
        <w:rPr>
          <w:rFonts w:ascii="Arial" w:hAnsi="Arial" w:eastAsia="宋体"/>
          <w:b w:val="0"/>
          <w:i w:val="0"/>
        </w:rPr>
        <w:t>金额或原字段需要修正时，先在NC更正并重新导出完整平衡凭证；重开受影响的签核范围，取消错误旧批次，再导入新文件。重复导入相同有效凭证行会被拒绝，不会作为差额追加。</w:t>
      </w:r>
    </w:p>
    <w:p>
      <w:r>
        <w:rPr>
          <w:rFonts w:ascii="Arial" w:hAnsi="Arial" w:eastAsia="宋体"/>
          <w:b w:val="0"/>
          <w:i w:val="0"/>
        </w:rPr>
        <w:t>取消映射、期初或凭证批次都可能使源和匹配失效。取消不是撤销已经发布的历史签核快照，也不会自动重新生成三表。已停用批次不可继续当有效来源；先确保有效映射、期初和完整凭证齐全，再重新生成。</w:t>
      </w:r>
    </w:p>
    <w:p>
      <w:pPr>
        <w:pStyle w:val="Heading2"/>
      </w:pPr>
      <w:bookmarkStart w:id="35" w:name="epm_35"/>
      <w:r>
        <w:rPr>
          <w:rFonts w:ascii="Arial" w:hAnsi="Arial" w:eastAsia="宋体"/>
          <w:b w:val="0"/>
          <w:i w:val="0"/>
        </w:rPr>
        <w:t>6.16 报表、差异和历史版本如何追到原凭证</w:t>
      </w:r>
      <w:bookmarkEnd w:id="3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3635"/>
        <w:gridCol w:w="4050"/>
      </w:tblGrid>
      <w:tr>
        <w:trPr>
          <w:cantSplit/>
          <w:tblHeader w:val="true"/>
        </w:trPr>
        <w:tc>
          <w:tcPr>
            <w:tcW w:type="dxa" w:w="17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起点</w:t>
            </w:r>
          </w:p>
        </w:tc>
        <w:tc>
          <w:tcPr>
            <w:tcW w:type="dxa" w:w="3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路径</w:t>
            </w:r>
          </w:p>
        </w:tc>
        <w:tc>
          <w:tcPr>
            <w:tcW w:type="dxa" w:w="4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看什么</w:t>
            </w:r>
          </w:p>
        </w:tc>
      </w:tr>
      <w:tr>
        <w:trPr>
          <w:cantSplit/>
        </w:trPr>
        <w:tc>
          <w:tcPr>
            <w:tcW w:type="dxa" w:w="17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法人报表项目</w:t>
            </w:r>
          </w:p>
        </w:tc>
        <w:tc>
          <w:tcPr>
            <w:tcW w:type="dxa" w:w="3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“法人凭证与三表”→某项目“追溯原始凭证”</w:t>
            </w:r>
          </w:p>
        </w:tc>
        <w:tc>
          <w:tcPr>
            <w:tcW w:type="dxa" w:w="4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该字段实际归因分录、期初行、源版本和公式</w:t>
            </w:r>
          </w:p>
        </w:tc>
      </w:tr>
      <w:tr>
        <w:trPr>
          <w:cantSplit/>
        </w:trPr>
        <w:tc>
          <w:tcPr>
            <w:tcW w:type="dxa" w:w="17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科目试算</w:t>
            </w:r>
          </w:p>
        </w:tc>
        <w:tc>
          <w:tcPr>
            <w:tcW w:type="dxa" w:w="3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“科目试算余额”→“原始凭证行”</w:t>
            </w:r>
          </w:p>
        </w:tc>
        <w:tc>
          <w:tcPr>
            <w:tcW w:type="dxa" w:w="4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该科目全部相关原分录，金额元两位</w:t>
            </w:r>
          </w:p>
        </w:tc>
      </w:tr>
      <w:tr>
        <w:trPr>
          <w:cantSplit/>
        </w:trPr>
        <w:tc>
          <w:tcPr>
            <w:tcW w:type="dxa" w:w="17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匹配/差异</w:t>
            </w:r>
          </w:p>
        </w:tc>
        <w:tc>
          <w:tcPr>
            <w:tcW w:type="dxa" w:w="3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“查看双方凭证”或“追到原始凭证”</w:t>
            </w:r>
          </w:p>
        </w:tc>
        <w:tc>
          <w:tcPr>
            <w:tcW w:type="dxa" w:w="4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双方凭证号、原行号、科目、借贷、客商及关联号</w:t>
            </w:r>
          </w:p>
        </w:tc>
      </w:tr>
      <w:tr>
        <w:trPr>
          <w:cantSplit/>
        </w:trPr>
        <w:tc>
          <w:tcPr>
            <w:tcW w:type="dxa" w:w="17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原始行</w:t>
            </w:r>
          </w:p>
        </w:tc>
        <w:tc>
          <w:tcPr>
            <w:tcW w:type="dxa" w:w="3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“查看NC原字段/来源”</w:t>
            </w:r>
          </w:p>
        </w:tc>
        <w:tc>
          <w:tcPr>
            <w:tcW w:type="dxa" w:w="4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原48字段及规范化值、辅助承接与人工补注依据</w:t>
            </w:r>
          </w:p>
        </w:tc>
      </w:tr>
      <w:tr>
        <w:trPr>
          <w:cantSplit/>
        </w:trPr>
        <w:tc>
          <w:tcPr>
            <w:tcW w:type="dxa" w:w="17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历史集团结果</w:t>
            </w:r>
          </w:p>
        </w:tc>
        <w:tc>
          <w:tcPr>
            <w:tcW w:type="dxa" w:w="3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结果历史→源版本追溯→ERP凭证来源</w:t>
            </w:r>
          </w:p>
        </w:tc>
        <w:tc>
          <w:tcPr>
            <w:tcW w:type="dxa" w:w="4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该结果冻结的期初/原凭证/映射快照，不跳到最新导入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原始凭证列表用于查看按法人/科目筛选的已导入行，可包含其他已导入月份或标为停用的历史行；不能把整张列表全部视作本期有效归因。当前报表真正使用的期间、有效行和历史版本以字段追溯的源快照为准。</w:t>
      </w:r>
    </w:p>
    <w:p>
      <w:r>
        <w:rPr>
          <w:rFonts w:ascii="Arial" w:hAnsi="Arial" w:eastAsia="宋体"/>
          <w:b w:val="0"/>
          <w:i w:val="0"/>
        </w:rPr>
        <w:t xml:space="preserve">字段追溯弹窗中展开“期初、公式与完整来源证据”，区分 </w:t>
      </w:r>
      <w:r>
        <w:rPr>
          <w:rFonts w:ascii="Consolas" w:hAnsi="Consolas" w:eastAsia="宋体"/>
          <w:b w:val="0"/>
          <w:i w:val="0"/>
          <w:sz w:val="18"/>
        </w:rPr>
        <w:t>rows</w:t>
      </w:r>
      <w:r>
        <w:rPr>
          <w:rFonts w:ascii="Arial" w:hAnsi="Arial" w:eastAsia="宋体"/>
          <w:b w:val="0"/>
          <w:i w:val="0"/>
        </w:rPr>
        <w:t>（真正归属于该字段的行）、</w:t>
      </w:r>
      <w:r>
        <w:rPr>
          <w:rFonts w:ascii="Consolas" w:hAnsi="Consolas" w:eastAsia="宋体"/>
          <w:b w:val="0"/>
          <w:i w:val="0"/>
          <w:sz w:val="18"/>
        </w:rPr>
        <w:t>openingRows</w:t>
      </w:r>
      <w:r>
        <w:rPr>
          <w:rFonts w:ascii="Arial" w:hAnsi="Arial" w:eastAsia="宋体"/>
          <w:b w:val="0"/>
          <w:i w:val="0"/>
        </w:rPr>
        <w:t xml:space="preserve">（期初）和 </w:t>
      </w:r>
      <w:r>
        <w:rPr>
          <w:rFonts w:ascii="Consolas" w:hAnsi="Consolas" w:eastAsia="宋体"/>
          <w:b w:val="0"/>
          <w:i w:val="0"/>
          <w:sz w:val="18"/>
        </w:rPr>
        <w:t>relatedVoucherRows</w:t>
      </w:r>
      <w:r>
        <w:rPr>
          <w:rFonts w:ascii="Arial" w:hAnsi="Arial" w:eastAsia="宋体"/>
          <w:b w:val="0"/>
          <w:i w:val="0"/>
        </w:rPr>
        <w:t>（另列同凭证完整借贷）。同凭证完整借贷用于理解业务，不等于每一行都归属于所点击报表项目。</w:t>
      </w:r>
    </w:p>
    <w:p>
      <w:r>
        <w:rPr>
          <w:rFonts w:ascii="Arial" w:hAnsi="Arial" w:eastAsia="宋体"/>
          <w:b w:val="0"/>
          <w:i w:val="0"/>
        </w:rPr>
        <w:t>“导出此字段来源”“导出当前凭证证据”“导出批次信息”保存JSON证据；当前原凭证列表页面显示前300行，导出包含筛选的全部行。历史源无ERP血缘时会明确提示无法追到凭证，不假装显示零凭证已核验。</w:t>
      </w:r>
    </w:p>
    <w:p>
      <w:pPr>
        <w:pStyle w:val="Heading2"/>
      </w:pPr>
      <w:bookmarkStart w:id="36" w:name="epm_36"/>
      <w:r>
        <w:rPr>
          <w:rFonts w:ascii="Arial" w:hAnsi="Arial" w:eastAsia="宋体"/>
          <w:b w:val="0"/>
          <w:i w:val="0"/>
        </w:rPr>
        <w:t>6.17 两套演示文件不要混用</w:t>
      </w:r>
      <w:bookmarkEnd w:id="3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5"/>
        <w:gridCol w:w="3666"/>
        <w:gridCol w:w="3775"/>
      </w:tblGrid>
      <w:tr>
        <w:trPr>
          <w:cantSplit/>
          <w:tblHeader w:val="true"/>
        </w:trPr>
        <w:tc>
          <w:tcPr>
            <w:tcW w:type="dxa" w:w="19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数据集</w:t>
            </w:r>
          </w:p>
        </w:tc>
        <w:tc>
          <w:tcPr>
            <w:tcW w:type="dxa" w:w="36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来源与规模</w:t>
            </w:r>
          </w:p>
        </w:tc>
        <w:tc>
          <w:tcPr>
            <w:tcW w:type="dxa" w:w="37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预期匹配计数</w:t>
            </w:r>
          </w:p>
        </w:tc>
      </w:tr>
      <w:tr>
        <w:trPr>
          <w:cantSplit/>
        </w:trPr>
        <w:tc>
          <w:tcPr>
            <w:tcW w:type="dxa" w:w="19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A：程序完整虚构样例</w:t>
            </w:r>
          </w:p>
        </w:tc>
        <w:tc>
          <w:tcPr>
            <w:tcW w:type="dxa" w:w="36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七法人，161条科目映射、14行期初、396行凭证；NC48原表头样例对应同一账务</w:t>
            </w:r>
          </w:p>
        </w:tc>
        <w:tc>
          <w:tcPr>
            <w:tcW w:type="dxa" w:w="37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鸿旺9项月销售合计100＋9项期末往来余额合计100，共18项；集团9项月销售合计50</w:t>
            </w:r>
          </w:p>
        </w:tc>
      </w:tr>
      <w:tr>
        <w:trPr>
          <w:cantSplit/>
        </w:trPr>
        <w:tc>
          <w:tcPr>
            <w:tcW w:type="dxa" w:w="19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B：产品说明书独立NC48案例</w:t>
            </w:r>
          </w:p>
        </w:tc>
        <w:tc>
          <w:tcPr>
            <w:tcW w:type="dxa" w:w="36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随文档案例文件，鸿旺销售按80＋20，内部余额20，集团销售50</w:t>
            </w:r>
          </w:p>
        </w:tc>
        <w:tc>
          <w:tcPr>
            <w:tcW w:type="dxa" w:w="37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鸿旺3项、集团1项；按该案例核验说明执行，不能套A的18/9计数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A完整样例从凭证生成、自动匹配、审批到集团后，预期保持集团收入2650、净利润770、资产2370、负债576、CTA74、现金汇率影响90。鸿旺收入1400、净利润450；海外USD收入100、净利润20。</w:t>
      </w:r>
    </w:p>
    <w:p>
      <w:r>
        <w:rPr>
          <w:rFonts w:ascii="Arial" w:hAnsi="Arial" w:eastAsia="宋体"/>
          <w:b w:val="0"/>
          <w:i w:val="0"/>
        </w:rPr>
        <w:t>A完整样例走普通NC上传而不点“载入样例”时，可在适配弹窗逐行录入以下虚构对应，客商列选“辅助核算1”，共同关联号选“核销号”。真实账务必须用真实原值替换，不能把这组示例当作你们已配置资料。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3"/>
        <w:gridCol w:w="2992"/>
        <w:gridCol w:w="1676"/>
        <w:gridCol w:w="2235"/>
      </w:tblGrid>
      <w:tr>
        <w:trPr>
          <w:cantSplit/>
          <w:tblHeader w:val="true"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样例核算账簿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法人ID / 显示对象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本位币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样例内部客商值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BOOK-TY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TY / 天元本部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IC-TY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BOOK-HW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 / 鸿旺单体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IC-HW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BOOK-HW_CAT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HW_CAT / 鸿旺猫爬架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IC-HW_CAT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BOOK-HW_ELEC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HW_ELEC / 鸿旺电子工厂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IC-HW_ELEC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BOOK-OTHER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OTHER / 其他境内公司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IC-OTHER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BOOK-OS_A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OS_A / 海外公司甲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USD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IC-OS_A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BOOK-OS_B</w:t>
            </w:r>
          </w:p>
        </w:tc>
        <w:tc>
          <w:tcPr>
            <w:tcW w:type="dxa" w:w="29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OS_B / 海外公司乙</w:t>
            </w:r>
          </w:p>
        </w:tc>
        <w:tc>
          <w:tcPr>
            <w:tcW w:type="dxa" w:w="16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USD</w:t>
            </w:r>
          </w:p>
        </w:tc>
        <w:tc>
          <w:tcPr>
            <w:tcW w:type="dxa" w:w="22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IC-OS_B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另加客商值EXT→“明确为外部客商”。样例科目映射161行、期初14行、NC48凭证396行分别从对应下载按钮取得，再按普通文件路径上传；不是上传一份凭证文件就自动带入另外两类资料。</w:t>
      </w:r>
    </w:p>
    <w:p>
      <w:r>
        <w:rPr>
          <w:rFonts w:ascii="Arial" w:hAnsi="Arial" w:eastAsia="宋体"/>
          <w:b w:val="0"/>
          <w:i w:val="0"/>
        </w:rPr>
        <w:t>A中鸿旺内部100是未结算交易，先在单体中形成应收应付，再于鸿旺层自动余额抵销；不能只抵销收入成本而遗漏余额。模板样例及期初必须一起使用，不把B的凭证套A的期初或混进已有有效批次。</w:t>
      </w:r>
    </w:p>
    <w:p>
      <w:r>
        <w:rPr>
          <w:rFonts w:ascii="Arial" w:hAnsi="Arial" w:eastAsia="宋体"/>
          <w:b w:val="0"/>
          <w:i w:val="0"/>
        </w:rPr>
        <w:t>“载入鸿旺完整凭证样例”是负责人确认替换ERP演示输入的快捷入口，实际载入完整七家虚构数据并解锁失效相关结果、停用初始化示例销售；不自动生成报表、匹配、审批或签核。正常NC文件测试仍应按6.6—6.16逐步操作，不能用快捷载入结果冒充真实文件上传成功。</w:t>
      </w:r>
    </w:p>
    <w:p>
      <w:pPr>
        <w:pStyle w:val="Heading2"/>
      </w:pPr>
      <w:bookmarkStart w:id="37" w:name="epm_37"/>
      <w:r>
        <w:rPr>
          <w:rFonts w:ascii="Arial" w:hAnsi="Arial" w:eastAsia="宋体"/>
          <w:b w:val="0"/>
          <w:i w:val="0"/>
        </w:rPr>
        <w:t>6.18 ERP核对完成检查单</w:t>
      </w:r>
      <w:bookmarkEnd w:id="37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账簿、法人、本位币和金额单位正确；只使用NC本币借贷入账。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科目映射、2026年初余额、1月至测试月完整已记账凭证齐全。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客商列、多辅助值、共同关联号与期初往来辅助余额有实际依据。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单体试算及三表通过，现金流分类明确，凭证元两位到报表万元六位保持到分。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本层初始化100/50已明确转换，不删除投资950及用户手工事项。</w:t>
      </w:r>
    </w:p>
    <w:p>
      <w:pPr>
        <w:ind w:left="283" w:hanging="198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  <w:b w:val="0"/>
          <w:i w:val="0"/>
        </w:rPr>
        <w:t>匹配属于当前层和当前版本，差异全部核清，相符事项已生成并由负责人审批。</w:t>
      </w:r>
    </w:p>
    <w:p>
      <w:pPr>
        <w:ind w:left="283" w:hanging="198"/>
      </w:pPr>
      <w:r>
        <w:rPr>
          <w:rFonts w:ascii="Arial" w:hAnsi="Arial" w:eastAsia="宋体"/>
        </w:rPr>
        <w:t xml:space="preserve">7. </w:t>
      </w:r>
      <w:r>
        <w:rPr>
          <w:rFonts w:ascii="Arial" w:hAnsi="Arial" w:eastAsia="宋体"/>
          <w:b w:val="0"/>
          <w:i w:val="0"/>
        </w:rPr>
        <w:t>鸿旺小合并和集团按层计算签核，上级引用新子版本。</w:t>
      </w:r>
    </w:p>
    <w:p>
      <w:pPr>
        <w:ind w:left="283" w:hanging="198"/>
      </w:pPr>
      <w:r>
        <w:rPr>
          <w:rFonts w:ascii="Arial" w:hAnsi="Arial" w:eastAsia="宋体"/>
        </w:rPr>
        <w:t xml:space="preserve">8. </w:t>
      </w:r>
      <w:r>
        <w:rPr>
          <w:rFonts w:ascii="Arial" w:hAnsi="Arial" w:eastAsia="宋体"/>
          <w:b w:val="0"/>
          <w:i w:val="0"/>
        </w:rPr>
        <w:t>报表与差异可追到原凭证、批次、期初和规范化/人工核对依据，历史快照不被新导入覆盖。</w:t>
      </w:r>
    </w:p>
    <w:p>
      <w:pPr>
        <w:ind w:left="283" w:hanging="198"/>
      </w:pPr>
      <w:r>
        <w:rPr>
          <w:rFonts w:ascii="Arial" w:hAnsi="Arial" w:eastAsia="宋体"/>
        </w:rPr>
        <w:t xml:space="preserve">9. </w:t>
      </w:r>
      <w:r>
        <w:rPr>
          <w:rFonts w:ascii="Arial" w:hAnsi="Arial" w:eastAsia="宋体"/>
          <w:b w:val="0"/>
          <w:i w:val="0"/>
        </w:rPr>
        <w:t>NC在线接口仍未连接，用户确认已记账与本机文件校验没有被描述成NC后台验证。</w:t>
      </w:r>
    </w:p>
    <w:p>
      <w:pPr>
        <w:pStyle w:val="Heading1"/>
      </w:pPr>
      <w:bookmarkStart w:id="38" w:name="epm_38"/>
      <w:r>
        <w:rPr>
          <w:rFonts w:ascii="Arial" w:hAnsi="Arial" w:eastAsia="宋体"/>
          <w:b w:val="0"/>
          <w:i w:val="0"/>
        </w:rPr>
        <w:t>七、数据接入与财务三表报送</w:t>
      </w:r>
      <w:bookmarkEnd w:id="38"/>
    </w:p>
    <w:p>
      <w:pPr>
        <w:pStyle w:val="Heading2"/>
      </w:pPr>
      <w:bookmarkStart w:id="39" w:name="epm_39"/>
      <w:r>
        <w:rPr>
          <w:rFonts w:ascii="Arial" w:hAnsi="Arial" w:eastAsia="宋体"/>
          <w:b w:val="0"/>
          <w:i w:val="0"/>
        </w:rPr>
        <w:t>7.1 两个菜单的分工</w:t>
      </w:r>
      <w:bookmarkEnd w:id="39"/>
    </w:p>
    <w:p>
      <w:r>
        <w:rPr>
          <w:rFonts w:ascii="Arial" w:hAnsi="Arial" w:eastAsia="宋体"/>
          <w:b w:val="0"/>
          <w:i w:val="0"/>
        </w:rPr>
        <w:t>“数据接入”提供完整CSV样例与导入入口，并说明已接通方式。“财务三表报送”集中显示各法人当前期间源版本、原币收入、原币净利润和编辑入口。页面可能列出所有法人源，阅读金额时应逐行确认本位币，不能直接把人民币和美元相加。</w:t>
      </w:r>
    </w:p>
    <w:p>
      <w:r>
        <w:rPr>
          <w:rFonts w:ascii="Arial" w:hAnsi="Arial" w:eastAsia="宋体"/>
          <w:b w:val="0"/>
          <w:i w:val="0"/>
        </w:rPr>
        <w:t>当前有两种来源：优先使用“ERP凭证工作台”导入原凭证并生成源；未启用凭证的法人仍可使用中文字段表单和完整财务源CSV。NC在线API、自动ERP同步、真实邮件和支付均未连接。当前业务流程不使用旧版“报送确认”“运行旧校验”或自由借贷凭证动作。</w:t>
      </w:r>
    </w:p>
    <w:p>
      <w:pPr>
        <w:pStyle w:val="Heading2"/>
      </w:pPr>
      <w:bookmarkStart w:id="40" w:name="epm_40"/>
      <w:r>
        <w:rPr>
          <w:rFonts w:ascii="Arial" w:hAnsi="Arial" w:eastAsia="宋体"/>
          <w:b w:val="0"/>
          <w:i w:val="0"/>
        </w:rPr>
        <w:t>7.2 先识别来源，再重开</w:t>
      </w:r>
      <w:bookmarkEnd w:id="40"/>
    </w:p>
    <w:p>
      <w:r>
        <w:rPr>
          <w:rFonts w:ascii="Arial" w:hAnsi="Arial" w:eastAsia="宋体"/>
          <w:b w:val="0"/>
          <w:i w:val="0"/>
        </w:rPr>
        <w:t>ERP生成源不能用手工三表覆盖。凭证来源应回“ERP凭证与期初”修正映射、期初、批次或核对补注，再重新生成法人三表；本章的字段编辑及三表CSV用于尚未采用凭证来源的手工法人。</w:t>
      </w:r>
    </w:p>
    <w:p>
      <w:r>
        <w:rPr>
          <w:rFonts w:ascii="Arial" w:hAnsi="Arial" w:eastAsia="宋体"/>
          <w:b w:val="0"/>
          <w:i w:val="0"/>
        </w:rPr>
        <w:t>凡源数据被有效签核结果引用，先切到最小受影响小合并，在“分级合并与结果”执行“重新开启及祖先”。负责人填写原因，系统使本层和引用它的祖先失效并解锁；不相关兄弟范围保持有效。</w:t>
      </w:r>
    </w:p>
    <w:p>
      <w:r>
        <w:rPr>
          <w:rFonts w:ascii="Arial" w:hAnsi="Arial" w:eastAsia="宋体"/>
          <w:b w:val="0"/>
          <w:i w:val="0"/>
        </w:rPr>
        <w:t>例如修改鸿旺猫爬架，应重开鸿旺小合并，集团会同时失效。只重开集团不能解开鸿旺自己的签核输入保护。如果导入文件同时含鸿旺和海外法人，应分别重开这两个小合并；如果下载样例中包含天元及其他直接法人，集团也需处于可修改状态。</w:t>
      </w:r>
    </w:p>
    <w:p>
      <w:pPr>
        <w:pStyle w:val="Heading2"/>
      </w:pPr>
      <w:bookmarkStart w:id="41" w:name="epm_41"/>
      <w:r>
        <w:rPr>
          <w:rFonts w:ascii="Arial" w:hAnsi="Arial" w:eastAsia="宋体"/>
          <w:b w:val="0"/>
          <w:i w:val="0"/>
        </w:rPr>
        <w:t>7.3 三表源表单逐区填写</w:t>
      </w:r>
      <w:bookmarkEnd w:id="41"/>
    </w:p>
    <w:p>
      <w:r>
        <w:rPr>
          <w:rFonts w:ascii="Arial" w:hAnsi="Arial" w:eastAsia="宋体"/>
          <w:b w:val="0"/>
          <w:i w:val="0"/>
        </w:rPr>
        <w:t>入口：“财务三表报送”→目标法人行“编辑三表”。弹窗抬头显示期间、本位币单位及原源版本。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8"/>
        <w:gridCol w:w="3905"/>
        <w:gridCol w:w="3332"/>
      </w:tblGrid>
      <w:tr>
        <w:trPr>
          <w:cantSplit/>
          <w:tblHeader w:val="true"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表单区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应该填写什么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重点核对</w:t>
            </w:r>
          </w:p>
        </w:tc>
      </w:tr>
      <w:tr>
        <w:trPr>
          <w:cantSplit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期初与期末资产负债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各项目期初余额及期末余额，不填变动额代替余额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期初和期末分别满足资产＝负债＋权益</w:t>
            </w:r>
          </w:p>
        </w:tc>
      </w:tr>
      <w:tr>
        <w:trPr>
          <w:cantSplit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本期累计损益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当年1月至所选月份的收入、成本、期间费用、财务费用和所得税累计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净利润＝收入－成本－期间费用－财务费用－所得税</w:t>
            </w:r>
          </w:p>
        </w:tc>
      </w:tr>
      <w:tr>
        <w:trPr>
          <w:cantSplit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累计现金流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经营、投资、筹资现金净额和现金汇率影响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必须有明确现金流来源，不能用现金差额倒挤经营净额</w:t>
            </w:r>
          </w:p>
        </w:tc>
      </w:tr>
      <w:tr>
        <w:trPr>
          <w:cantSplit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各月损益与现金流发生额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展开区中逐月填写1月至所选月的发生额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每项各月之和等于对应累计数</w:t>
            </w:r>
          </w:p>
        </w:tc>
      </w:tr>
      <w:tr>
        <w:trPr>
          <w:cantSplit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本期资本变动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本版固定0，表单只读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不能录增资、减资或通过此字段补差</w:t>
            </w:r>
          </w:p>
        </w:tc>
      </w:tr>
      <w:tr>
        <w:trPr>
          <w:cantSplit/>
        </w:trPr>
        <w:tc>
          <w:tcPr>
            <w:tcW w:type="dxa" w:w="21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期初已确认人民币留存收益</w:t>
            </w:r>
          </w:p>
        </w:tc>
        <w:tc>
          <w:tcPr>
            <w:tcW w:type="dxa" w:w="390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境外源期初留存收益非零时，填已经确认的人民币历史金额</w:t>
            </w:r>
          </w:p>
        </w:tc>
        <w:tc>
          <w:tcPr>
            <w:tcW w:type="dxa" w:w="333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不应直接用当前期末率重算历史留存收益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以下项目均使用当前法人的本位币万元；美元即万美元。零值也应填0，不能留空或删字段。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398"/>
        <w:gridCol w:w="2959"/>
      </w:tblGrid>
      <w:tr>
        <w:trPr>
          <w:cantSplit/>
          <w:tblHeader w:val="true"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资产类项目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负债类项目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权益类项目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货币资金cash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应付账款payable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实收资本capital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应收账款receivable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短期借款shortloan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留存收益retained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存货inventory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应交税费taxpayable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少数股东权益nci，本轮为0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预付款项prepaid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其他负债otherliability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外币报表折算差额cta，法人源为0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长期股权投资investment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长期借款longloan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留存收益期末已含本期损益，不要再结转一次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固定资产fixed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递延所得税负债deferred_liability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本期实收资本与期初一致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无形资产intangible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递延所得税资产deferred_asset</w:t>
            </w:r>
          </w:p>
        </w:tc>
        <w:tc>
          <w:tcPr>
            <w:tcW w:type="dxa" w:w="33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9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损益字段为 </w:t>
      </w:r>
      <w:r>
        <w:rPr>
          <w:rFonts w:ascii="Consolas" w:hAnsi="Consolas" w:eastAsia="宋体"/>
          <w:b w:val="0"/>
          <w:i w:val="0"/>
          <w:sz w:val="18"/>
        </w:rPr>
        <w:t>revenue/cost/expense/finance/tax</w:t>
      </w:r>
      <w:r>
        <w:rPr>
          <w:rFonts w:ascii="Arial" w:hAnsi="Arial" w:eastAsia="宋体"/>
          <w:b w:val="0"/>
          <w:i w:val="0"/>
        </w:rPr>
        <w:t xml:space="preserve">；现金流字段为 </w:t>
      </w:r>
      <w:r>
        <w:rPr>
          <w:rFonts w:ascii="Consolas" w:hAnsi="Consolas" w:eastAsia="宋体"/>
          <w:b w:val="0"/>
          <w:i w:val="0"/>
          <w:sz w:val="18"/>
        </w:rPr>
        <w:t>operating/investing/financing/fx</w:t>
      </w:r>
      <w:r>
        <w:rPr>
          <w:rFonts w:ascii="Arial" w:hAnsi="Arial" w:eastAsia="宋体"/>
          <w:b w:val="0"/>
          <w:i w:val="0"/>
        </w:rPr>
        <w:t>。财务源以本位币万元保留最多六位小数，一分等于0.000001万元，负数用于有依据的相反方向业务，不应为追求平衡随意填负数。全部法人源的折算差额和现金汇率影响必须为0，由上卷折算独立形成。</w:t>
      </w:r>
    </w:p>
    <w:p>
      <w:r>
        <w:rPr>
          <w:rFonts w:ascii="Arial" w:hAnsi="Arial" w:eastAsia="宋体"/>
          <w:b w:val="0"/>
          <w:i w:val="0"/>
        </w:rPr>
        <w:t>点击“校验并保存三表源”。服务端检查完整字段、金额、月度累计、资产负债、现金流和权益滚动；成功后源版本递增，相关结果仍需重算。任一校验不通过，整次不提交，按提示修正后再保存。</w:t>
      </w:r>
    </w:p>
    <w:p>
      <w:pPr>
        <w:pStyle w:val="Heading2"/>
      </w:pPr>
      <w:bookmarkStart w:id="42" w:name="epm_42"/>
      <w:r>
        <w:rPr>
          <w:rFonts w:ascii="Arial" w:hAnsi="Arial" w:eastAsia="宋体"/>
          <w:b w:val="0"/>
          <w:i w:val="0"/>
        </w:rPr>
        <w:t>7.4 演示平衡变更助手</w:t>
      </w:r>
      <w:bookmarkEnd w:id="42"/>
    </w:p>
    <w:p>
      <w:r>
        <w:rPr>
          <w:rFonts w:ascii="Arial" w:hAnsi="Arial" w:eastAsia="宋体"/>
          <w:b w:val="0"/>
          <w:i w:val="0"/>
        </w:rPr>
        <w:t>助手适合做可重复的操作演示，不替代真实业务记账。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在源表单上部选择“本月新增现金销售收入”或“本月新增现金费用支出”。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填写大于0的本位币万元金额。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点击“填入平衡变更”。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核对本月和累计损益、期末现金、期末留存收益、累计及本月经营现金流。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点击“校验并保存三表源”才生效。</w:t>
      </w:r>
    </w:p>
    <w:p>
      <w:r>
        <w:rPr>
          <w:rFonts w:ascii="Arial" w:hAnsi="Arial" w:eastAsia="宋体"/>
          <w:b w:val="0"/>
          <w:i w:val="0"/>
        </w:rPr>
        <w:t>现金销售助手增加收入、现金、留存收益和经营现金流；现金费用助手增加费用，同时减少现金、留存收益和经营现金流。它不改期初，也不生成内部往来。点击助手两次会叠加两次，保存前应核对；若尚未保存且填错，关闭弹窗后重新打开即可重新读取原保存值。</w:t>
      </w:r>
    </w:p>
    <w:p>
      <w:r>
        <w:rPr>
          <w:rFonts w:ascii="Arial" w:hAnsi="Arial" w:eastAsia="宋体"/>
          <w:b w:val="0"/>
          <w:i w:val="0"/>
        </w:rPr>
        <w:t>仅对未转入凭证来源的手工源，基线演示可给鸿旺猫爬架新增现金销售10，源收入300→310，重新计算后鸿旺小合并收入1400→1410、净利润450→460；上卷后集团收入2650→2660、净利润770→780。此例从未改数基线开始，不能把其他改数案例的结果再当作原始基线。</w:t>
      </w:r>
    </w:p>
    <w:p>
      <w:pPr>
        <w:pStyle w:val="Heading2"/>
      </w:pPr>
      <w:bookmarkStart w:id="43" w:name="epm_43"/>
      <w:r>
        <w:rPr>
          <w:rFonts w:ascii="Arial" w:hAnsi="Arial" w:eastAsia="宋体"/>
          <w:b w:val="0"/>
          <w:i w:val="0"/>
        </w:rPr>
        <w:t>7.5 下载完整源CSV</w:t>
      </w:r>
      <w:bookmarkEnd w:id="43"/>
    </w:p>
    <w:p>
      <w:r>
        <w:rPr>
          <w:rFonts w:ascii="Arial" w:hAnsi="Arial" w:eastAsia="宋体"/>
          <w:b w:val="0"/>
          <w:i w:val="0"/>
        </w:rPr>
        <w:t>“数据接入”或“财务三表报送”点击“下载本期全量源CSV”。下载内容是当前所选期间各已有法人源数据的完整样例，包含多家法人；它不是仅当前小合并三家的自动过滤文件。导入时文件中所有法人的受影响签核范围都必须允许修改。</w:t>
      </w:r>
    </w:p>
    <w:p>
      <w:r>
        <w:rPr>
          <w:rFonts w:ascii="Arial" w:hAnsi="Arial" w:eastAsia="宋体"/>
          <w:b w:val="0"/>
          <w:i w:val="0"/>
        </w:rPr>
        <w:t>表头顺序必须保持：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法人编码,期间,数据区,项目编码,金额,月份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7"/>
        <w:gridCol w:w="2700"/>
        <w:gridCol w:w="5390"/>
      </w:tblGrid>
      <w:tr>
        <w:trPr>
          <w:cantSplit/>
          <w:tblHeader w:val="true"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填写方法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使用档案中的法人编码或稳定法人ID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HW01</w:t>
            </w:r>
          </w:p>
        </w:tc>
      </w:tr>
      <w:tr>
        <w:trPr>
          <w:cantSplit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期间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与顶部当前月一致，格式YYYY-MM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2026-09</w:t>
            </w:r>
          </w:p>
        </w:tc>
      </w:tr>
      <w:tr>
        <w:trPr>
          <w:cantSplit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数据区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六个固定技术值之一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opening、closing、profit、cashflow、monthlyProfit、monthlyCashflow</w:t>
            </w:r>
          </w:p>
        </w:tc>
      </w:tr>
      <w:tr>
        <w:trPr>
          <w:cantSplit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项目编码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与该数据区的固定字段键一致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cash、revenue、operating</w:t>
            </w:r>
          </w:p>
        </w:tc>
      </w:tr>
      <w:tr>
        <w:trPr>
          <w:cantSplit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金额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本位币万元，不带千分位或币种符号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10.00</w:t>
            </w:r>
          </w:p>
        </w:tc>
      </w:tr>
      <w:tr>
        <w:trPr>
          <w:cantSplit/>
        </w:trPr>
        <w:tc>
          <w:tcPr>
            <w:tcW w:type="dxa" w:w="13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月份</w:t>
            </w:r>
          </w:p>
        </w:tc>
        <w:tc>
          <w:tcPr>
            <w:tcW w:type="dxa" w:w="27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月度区填1至当前月；其他累计/余额区留空</w:t>
            </w:r>
          </w:p>
        </w:tc>
        <w:tc>
          <w:tcPr>
            <w:tcW w:type="dxa" w:w="53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9或留空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b w:val="0"/>
          <w:i w:val="0"/>
          <w:sz w:val="18"/>
        </w:rPr>
        <w:t>opening/closing</w:t>
      </w:r>
      <w:r>
        <w:rPr>
          <w:rFonts w:ascii="Arial" w:hAnsi="Arial" w:eastAsia="宋体"/>
          <w:b w:val="0"/>
          <w:i w:val="0"/>
        </w:rPr>
        <w:t xml:space="preserve"> 各含18个项目，</w:t>
      </w:r>
      <w:r>
        <w:rPr>
          <w:rFonts w:ascii="Consolas" w:hAnsi="Consolas" w:eastAsia="宋体"/>
          <w:b w:val="0"/>
          <w:i w:val="0"/>
          <w:sz w:val="18"/>
        </w:rPr>
        <w:t>profit</w:t>
      </w:r>
      <w:r>
        <w:rPr>
          <w:rFonts w:ascii="Arial" w:hAnsi="Arial" w:eastAsia="宋体"/>
          <w:b w:val="0"/>
          <w:i w:val="0"/>
        </w:rPr>
        <w:t xml:space="preserve"> 含5项，</w:t>
      </w:r>
      <w:r>
        <w:rPr>
          <w:rFonts w:ascii="Consolas" w:hAnsi="Consolas" w:eastAsia="宋体"/>
          <w:b w:val="0"/>
          <w:i w:val="0"/>
          <w:sz w:val="18"/>
        </w:rPr>
        <w:t>cashflow</w:t>
      </w:r>
      <w:r>
        <w:rPr>
          <w:rFonts w:ascii="Arial" w:hAnsi="Arial" w:eastAsia="宋体"/>
          <w:b w:val="0"/>
          <w:i w:val="0"/>
        </w:rPr>
        <w:t xml:space="preserve"> 含4项；月度损益和月度现金流必须覆盖1至当前月全部项目。09期每家完整源有126行数据，不含表头。</w:t>
      </w:r>
    </w:p>
    <w:p>
      <w:r>
        <w:rPr>
          <w:rFonts w:ascii="Arial" w:hAnsi="Arial" w:eastAsia="宋体"/>
          <w:b w:val="0"/>
          <w:i w:val="0"/>
        </w:rPr>
        <w:t>可只保留准备导入的一家或几家法人，但每家必须保留整套必要字段，不能只上传变动行；未包含的其他法人源保持原样。不要更改表头为中文解释名，也不要把已经折算的人民币金额当作美元原币输入。</w:t>
      </w:r>
    </w:p>
    <w:p>
      <w:pPr>
        <w:pStyle w:val="Heading2"/>
      </w:pPr>
      <w:bookmarkStart w:id="44" w:name="epm_44"/>
      <w:r>
        <w:rPr>
          <w:rFonts w:ascii="Arial" w:hAnsi="Arial" w:eastAsia="宋体"/>
          <w:b w:val="0"/>
          <w:i w:val="0"/>
        </w:rPr>
        <w:t>7.6 导入CSV及处理错误</w:t>
      </w:r>
      <w:bookmarkEnd w:id="44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完成受影响范围重开，核对顶部期间。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点击“导入完整三表CSV”，选择UTF-8 CSV文件，或将CSV文本粘贴到弹窗文本框。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核对来源文件名和内容。文件建议不超过2MB，最多10000行数据。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点击“整批校验并导入”。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成功后检查涉及法人源版本，再逐层重算并签核。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35"/>
        <w:gridCol w:w="3827"/>
      </w:tblGrid>
      <w:tr>
        <w:trPr>
          <w:cantSplit/>
          <w:tblHeader w:val="true"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错误提示情形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常见原因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恢复方法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表头不符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列顺序、列名或多余说明行被改变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重新下载样例，保持六列技术表头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法人不存在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编码被修改、缺档案、WPS自动处理编码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回档案核对法人编码，保留文本格式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期间不一致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文件仍是其他月份，或日期被改写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改为与页面完全一致的2026-MM文本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区/项目无效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拼写错误、用中文名称替换技术键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按模板固定键修正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项目/月重复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复制行后没有删除重复组合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每家法人每个区/项目/月只留一行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字段或月份不完整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只导入了变化行、缺某个月0值行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恢复完整源集合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三表或累计不平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只改收入没有同步资产、权益及现金流，或月累计不一致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按业务有依据同步，先用字段表单检查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已签核保护</w:t>
            </w:r>
          </w:p>
        </w:tc>
        <w:tc>
          <w:tcPr>
            <w:tcW w:type="dxa" w:w="37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文件中含未重开的其他法人</w:t>
            </w:r>
          </w:p>
        </w:tc>
        <w:tc>
          <w:tcPr>
            <w:tcW w:type="dxa" w:w="382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逐一重开文件涉及的范围，或只保留已准备好的完整法人源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导入为整批事务，一个法人有错误会使整个文件不写入。失败时保留原文件副本，按具体行号及中文原因修正；不要通过删除数据库让错误文件强行进入。WPS/Excel中编辑后应另存UTF-8 CSV，并检查编码、期间及空月份列。</w:t>
      </w:r>
    </w:p>
    <w:p>
      <w:pPr>
        <w:pStyle w:val="Heading1"/>
      </w:pPr>
      <w:bookmarkStart w:id="45" w:name="epm_45"/>
      <w:r>
        <w:rPr>
          <w:rFonts w:ascii="Arial" w:hAnsi="Arial" w:eastAsia="宋体"/>
          <w:b w:val="0"/>
          <w:i w:val="0"/>
        </w:rPr>
        <w:t>八、集团分类汇率与海外折算</w:t>
      </w:r>
      <w:bookmarkEnd w:id="45"/>
    </w:p>
    <w:p>
      <w:pPr>
        <w:pStyle w:val="Heading2"/>
      </w:pPr>
      <w:bookmarkStart w:id="46" w:name="epm_46"/>
      <w:r>
        <w:rPr>
          <w:rFonts w:ascii="Arial" w:hAnsi="Arial" w:eastAsia="宋体"/>
          <w:b w:val="0"/>
          <w:i w:val="0"/>
        </w:rPr>
        <w:t>8.1 汇率如何配置</w:t>
      </w:r>
      <w:bookmarkEnd w:id="46"/>
    </w:p>
    <w:p>
      <w:r>
        <w:rPr>
          <w:rFonts w:ascii="Arial" w:hAnsi="Arial" w:eastAsia="宋体"/>
          <w:b w:val="0"/>
          <w:i w:val="0"/>
        </w:rPr>
        <w:t>入口：“集团分类汇率”→“发布新汇率版本”，需要集团财务负责人。报价统一为“1美元等于多少人民币”，不能反填为1人民币等于多少美元。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4257"/>
        <w:gridCol w:w="2575"/>
      </w:tblGrid>
      <w:tr>
        <w:trPr>
          <w:cantSplit/>
          <w:tblHeader w:val="true"/>
        </w:trPr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4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用途</w:t>
            </w:r>
          </w:p>
        </w:tc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基线值</w:t>
            </w:r>
          </w:p>
        </w:tc>
      </w:tr>
      <w:tr>
        <w:trPr>
          <w:cantSplit/>
        </w:trPr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期初汇率</w:t>
            </w:r>
          </w:p>
        </w:tc>
        <w:tc>
          <w:tcPr>
            <w:tcW w:type="dxa" w:w="4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期初资产负债、期初现金等折算</w:t>
            </w:r>
          </w:p>
        </w:tc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6.5</w:t>
            </w:r>
          </w:p>
        </w:tc>
      </w:tr>
      <w:tr>
        <w:trPr>
          <w:cantSplit/>
        </w:trPr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期末汇率</w:t>
            </w:r>
          </w:p>
        </w:tc>
        <w:tc>
          <w:tcPr>
            <w:tcW w:type="dxa" w:w="4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期末资产和负债余额折算</w:t>
            </w:r>
          </w:p>
        </w:tc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7.2</w:t>
            </w:r>
          </w:p>
        </w:tc>
      </w:tr>
      <w:tr>
        <w:trPr>
          <w:cantSplit/>
        </w:trPr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资本历史汇率</w:t>
            </w:r>
          </w:p>
        </w:tc>
        <w:tc>
          <w:tcPr>
            <w:tcW w:type="dxa" w:w="4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本轮统一的资本历史率</w:t>
            </w:r>
          </w:p>
        </w:tc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6.5</w:t>
            </w:r>
          </w:p>
        </w:tc>
      </w:tr>
      <w:tr>
        <w:trPr>
          <w:cantSplit/>
        </w:trPr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各月损益平均汇率</w:t>
            </w:r>
          </w:p>
        </w:tc>
        <w:tc>
          <w:tcPr>
            <w:tcW w:type="dxa" w:w="4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每月收入、成本、费用及税费发生额折算</w:t>
            </w:r>
          </w:p>
        </w:tc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1—9月均7.0</w:t>
            </w:r>
          </w:p>
        </w:tc>
      </w:tr>
      <w:tr>
        <w:trPr>
          <w:cantSplit/>
        </w:trPr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各月现金流量汇率</w:t>
            </w:r>
          </w:p>
        </w:tc>
        <w:tc>
          <w:tcPr>
            <w:tcW w:type="dxa" w:w="4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每月经营、投资和筹资现金流折算</w:t>
            </w:r>
          </w:p>
        </w:tc>
        <w:tc>
          <w:tcPr>
            <w:tcW w:type="dxa" w:w="25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1—9月均7.0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汇率须为有效正数，最多六位小数，不超过1000000，必须填写1至当前月全部平均和流量汇率。点击“发布新汇率版本”后新增并激活一个版本，旧汇率金额和历史结果保留。</w:t>
      </w:r>
    </w:p>
    <w:p>
      <w:r>
        <w:rPr>
          <w:rFonts w:ascii="Arial" w:hAnsi="Arial" w:eastAsia="宋体"/>
          <w:b w:val="0"/>
          <w:i w:val="0"/>
        </w:rPr>
        <w:t>新增汇率会使实际使用本期USD→CNY转换的结果及相关祖先失效并允许重算。海外小合并若仍是USD原币结果，不因集团折算率变化而改变；鸿旺同币种结果也不应受无关率变化影响。</w:t>
      </w:r>
    </w:p>
    <w:p>
      <w:pPr>
        <w:pStyle w:val="Heading2"/>
      </w:pPr>
      <w:bookmarkStart w:id="47" w:name="epm_47"/>
      <w:r>
        <w:rPr>
          <w:rFonts w:ascii="Arial" w:hAnsi="Arial" w:eastAsia="宋体"/>
          <w:b w:val="0"/>
          <w:i w:val="0"/>
        </w:rPr>
        <w:t>8.2 海外先美元合并，再进入人民币集团</w:t>
      </w:r>
      <w:bookmarkEnd w:id="47"/>
    </w:p>
    <w:p>
      <w:r>
        <w:rPr>
          <w:rFonts w:ascii="Arial" w:hAnsi="Arial" w:eastAsia="宋体"/>
          <w:b w:val="0"/>
          <w:i w:val="0"/>
        </w:rPr>
        <w:t>海外法人先按美元完整报送；在“海外小合并”中做本层美元抵销、计算和签核。集团引用该已签核美元结果，再按项目规则折算，不把海外单体再重复选入集团。</w:t>
      </w:r>
    </w:p>
    <w:p>
      <w:r>
        <w:rPr>
          <w:rFonts w:ascii="Arial" w:hAnsi="Arial" w:eastAsia="宋体"/>
          <w:b w:val="0"/>
          <w:i w:val="0"/>
        </w:rPr>
        <w:t>基线海外合计收入100、费用80、净利润20、期末现金及资产200、负债80、资本100，单位万美元。集团中的海外折算组件为收入700、费用560、净利润140、资产1440、负债576、资本650、留存收益140、折算差额74，单位人民币万元。</w:t>
      </w:r>
    </w:p>
    <w:p>
      <w:r>
        <w:rPr>
          <w:rFonts w:ascii="Arial" w:hAnsi="Arial" w:eastAsia="宋体"/>
          <w:b w:val="0"/>
          <w:i w:val="0"/>
        </w:rPr>
        <w:t>外币报表折算差额74列在资产负债表权益中；现金汇率变动影响90列在现金流量表中。两者不是同一项目，不计入经营净利润，也不应手工复制到法人本位币源。</w:t>
      </w:r>
    </w:p>
    <w:p>
      <w:pPr>
        <w:pStyle w:val="Heading2"/>
      </w:pPr>
      <w:bookmarkStart w:id="48" w:name="epm_48"/>
      <w:r>
        <w:rPr>
          <w:rFonts w:ascii="Arial" w:hAnsi="Arial" w:eastAsia="宋体"/>
          <w:b w:val="0"/>
          <w:i w:val="0"/>
        </w:rPr>
        <w:t>8.3 期末汇率敏感性演示</w:t>
      </w:r>
      <w:bookmarkEnd w:id="48"/>
    </w:p>
    <w:p>
      <w:r>
        <w:rPr>
          <w:rFonts w:ascii="Arial" w:hAnsi="Arial" w:eastAsia="宋体"/>
          <w:b w:val="0"/>
          <w:i w:val="0"/>
        </w:rPr>
        <w:t>从未改其他源的基线开始，仅把期末7.2改为7.3，其他汇率不动，发布新版本。切集团计算并签核新结果，再查看完整结果内的分类汇率及原币证据。</w:t>
      </w:r>
    </w:p>
    <w:p>
      <w:r>
        <w:rPr>
          <w:rFonts w:ascii="Arial" w:hAnsi="Arial" w:eastAsia="宋体"/>
          <w:b w:val="0"/>
          <w:i w:val="0"/>
        </w:rPr>
        <w:t>预期：集团净利润仍770，海外折算净利润仍140，折算差额74→86，现金汇率影响90→110。海外美元签核结果继续保持收入100、利润20。若此前已做新增收入10案例，集团净利润应保持780；不要期待它重新变回770。</w:t>
      </w:r>
    </w:p>
    <w:p>
      <w:r>
        <w:rPr>
          <w:rFonts w:ascii="Arial" w:hAnsi="Arial" w:eastAsia="宋体"/>
          <w:b w:val="0"/>
          <w:i w:val="0"/>
        </w:rPr>
        <w:t>修改资本历史率不等于修改当前期末率。若造成实际投资账面与历史资本不符，计算会拒绝。不要通过补CTA或净利润掩盖历史投资差额；按被投资法人独立原始投资台账、不同资本历史率及收购差额属于后续正式研发。</w:t>
      </w:r>
    </w:p>
    <w:p>
      <w:pPr>
        <w:pStyle w:val="Heading1"/>
      </w:pPr>
      <w:bookmarkStart w:id="49" w:name="epm_49"/>
      <w:r>
        <w:rPr>
          <w:rFonts w:ascii="Arial" w:hAnsi="Arial" w:eastAsia="宋体"/>
          <w:b w:val="0"/>
          <w:i w:val="0"/>
        </w:rPr>
        <w:t>九、内部往来与分层抵销凭证</w:t>
      </w:r>
      <w:bookmarkEnd w:id="49"/>
    </w:p>
    <w:p>
      <w:pPr>
        <w:pStyle w:val="Heading2"/>
      </w:pPr>
      <w:bookmarkStart w:id="50" w:name="epm_50"/>
      <w:r>
        <w:rPr>
          <w:rFonts w:ascii="Arial" w:hAnsi="Arial" w:eastAsia="宋体"/>
          <w:b w:val="0"/>
          <w:i w:val="0"/>
        </w:rPr>
        <w:t>9.1 入口与本轮支持类型</w:t>
      </w:r>
      <w:bookmarkEnd w:id="50"/>
    </w:p>
    <w:p>
      <w:r>
        <w:rPr>
          <w:rFonts w:ascii="Arial" w:hAnsi="Arial" w:eastAsia="宋体"/>
          <w:b w:val="0"/>
          <w:i w:val="0"/>
        </w:rPr>
        <w:t>“内部往来核对”和“抵销与调整凭证”查看同一套本期分层抵销配置。前者侧重交易归层及唯一性，后者用于草稿、审批和停用。本版支持内部销售、由凭证匹配生成的内部应收应付余额抵销，以及期初全资投资权益抵销；手工新增表单仍为销售/投资权益，余额抵销应从凭证匹配生成，不提供任意借贷分录编辑器，不应按旧版普通调整凭证流程操作。</w:t>
      </w:r>
    </w:p>
    <w:p>
      <w:r>
        <w:rPr>
          <w:rFonts w:ascii="Arial" w:hAnsi="Arial" w:eastAsia="宋体"/>
          <w:b w:val="0"/>
          <w:i w:val="0"/>
        </w:rPr>
        <w:t>手工初始化基线鸿旺内部销售100在鸿旺层抵销；鸿旺与其他境内公司的跨范围销售50在集团层抵销。采用本版完整396行凭证样例后，鸿旺100为未结算销售，另有内部应收应付100须自动匹配并抵销；初始化100/50必须按第六章明确停用，不能与自动事项双扣。集团继承下级100的血缘，仅追加本层50，不再扣第二次下级100。</w:t>
      </w:r>
    </w:p>
    <w:p>
      <w:pPr>
        <w:pStyle w:val="Heading2"/>
      </w:pPr>
      <w:bookmarkStart w:id="51" w:name="epm_51"/>
      <w:r>
        <w:rPr>
          <w:rFonts w:ascii="Arial" w:hAnsi="Arial" w:eastAsia="宋体"/>
          <w:b w:val="0"/>
          <w:i w:val="0"/>
        </w:rPr>
        <w:t>9.2 新增内部销售草稿</w:t>
      </w:r>
      <w:bookmarkEnd w:id="51"/>
    </w:p>
    <w:p>
      <w:r>
        <w:rPr>
          <w:rFonts w:ascii="Arial" w:hAnsi="Arial" w:eastAsia="宋体"/>
          <w:b w:val="0"/>
          <w:i w:val="0"/>
        </w:rPr>
        <w:t>先重开所属层及祖先，点击“新增内部交易抵销”或“新增分层抵销草稿”。法人会计可保存草稿，负责人负责审批和停用。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5"/>
        <w:gridCol w:w="3743"/>
        <w:gridCol w:w="3318"/>
      </w:tblGrid>
      <w:tr>
        <w:trPr>
          <w:cantSplit/>
          <w:tblHeader w:val="true"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怎么填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错误后检查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来源交易唯一标识sourceId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当前期间内唯一的真实来源编号，例如IC-DEMO-202609-01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同一来源不能在本层或上层再用；停用记录仍保留并占用原标识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所属最低共同合并层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选同时含交易双方的最小合并范围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鸿旺与集团其他公司应选集团，不是鸿旺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抵销类型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选择“内部销售”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投资权益使用不同规则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凭证币种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必须等于所属层报表币种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USD海外层选USD，集团CNY层选CNY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销售方/购买方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分别选择实际交易法人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必须是不同法人且均在该层范围内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抵销金额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大于0，本凭证币种万元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此例等额减少营业收入与营业成本，净利润不变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内部销售发生月份口径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当前月全部发生，或按下方逐月明细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全年累计交易不能无依据集中到当前月</w:t>
            </w:r>
          </w:p>
        </w:tc>
      </w:tr>
      <w:tr>
        <w:trPr>
          <w:cantSplit/>
        </w:trPr>
        <w:tc>
          <w:tcPr>
            <w:tcW w:type="dxa" w:w="23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各月明细</w:t>
            </w:r>
          </w:p>
        </w:tc>
        <w:tc>
          <w:tcPr>
            <w:tcW w:type="dxa" w:w="37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逐月口径时1至当前月均填，未发生填0</w:t>
            </w:r>
          </w:p>
        </w:tc>
        <w:tc>
          <w:tcPr>
            <w:tcW w:type="dxa" w:w="33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各月金额合计必须等于抵销总额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点击“保存抵销草稿”。草稿会使有关当前结果失效，且在审批或停用前会阻止正式计算。保存草稿不等于已进入已签核报表。</w:t>
      </w:r>
    </w:p>
    <w:p>
      <w:r>
        <w:rPr>
          <w:rFonts w:ascii="Arial" w:hAnsi="Arial" w:eastAsia="宋体"/>
          <w:b w:val="0"/>
          <w:i w:val="0"/>
        </w:rPr>
        <w:t>对于外币销售，发生月份决定使用哪一月平均汇率。若累计10万美元实际1月4、9月6，应选择逐月口径并填4和6；不能因为当前是09期就把全部10放09月，也不应自动按收入比例平均分摊。</w:t>
      </w:r>
    </w:p>
    <w:p>
      <w:pPr>
        <w:pStyle w:val="Heading2"/>
      </w:pPr>
      <w:bookmarkStart w:id="52" w:name="epm_52"/>
      <w:r>
        <w:rPr>
          <w:rFonts w:ascii="Arial" w:hAnsi="Arial" w:eastAsia="宋体"/>
          <w:b w:val="0"/>
          <w:i w:val="0"/>
        </w:rPr>
        <w:t>9.3 编辑、审批、停用与恢复</w:t>
      </w:r>
      <w:bookmarkEnd w:id="52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点抵销行“明细”，核对交易标识、所属层、类型、金额、月份和会计效果。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草稿可点“编辑草稿”，改后再次保存；已有签核依赖先重开。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负责人点“审批抵销”→“确认审批抵销”。系统验证其会计效果及三表勾稽。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回所属层计算并签核，再逐层上卷到集团。</w:t>
      </w:r>
    </w:p>
    <w:p>
      <w:r>
        <w:rPr>
          <w:rFonts w:ascii="Arial" w:hAnsi="Arial" w:eastAsia="宋体"/>
          <w:b w:val="0"/>
          <w:i w:val="0"/>
        </w:rPr>
        <w:t>已审批事项的详情没有“编辑草稿”按钮。发现错误时，先重开相关层，打开原事项详情→“停用抵销”，填写必填原因→“确认停用”；用新的sourceId新增正确事项并审批，再重算。原事项和历史签核证据保留，不删除历史。</w:t>
      </w:r>
    </w:p>
    <w:p>
      <w:r>
        <w:rPr>
          <w:rFonts w:ascii="Arial" w:hAnsi="Arial" w:eastAsia="宋体"/>
          <w:b w:val="0"/>
          <w:i w:val="0"/>
        </w:rPr>
        <w:t>停用草稿可解除误建草稿阻塞计算的问题；已停用事项不能再次审批。停用后不会立即改写旧报表，需要重新计算。若只是想回到没有该事项的基线，停用后逐层重算，不必再新增替代事项。</w:t>
      </w:r>
    </w:p>
    <w:p>
      <w:pPr>
        <w:pStyle w:val="Heading2"/>
      </w:pPr>
      <w:bookmarkStart w:id="53" w:name="epm_53"/>
      <w:r>
        <w:rPr>
          <w:rFonts w:ascii="Arial" w:hAnsi="Arial" w:eastAsia="宋体"/>
          <w:b w:val="0"/>
          <w:i w:val="0"/>
        </w:rPr>
        <w:t>9.4 投资权益抵销如何使用</w:t>
      </w:r>
      <w:bookmarkEnd w:id="53"/>
    </w:p>
    <w:p>
      <w:r>
        <w:rPr>
          <w:rFonts w:ascii="Arial" w:hAnsi="Arial" w:eastAsia="宋体"/>
          <w:b w:val="0"/>
          <w:i w:val="0"/>
        </w:rPr>
        <w:t>基线集团有950万元期初投资资本抵销，对应天元真实全资关系、境内资本300及海外资本历史人民币650。此项在期初和期末同时抵销投资与子资本，不影响本期利润。</w:t>
      </w:r>
    </w:p>
    <w:p>
      <w:r>
        <w:rPr>
          <w:rFonts w:ascii="Arial" w:hAnsi="Arial" w:eastAsia="宋体"/>
          <w:b w:val="0"/>
          <w:i w:val="0"/>
        </w:rPr>
        <w:t>选择“投资权益”类型时，本层必须包含实际母子法人，金额要等于本层真实全资子公司期初历史资本合计，并与母公司实报投资总额一致。系统按实际股权和源资本生成配对，不会仅凭表单“投资方/被投资方”选择就虚构投资；发生月份分配不用于该类型。</w:t>
      </w:r>
    </w:p>
    <w:p>
      <w:r>
        <w:rPr>
          <w:rFonts w:ascii="Arial" w:hAnsi="Arial" w:eastAsia="宋体"/>
          <w:b w:val="0"/>
          <w:i w:val="0"/>
        </w:rPr>
        <w:t>本轮不是完整收购与商誉模型。若需变更投资资本组合，先准备真实投资源数据并由财务及研发核对，不应随意修改950或历史资本率以做平账演示。</w:t>
      </w:r>
    </w:p>
    <w:p>
      <w:pPr>
        <w:pStyle w:val="Heading1"/>
      </w:pPr>
      <w:bookmarkStart w:id="54" w:name="epm_54"/>
      <w:r>
        <w:rPr>
          <w:rFonts w:ascii="Arial" w:hAnsi="Arial" w:eastAsia="宋体"/>
          <w:b w:val="0"/>
          <w:i w:val="0"/>
        </w:rPr>
        <w:t>十、分级合并、关账校验与结果签核</w:t>
      </w:r>
      <w:bookmarkEnd w:id="54"/>
    </w:p>
    <w:p>
      <w:pPr>
        <w:pStyle w:val="Heading2"/>
      </w:pPr>
      <w:bookmarkStart w:id="55" w:name="epm_55"/>
      <w:r>
        <w:rPr>
          <w:rFonts w:ascii="Arial" w:hAnsi="Arial" w:eastAsia="宋体"/>
          <w:b w:val="0"/>
          <w:i w:val="0"/>
        </w:rPr>
        <w:t>10.1 标准工作顺序</w:t>
      </w:r>
      <w:bookmarkEnd w:id="55"/>
    </w:p>
    <w:p>
      <w:r>
        <w:rPr>
          <w:rFonts w:ascii="Arial" w:hAnsi="Arial" w:eastAsia="宋体"/>
          <w:b w:val="0"/>
          <w:i w:val="0"/>
        </w:rPr>
        <w:t>标准顺序为：检查源与抵销→计算鸿旺→签核鸿旺→计算海外→签核海外→计算集团→检查集团三表及血缘→签核集团。两个互不依赖的小合并可以分别准备，但上级必须等全部直接子结果有效签核。</w:t>
      </w:r>
    </w:p>
    <w:p>
      <w:r>
        <w:rPr>
          <w:rFonts w:ascii="Arial" w:hAnsi="Arial" w:eastAsia="宋体"/>
          <w:b w:val="0"/>
          <w:i w:val="0"/>
        </w:rPr>
        <w:t>入口“分级合并与结果”或“关账校验与签核”。页面上的“本层计算前置检查”列出每个直接法人报送、每个直接子结果和草稿抵销状态。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4"/>
        <w:gridCol w:w="4037"/>
        <w:gridCol w:w="3565"/>
      </w:tblGrid>
      <w:tr>
        <w:trPr>
          <w:cantSplit/>
          <w:tblHeader w:val="true"/>
        </w:trPr>
        <w:tc>
          <w:tcPr>
            <w:tcW w:type="dxa" w:w="18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按钮</w:t>
            </w:r>
          </w:p>
        </w:tc>
        <w:tc>
          <w:tcPr>
            <w:tcW w:type="dxa" w:w="40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使用角色及前置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执行结果</w:t>
            </w:r>
          </w:p>
        </w:tc>
      </w:tr>
      <w:tr>
        <w:trPr>
          <w:cantSplit/>
        </w:trPr>
        <w:tc>
          <w:tcPr>
            <w:tcW w:type="dxa" w:w="18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计算本层新版本</w:t>
            </w:r>
          </w:p>
        </w:tc>
        <w:tc>
          <w:tcPr>
            <w:tcW w:type="dxa" w:w="40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负责人或法人会计；本层未锁定，源完整、下级已有效签核、无未处理草稿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生成新的已计算结果版本，保存输入快照及证据</w:t>
            </w:r>
          </w:p>
        </w:tc>
      </w:tr>
      <w:tr>
        <w:trPr>
          <w:cantSplit/>
        </w:trPr>
        <w:tc>
          <w:tcPr>
            <w:tcW w:type="dxa" w:w="18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签核当前结果</w:t>
            </w:r>
          </w:p>
        </w:tc>
        <w:tc>
          <w:tcPr>
            <w:tcW w:type="dxa" w:w="40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负责人；当前有效已计算版本，全部校验通过且依赖未变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批准当前版本并锁本层输入</w:t>
            </w:r>
          </w:p>
        </w:tc>
      </w:tr>
      <w:tr>
        <w:trPr>
          <w:cantSplit/>
        </w:trPr>
        <w:tc>
          <w:tcPr>
            <w:tcW w:type="dxa" w:w="18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重新开启及祖先</w:t>
            </w:r>
          </w:p>
        </w:tc>
        <w:tc>
          <w:tcPr>
            <w:tcW w:type="dxa" w:w="40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负责人；填写必填原因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本层和依赖祖先解锁、旧结果失效，历史金额及批准记录保留</w:t>
            </w:r>
          </w:p>
        </w:tc>
      </w:tr>
      <w:tr>
        <w:trPr>
          <w:cantSplit/>
        </w:trPr>
        <w:tc>
          <w:tcPr>
            <w:tcW w:type="dxa" w:w="18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查看完整结果与钻取</w:t>
            </w:r>
          </w:p>
        </w:tc>
        <w:tc>
          <w:tcPr>
            <w:tcW w:type="dxa" w:w="40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所有演示角色可读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显示指定版本三表、下级引用、原始源、抵销和分类汇率</w:t>
            </w:r>
          </w:p>
        </w:tc>
      </w:tr>
      <w:tr>
        <w:trPr>
          <w:cantSplit/>
        </w:trPr>
        <w:tc>
          <w:tcPr>
            <w:tcW w:type="dxa" w:w="18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维护成员</w:t>
            </w:r>
          </w:p>
        </w:tc>
        <w:tc>
          <w:tcPr>
            <w:tcW w:type="dxa" w:w="40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负责人；有关锁定依赖已重开</w:t>
            </w:r>
          </w:p>
        </w:tc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修改全局管理单元配置并使相关结果失效</w:t>
            </w:r>
          </w:p>
        </w:tc>
      </w:tr>
    </w:tbl>
    <w:p>
      <w:pPr>
        <w:spacing w:after="40"/>
      </w:pPr>
    </w:p>
    <w:p>
      <w:pPr>
        <w:pStyle w:val="Heading2"/>
      </w:pPr>
      <w:bookmarkStart w:id="56" w:name="epm_56"/>
      <w:r>
        <w:rPr>
          <w:rFonts w:ascii="Arial" w:hAnsi="Arial" w:eastAsia="宋体"/>
          <w:b w:val="0"/>
          <w:i w:val="0"/>
        </w:rPr>
        <w:t>10.2 如何修正已签核源并上卷</w:t>
      </w:r>
      <w:bookmarkEnd w:id="56"/>
    </w:p>
    <w:p>
      <w:r>
        <w:rPr>
          <w:rFonts w:ascii="Arial" w:hAnsi="Arial" w:eastAsia="宋体"/>
          <w:b w:val="0"/>
          <w:i w:val="0"/>
        </w:rPr>
        <w:t>以下仅为未启用ERP来源的手工源演示。凭证模式不能用该助手改账，应修改ERP批次或补核，再生成源。以手工鸿旺猫爬架新增现金销售10为例：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左上选“鸿旺小合并”，进入“分级合并与结果”。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点“重新开启及祖先”，填写“补记猫爬架本月现金销售10”→“确认重开并保留历史”。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集团结果也失效，海外美元结果保持有效。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进入“财务三表报送”，编辑目标法人源，用平衡助手填入10，核对后保存。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回鸿旺点“计算本层新版本”。确认收入1410、净利润460、各项校验通过。</w:t>
      </w:r>
    </w:p>
    <w:p>
      <w:pPr>
        <w:ind w:left="283" w:hanging="198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  <w:b w:val="0"/>
          <w:i w:val="0"/>
        </w:rPr>
        <w:t>点“签核当前结果”→“确认签核”。</w:t>
      </w:r>
    </w:p>
    <w:p>
      <w:pPr>
        <w:ind w:left="283" w:hanging="198"/>
      </w:pPr>
      <w:r>
        <w:rPr>
          <w:rFonts w:ascii="Arial" w:hAnsi="Arial" w:eastAsia="宋体"/>
        </w:rPr>
        <w:t xml:space="preserve">7. </w:t>
      </w:r>
      <w:r>
        <w:rPr>
          <w:rFonts w:ascii="Arial" w:hAnsi="Arial" w:eastAsia="宋体"/>
          <w:b w:val="0"/>
          <w:i w:val="0"/>
        </w:rPr>
        <w:t>切集团，点“计算本层新版本”。检查直接输入引用刚才鸿旺的新结果ID和版本；集团收入2660、利润780。</w:t>
      </w:r>
    </w:p>
    <w:p>
      <w:pPr>
        <w:ind w:left="283" w:hanging="198"/>
      </w:pPr>
      <w:r>
        <w:rPr>
          <w:rFonts w:ascii="Arial" w:hAnsi="Arial" w:eastAsia="宋体"/>
        </w:rPr>
        <w:t xml:space="preserve">8. </w:t>
      </w:r>
      <w:r>
        <w:rPr>
          <w:rFonts w:ascii="Arial" w:hAnsi="Arial" w:eastAsia="宋体"/>
          <w:b w:val="0"/>
          <w:i w:val="0"/>
        </w:rPr>
        <w:t>签核集团；再查看历史版本，原基线结果仍保留2650和770。</w:t>
      </w:r>
    </w:p>
    <w:p>
      <w:pPr>
        <w:pStyle w:val="Heading2"/>
      </w:pPr>
      <w:bookmarkStart w:id="57" w:name="epm_57"/>
      <w:r>
        <w:rPr>
          <w:rFonts w:ascii="Arial" w:hAnsi="Arial" w:eastAsia="宋体"/>
          <w:b w:val="0"/>
          <w:i w:val="0"/>
        </w:rPr>
        <w:t>10.3 四项会计勾稽</w:t>
      </w:r>
      <w:bookmarkEnd w:id="5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6"/>
        <w:gridCol w:w="2350"/>
        <w:gridCol w:w="3690"/>
      </w:tblGrid>
      <w:tr>
        <w:trPr>
          <w:cantSplit/>
          <w:tblHeader w:val="true"/>
        </w:trPr>
        <w:tc>
          <w:tcPr>
            <w:tcW w:type="dxa" w:w="3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校验</w:t>
            </w:r>
          </w:p>
        </w:tc>
        <w:tc>
          <w:tcPr>
            <w:tcW w:type="dxa" w:w="23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如何理解</w:t>
            </w:r>
          </w:p>
        </w:tc>
        <w:tc>
          <w:tcPr>
            <w:tcW w:type="dxa" w:w="36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失败后从哪里检查</w:t>
            </w:r>
          </w:p>
        </w:tc>
      </w:tr>
      <w:tr>
        <w:trPr>
          <w:cantSplit/>
        </w:trPr>
        <w:tc>
          <w:tcPr>
            <w:tcW w:type="dxa" w:w="3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期初资产＝期初负债＋期初权益</w:t>
            </w:r>
          </w:p>
        </w:tc>
        <w:tc>
          <w:tcPr>
            <w:tcW w:type="dxa" w:w="23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来源期初余额必须平衡</w:t>
            </w:r>
          </w:p>
        </w:tc>
        <w:tc>
          <w:tcPr>
            <w:tcW w:type="dxa" w:w="36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各法人期初、期初投资抵销</w:t>
            </w:r>
          </w:p>
        </w:tc>
      </w:tr>
      <w:tr>
        <w:trPr>
          <w:cantSplit/>
        </w:trPr>
        <w:tc>
          <w:tcPr>
            <w:tcW w:type="dxa" w:w="3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期末资产＝期末负债＋期末权益</w:t>
            </w:r>
          </w:p>
        </w:tc>
        <w:tc>
          <w:tcPr>
            <w:tcW w:type="dxa" w:w="23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期末三表数据及折算后权益一致</w:t>
            </w:r>
          </w:p>
        </w:tc>
        <w:tc>
          <w:tcPr>
            <w:tcW w:type="dxa" w:w="36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期末源、抵销、资本历史依据、CTA</w:t>
            </w:r>
          </w:p>
        </w:tc>
      </w:tr>
      <w:tr>
        <w:trPr>
          <w:cantSplit/>
        </w:trPr>
        <w:tc>
          <w:tcPr>
            <w:tcW w:type="dxa" w:w="3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期末现金＝期初现金＋经营/投资/筹资＋现金汇率影响</w:t>
            </w:r>
          </w:p>
        </w:tc>
        <w:tc>
          <w:tcPr>
            <w:tcW w:type="dxa" w:w="23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现金流由明确来源与分类率形成</w:t>
            </w:r>
          </w:p>
        </w:tc>
        <w:tc>
          <w:tcPr>
            <w:tcW w:type="dxa" w:w="36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原币现金流、月累计、期初及期末率</w:t>
            </w:r>
          </w:p>
        </w:tc>
      </w:tr>
      <w:tr>
        <w:trPr>
          <w:cantSplit/>
        </w:trPr>
        <w:tc>
          <w:tcPr>
            <w:tcW w:type="dxa" w:w="3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权益变动＝净利润＋资本变动＋折算差额变动</w:t>
            </w:r>
          </w:p>
        </w:tc>
        <w:tc>
          <w:tcPr>
            <w:tcW w:type="dxa" w:w="23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本期损益和权益滚动一致</w:t>
            </w:r>
          </w:p>
        </w:tc>
        <w:tc>
          <w:tcPr>
            <w:tcW w:type="dxa" w:w="369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留存收益是否已含净利、是否重复结转、是否录入不支持权益事件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基线集团：资产2370＝负债576＋资本950＋留存770＋CTA74；现金2370＝期初950＋经营770＋筹资560＋现金汇率影响90，单位人民币万元。</w:t>
      </w:r>
    </w:p>
    <w:p>
      <w:r>
        <w:rPr>
          <w:rFonts w:ascii="Arial" w:hAnsi="Arial" w:eastAsia="宋体"/>
          <w:b w:val="0"/>
          <w:i w:val="0"/>
        </w:rPr>
        <w:t>新体系的财务签核由结果、校验和依赖驱动，不要求旧版“确认报送、内部交易说明、经营说明”等四个勾选前置。经营说明可用于分析留痕，但不能代替财务计算或校验。</w:t>
      </w:r>
    </w:p>
    <w:p>
      <w:pPr>
        <w:pStyle w:val="Heading2"/>
      </w:pPr>
      <w:bookmarkStart w:id="58" w:name="epm_58"/>
      <w:r>
        <w:rPr>
          <w:rFonts w:ascii="Arial" w:hAnsi="Arial" w:eastAsia="宋体"/>
          <w:b w:val="0"/>
          <w:i w:val="0"/>
        </w:rPr>
        <w:t>10.4 计算受阻时处理顺序</w:t>
      </w:r>
      <w:bookmarkEnd w:id="58"/>
    </w:p>
    <w:p>
      <w:r>
        <w:rPr>
          <w:rFonts w:ascii="Arial" w:hAnsi="Arial" w:eastAsia="宋体"/>
          <w:b w:val="0"/>
          <w:i w:val="0"/>
        </w:rPr>
        <w:t>先确认当前范围和期间，再查看前置失败行。下级失效就先进入下级处理；存在草稿就审批或停用；源三表不平就回源字段修正；已锁定就由负责人重开对应最小层；依赖已变则新算一个版本，而不是重复审批旧版本。</w:t>
      </w:r>
    </w:p>
    <w:p>
      <w:r>
        <w:rPr>
          <w:rFonts w:ascii="Arial" w:hAnsi="Arial" w:eastAsia="宋体"/>
          <w:b w:val="0"/>
          <w:i w:val="0"/>
        </w:rPr>
        <w:t>签核后没有“直接修改已批准结果”的入口。重开也不会取消已经发生的历史批准事实，只改变当前有效性。历史结果不可作为新数据的批准版本继续上卷。</w:t>
      </w:r>
    </w:p>
    <w:p>
      <w:pPr>
        <w:pStyle w:val="Heading1"/>
      </w:pPr>
      <w:bookmarkStart w:id="59" w:name="epm_59"/>
      <w:r>
        <w:rPr>
          <w:rFonts w:ascii="Arial" w:hAnsi="Arial" w:eastAsia="宋体"/>
          <w:b w:val="0"/>
          <w:i w:val="0"/>
        </w:rPr>
        <w:t>十一、集团三张报表、历史钻取与导出</w:t>
      </w:r>
      <w:bookmarkEnd w:id="59"/>
    </w:p>
    <w:p>
      <w:pPr>
        <w:pStyle w:val="Heading2"/>
      </w:pPr>
      <w:bookmarkStart w:id="60" w:name="epm_60"/>
      <w:r>
        <w:rPr>
          <w:rFonts w:ascii="Arial" w:hAnsi="Arial" w:eastAsia="宋体"/>
          <w:b w:val="0"/>
          <w:i w:val="0"/>
        </w:rPr>
        <w:t>11.1 查看三表</w:t>
      </w:r>
      <w:bookmarkEnd w:id="60"/>
    </w:p>
    <w:p>
      <w:r>
        <w:rPr>
          <w:rFonts w:ascii="Arial" w:hAnsi="Arial" w:eastAsia="宋体"/>
          <w:b w:val="0"/>
          <w:i w:val="0"/>
        </w:rPr>
        <w:t>入口“集团三张报表”，切换“合并利润表”“合并资产负债表”“合并现金流量表”。顶部提示条说明当前是否有效、是哪一个结果版本和报表币种。</w:t>
      </w:r>
    </w:p>
    <w:p>
      <w:r>
        <w:rPr>
          <w:rFonts w:ascii="Arial" w:hAnsi="Arial" w:eastAsia="宋体"/>
          <w:b w:val="0"/>
          <w:i w:val="0"/>
        </w:rPr>
        <w:t>利润表列示收入、成本、毛利、期间费用、财务费用、税项和净利润。资产负债表单列长期股权投资、留存收益、少数股东权益和外币报表折算差额。现金流量表单列经营、投资、筹资、现金汇率影响及期初期末现金。</w:t>
      </w:r>
    </w:p>
    <w:p>
      <w:r>
        <w:rPr>
          <w:rFonts w:ascii="Arial" w:hAnsi="Arial" w:eastAsia="宋体"/>
          <w:b w:val="0"/>
          <w:i w:val="0"/>
        </w:rPr>
        <w:t>点击“检查三表勾稽”查看该快照校验；“导出当前报表”下载当前所选表CSV，不会一次下载三个表，需分别切换后导出。CSV抬头包含公司、范围、期间、币种、版本及状态。</w:t>
      </w:r>
    </w:p>
    <w:p>
      <w:pPr>
        <w:pStyle w:val="Heading2"/>
      </w:pPr>
      <w:bookmarkStart w:id="61" w:name="epm_61"/>
      <w:r>
        <w:rPr>
          <w:rFonts w:ascii="Arial" w:hAnsi="Arial" w:eastAsia="宋体"/>
          <w:b w:val="0"/>
          <w:i w:val="0"/>
        </w:rPr>
        <w:t>11.2 钻取历史结果和引用源</w:t>
      </w:r>
      <w:bookmarkEnd w:id="61"/>
    </w:p>
    <w:p>
      <w:r>
        <w:rPr>
          <w:rFonts w:ascii="Arial" w:hAnsi="Arial" w:eastAsia="宋体"/>
          <w:b w:val="0"/>
          <w:i w:val="0"/>
        </w:rPr>
        <w:t>从结果提示条“查看版本与来源”、工作台“查看完整结果与钻取”，或历史行“查看快照”进入指定版本。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查看结果ID、生成时间、批准时间、币种和状态。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在“直接输入快照引用”中钻取下级结果，核对ID及版本。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在“叶子法人及源版本”点“源版本追溯”，核对该结果真正引用的历史源。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在“本层与继承抵销血缘”区分本层新增和继承下级，核对sourceId。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展开三表和分类汇率证据，比较原币值、汇率类型及折算额。</w:t>
      </w:r>
    </w:p>
    <w:p>
      <w:r>
        <w:rPr>
          <w:rFonts w:ascii="Arial" w:hAnsi="Arial" w:eastAsia="宋体"/>
          <w:b w:val="0"/>
          <w:i w:val="0"/>
        </w:rPr>
        <w:t>例如当前鸿旺猫爬架收入已改为310，旧集团结果仍引用源版本1、收入300。通过旧结果内“源版本追溯”会优先读取该历史快照；普通源列表“查看”显示最新源，两者含义不同。</w:t>
      </w:r>
    </w:p>
    <w:p>
      <w:r>
        <w:rPr>
          <w:rFonts w:ascii="Arial" w:hAnsi="Arial" w:eastAsia="宋体"/>
          <w:b w:val="0"/>
          <w:i w:val="0"/>
        </w:rPr>
        <w:t>修改合并单元报表币种后，历史失效结果仍以原USD或CNY金额显示。不要把旧美元快照上的100解读为100人民币；计算新版本后再看新币种结果。</w:t>
      </w:r>
    </w:p>
    <w:p>
      <w:pPr>
        <w:pStyle w:val="Heading2"/>
      </w:pPr>
      <w:bookmarkStart w:id="62" w:name="epm_62"/>
      <w:r>
        <w:rPr>
          <w:rFonts w:ascii="Arial" w:hAnsi="Arial" w:eastAsia="宋体"/>
          <w:b w:val="0"/>
          <w:i w:val="0"/>
        </w:rPr>
        <w:t>11.3 导出完整证据</w:t>
      </w:r>
      <w:bookmarkEnd w:id="62"/>
    </w:p>
    <w:p>
      <w:r>
        <w:rPr>
          <w:rFonts w:ascii="Arial" w:hAnsi="Arial" w:eastAsia="宋体"/>
          <w:b w:val="0"/>
          <w:i w:val="0"/>
        </w:rPr>
        <w:t>在结果详情点“导出此结果完整证据”，下载JSON，包含指定结果、下级引用、源版本和快照、抵销、分类汇率及校验。此文件用于研发复现和评审核对，不能当作Excel记账凭证。</w:t>
      </w:r>
    </w:p>
    <w:p>
      <w:r>
        <w:rPr>
          <w:rFonts w:ascii="Arial" w:hAnsi="Arial" w:eastAsia="宋体"/>
          <w:b w:val="0"/>
          <w:i w:val="0"/>
        </w:rPr>
        <w:t>“导出完整证据”和“导出当前报表”不同：前者保存结构化依据，后者便于查看金额。上传演示材料时使用虚构案例；实际企业数据应按单位资料管理要求处理，不把本机启动凭据或数据库一起公开发送。</w:t>
      </w:r>
    </w:p>
    <w:p>
      <w:pPr>
        <w:pStyle w:val="Heading1"/>
      </w:pPr>
      <w:bookmarkStart w:id="63" w:name="epm_63"/>
      <w:r>
        <w:rPr>
          <w:rFonts w:ascii="Arial" w:hAnsi="Arial" w:eastAsia="宋体"/>
          <w:b w:val="0"/>
          <w:i w:val="0"/>
        </w:rPr>
        <w:t>十二、预算周期与审批</w:t>
      </w:r>
      <w:bookmarkEnd w:id="63"/>
    </w:p>
    <w:p>
      <w:pPr>
        <w:pStyle w:val="Heading2"/>
      </w:pPr>
      <w:bookmarkStart w:id="64" w:name="epm_64"/>
      <w:r>
        <w:rPr>
          <w:rFonts w:ascii="Arial" w:hAnsi="Arial" w:eastAsia="宋体"/>
          <w:b w:val="0"/>
          <w:i w:val="0"/>
        </w:rPr>
        <w:t>12.1 进入预算前确认范围</w:t>
      </w:r>
      <w:bookmarkEnd w:id="64"/>
    </w:p>
    <w:p>
      <w:r>
        <w:rPr>
          <w:rFonts w:ascii="Arial" w:hAnsi="Arial" w:eastAsia="宋体"/>
          <w:b w:val="0"/>
          <w:i w:val="0"/>
        </w:rPr>
        <w:t>四个预算菜单仅在“杭州天元集团合并”、CNY口径使用。若处于小合并或海外美元，页面显示口径提示，点击“切换集团人民币并继续”即可。预算是独立集团人民币演示，不与海外美元实绩直接比较。</w:t>
      </w:r>
    </w:p>
    <w:p>
      <w:r>
        <w:rPr>
          <w:rFonts w:ascii="Arial" w:hAnsi="Arial" w:eastAsia="宋体"/>
          <w:b w:val="0"/>
          <w:i w:val="0"/>
        </w:rPr>
        <w:t>初始活跃版本“V2 年度目标”年度收入4000万元；另有“V1 基准预算”3800万元。预算期次为全年12月编制，顶部09期只影响截至本期累计展示，不把年度目标改成9个月目标。</w:t>
      </w:r>
    </w:p>
    <w:p>
      <w:pPr>
        <w:pStyle w:val="Heading2"/>
      </w:pPr>
      <w:bookmarkStart w:id="65" w:name="epm_65"/>
      <w:r>
        <w:rPr>
          <w:rFonts w:ascii="Arial" w:hAnsi="Arial" w:eastAsia="宋体"/>
          <w:b w:val="0"/>
          <w:i w:val="0"/>
        </w:rPr>
        <w:t>12.2 提交、审批和锁定</w:t>
      </w:r>
      <w:bookmarkEnd w:id="65"/>
    </w:p>
    <w:p>
      <w:r>
        <w:rPr>
          <w:rFonts w:ascii="Arial" w:hAnsi="Arial" w:eastAsia="宋体"/>
          <w:b w:val="0"/>
          <w:i w:val="0"/>
        </w:rPr>
        <w:t>入口“预算周期与审批”。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在“编制中”版本完成层金额、分摊及需要的业务明细。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点击“提交本版审批”，状态变为“审核中”；编制入口不再允许修改。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切换到集团财务负责人，点“集团审核通过”，状态变为“已审批”。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如确认需要保护该版本，点“锁定已审批版本”，状态变为“已锁定”。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“查看审批记录”查询真实预算操作轨迹。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0"/>
        <w:gridCol w:w="2360"/>
        <w:gridCol w:w="4686"/>
      </w:tblGrid>
      <w:tr>
        <w:trPr>
          <w:cantSplit/>
          <w:tblHeader w:val="true"/>
        </w:trPr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状态</w:t>
            </w:r>
          </w:p>
        </w:tc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能否直接编辑</w:t>
            </w:r>
          </w:p>
        </w:tc>
        <w:tc>
          <w:tcPr>
            <w:tcW w:type="dxa" w:w="46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可继续的主要动作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编制中</w:t>
            </w:r>
          </w:p>
        </w:tc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可以</w:t>
            </w:r>
          </w:p>
        </w:tc>
        <w:tc>
          <w:tcPr>
            <w:tcW w:type="dxa" w:w="46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保存、提交、复制或切换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审核中</w:t>
            </w:r>
          </w:p>
        </w:tc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</w:t>
            </w:r>
          </w:p>
        </w:tc>
        <w:tc>
          <w:tcPr>
            <w:tcW w:type="dxa" w:w="46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负责人审批；需要改数时复制新草稿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已审批</w:t>
            </w:r>
          </w:p>
        </w:tc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</w:t>
            </w:r>
          </w:p>
        </w:tc>
        <w:tc>
          <w:tcPr>
            <w:tcW w:type="dxa" w:w="46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锁定、复制新版本或发起独立调整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已锁定</w:t>
            </w:r>
          </w:p>
        </w:tc>
        <w:tc>
          <w:tcPr>
            <w:tcW w:type="dxa" w:w="23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</w:t>
            </w:r>
          </w:p>
        </w:tc>
        <w:tc>
          <w:tcPr>
            <w:tcW w:type="dxa" w:w="46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复制新版本或发起独立调整，原锁定版保留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本轮主预算版本没有“解锁”和“退回主预算”按钮。预算调整申请另有退回流程；不要把两者混用。锁定前请检查版本名、金额和状态，锁定后不要寻找直接覆盖原版的操作。</w:t>
      </w:r>
    </w:p>
    <w:p>
      <w:pPr>
        <w:pStyle w:val="Heading1"/>
      </w:pPr>
      <w:bookmarkStart w:id="66" w:name="epm_66"/>
      <w:r>
        <w:rPr>
          <w:rFonts w:ascii="Arial" w:hAnsi="Arial" w:eastAsia="宋体"/>
          <w:b w:val="0"/>
          <w:i w:val="0"/>
        </w:rPr>
        <w:t>十三、预算编制、分摊与业务明细</w:t>
      </w:r>
      <w:bookmarkEnd w:id="66"/>
    </w:p>
    <w:p>
      <w:pPr>
        <w:pStyle w:val="Heading2"/>
      </w:pPr>
      <w:bookmarkStart w:id="67" w:name="epm_67"/>
      <w:r>
        <w:rPr>
          <w:rFonts w:ascii="Arial" w:hAnsi="Arial" w:eastAsia="宋体"/>
          <w:b w:val="0"/>
          <w:i w:val="0"/>
        </w:rPr>
        <w:t>13.1 四层销售收入目标</w:t>
      </w:r>
      <w:bookmarkEnd w:id="67"/>
    </w:p>
    <w:p>
      <w:r>
        <w:rPr>
          <w:rFonts w:ascii="Arial" w:hAnsi="Arial" w:eastAsia="宋体"/>
          <w:b w:val="0"/>
          <w:i w:val="0"/>
        </w:rPr>
        <w:t>入口“预算编制与分摊”，预算类型选择“销售预算”。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4136"/>
        <w:gridCol w:w="2635"/>
      </w:tblGrid>
      <w:tr>
        <w:trPr>
          <w:cantSplit/>
          <w:tblHeader w:val="true"/>
        </w:trPr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预算层</w:t>
            </w:r>
          </w:p>
        </w:tc>
        <w:tc>
          <w:tcPr>
            <w:tcW w:type="dxa" w:w="41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初始年度金额（人民币万元）</w:t>
            </w:r>
          </w:p>
        </w:tc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基础层</w:t>
            </w:r>
          </w:p>
        </w:tc>
        <w:tc>
          <w:tcPr>
            <w:tcW w:type="dxa" w:w="41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3400</w:t>
            </w:r>
          </w:p>
        </w:tc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基础销售目标</w:t>
            </w:r>
          </w:p>
        </w:tc>
      </w:tr>
      <w:tr>
        <w:trPr>
          <w:cantSplit/>
        </w:trPr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挑战层</w:t>
            </w:r>
          </w:p>
        </w:tc>
        <w:tc>
          <w:tcPr>
            <w:tcW w:type="dxa" w:w="41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挑战增量</w:t>
            </w:r>
          </w:p>
        </w:tc>
      </w:tr>
      <w:tr>
        <w:trPr>
          <w:cantSplit/>
        </w:trPr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管理层</w:t>
            </w:r>
          </w:p>
        </w:tc>
        <w:tc>
          <w:tcPr>
            <w:tcW w:type="dxa" w:w="41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管理增量</w:t>
            </w:r>
          </w:p>
        </w:tc>
      </w:tr>
      <w:tr>
        <w:trPr>
          <w:cantSplit/>
        </w:trPr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董事会层</w:t>
            </w:r>
          </w:p>
        </w:tc>
        <w:tc>
          <w:tcPr>
            <w:tcW w:type="dxa" w:w="41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董事会增量</w:t>
            </w:r>
          </w:p>
        </w:tc>
      </w:tr>
      <w:tr>
        <w:trPr>
          <w:cantSplit/>
        </w:trPr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41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4000</w:t>
            </w:r>
          </w:p>
        </w:tc>
        <w:tc>
          <w:tcPr>
            <w:tcW w:type="dxa" w:w="26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年度收入目标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当前版本须“编制中”。点击行“调整本层”，填写非负年度金额，点“保存本层”。保存后年度汇总、月分摊和该版本预实比较同步，不改变财务实绩。</w:t>
      </w:r>
    </w:p>
    <w:p>
      <w:r>
        <w:rPr>
          <w:rFonts w:ascii="Arial" w:hAnsi="Arial" w:eastAsia="宋体"/>
          <w:b w:val="0"/>
          <w:i w:val="0"/>
        </w:rPr>
        <w:t>输入金额不能带币种符号或千分位。若目标不允许为负，不应使用负层额表示预算调整；需要增减可发起有原因的调整申请。</w:t>
      </w:r>
    </w:p>
    <w:p>
      <w:pPr>
        <w:pStyle w:val="Heading2"/>
      </w:pPr>
      <w:bookmarkStart w:id="68" w:name="epm_68"/>
      <w:r>
        <w:rPr>
          <w:rFonts w:ascii="Arial" w:hAnsi="Arial" w:eastAsia="宋体"/>
          <w:b w:val="0"/>
          <w:i w:val="0"/>
        </w:rPr>
        <w:t>13.2 量价驱动</w:t>
      </w:r>
      <w:bookmarkEnd w:id="68"/>
    </w:p>
    <w:p>
      <w:r>
        <w:rPr>
          <w:rFonts w:ascii="Arial" w:hAnsi="Arial" w:eastAsia="宋体"/>
          <w:b w:val="0"/>
          <w:i w:val="0"/>
        </w:rPr>
        <w:t>点击“销售量价驱动”，填年度销量和不含税单价。销量须非负整数，单价以人民币万元计。点击“应用并保存目标”后，销量×单价形成年度收入目标；前三层保持不变，差额落入董事会层。</w:t>
      </w:r>
    </w:p>
    <w:p>
      <w:r>
        <w:rPr>
          <w:rFonts w:ascii="Arial" w:hAnsi="Arial" w:eastAsia="宋体"/>
          <w:b w:val="0"/>
          <w:i w:val="0"/>
        </w:rPr>
        <w:t>例如基线前三层合计3900，销量1000×单价4＝4000，董事会层100。若销量1100、单价4，目标4400，董事会层变为500。目标不能低于前三层合计，否则保存被拒绝；先明确是否调整前三层，不要用负董事会层强行通过。</w:t>
      </w:r>
    </w:p>
    <w:p>
      <w:pPr>
        <w:pStyle w:val="Heading2"/>
      </w:pPr>
      <w:bookmarkStart w:id="69" w:name="epm_69"/>
      <w:r>
        <w:rPr>
          <w:rFonts w:ascii="Arial" w:hAnsi="Arial" w:eastAsia="宋体"/>
          <w:b w:val="0"/>
          <w:i w:val="0"/>
        </w:rPr>
        <w:t>13.3 全年月度分摊</w:t>
      </w:r>
      <w:bookmarkEnd w:id="69"/>
    </w:p>
    <w:p>
      <w:r>
        <w:rPr>
          <w:rFonts w:ascii="Arial" w:hAnsi="Arial" w:eastAsia="宋体"/>
          <w:b w:val="0"/>
          <w:i w:val="0"/>
        </w:rPr>
        <w:t>“分摊方案”可选“均匀分摊”或“季节性权重”，仅编制中可改。选择后立即由服务端保存；“预览月份分摊”查看12个月金额。</w:t>
      </w:r>
    </w:p>
    <w:p>
      <w:r>
        <w:rPr>
          <w:rFonts w:ascii="Arial" w:hAnsi="Arial" w:eastAsia="宋体"/>
          <w:b w:val="0"/>
          <w:i w:val="0"/>
        </w:rPr>
        <w:t>均匀分摊按12月平均、两位小数处理，并保持全年合计等于年度目标。季节性权重从1月至12月依次为5%、5%、7%、8%、8%、9%、9%、9%、10%、10%、10%、10%。当前没有任意自定义月权重输入框。</w:t>
      </w:r>
    </w:p>
    <w:p>
      <w:r>
        <w:rPr>
          <w:rFonts w:ascii="Arial" w:hAnsi="Arial" w:eastAsia="宋体"/>
          <w:b w:val="0"/>
          <w:i w:val="0"/>
        </w:rPr>
        <w:t>例如年度4000、均匀方案，截至09期累计收入预算3000；季节性方案截至09期权重70%，累计2800。切换方案后经营分析会使用相应当前预算版本的月度累计。</w:t>
      </w:r>
    </w:p>
    <w:p>
      <w:pPr>
        <w:pStyle w:val="Heading2"/>
      </w:pPr>
      <w:bookmarkStart w:id="70" w:name="epm_70"/>
      <w:r>
        <w:rPr>
          <w:rFonts w:ascii="Arial" w:hAnsi="Arial" w:eastAsia="宋体"/>
          <w:b w:val="0"/>
          <w:i w:val="0"/>
        </w:rPr>
        <w:t>13.4 七类业务预算明细</w:t>
      </w:r>
      <w:bookmarkEnd w:id="70"/>
    </w:p>
    <w:p>
      <w:r>
        <w:rPr>
          <w:rFonts w:ascii="Arial" w:hAnsi="Arial" w:eastAsia="宋体"/>
          <w:b w:val="0"/>
          <w:i w:val="0"/>
        </w:rPr>
        <w:t>预算类型可选生产、采购、库存、人工、费用、资本、资金。销售预算使用四层目标；“三表预算口径”是单独的比较口径视图。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选择业务预算类型，点“新增预算明细”。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填写项目名称、数量、单价及业务说明。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数量或单价改变时，页面会计算预算金额。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核对“金额＝数量×单价，保留两位小数”，点“保存预算明细”。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已有明细用行内“编辑”修改，点“导出当前预算”下载当前类别明细。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2"/>
        <w:gridCol w:w="4063"/>
        <w:gridCol w:w="2872"/>
      </w:tblGrid>
      <w:tr>
        <w:trPr>
          <w:cantSplit/>
          <w:tblHeader w:val="true"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40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填写方法</w:t>
            </w:r>
          </w:p>
        </w:tc>
        <w:tc>
          <w:tcPr>
            <w:tcW w:type="dxa" w:w="2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预算项目名称</w:t>
            </w:r>
          </w:p>
        </w:tc>
        <w:tc>
          <w:tcPr>
            <w:tcW w:type="dxa" w:w="40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必填，最多100字符</w:t>
            </w:r>
          </w:p>
        </w:tc>
        <w:tc>
          <w:tcPr>
            <w:tcW w:type="dxa" w:w="2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猫爬架设备维护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数量</w:t>
            </w:r>
          </w:p>
        </w:tc>
        <w:tc>
          <w:tcPr>
            <w:tcW w:type="dxa" w:w="40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非负数，两位小数口径</w:t>
            </w:r>
          </w:p>
        </w:tc>
        <w:tc>
          <w:tcPr>
            <w:tcW w:type="dxa" w:w="2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单价</w:t>
            </w:r>
          </w:p>
        </w:tc>
        <w:tc>
          <w:tcPr>
            <w:tcW w:type="dxa" w:w="40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人民币万元，非负数</w:t>
            </w:r>
          </w:p>
        </w:tc>
        <w:tc>
          <w:tcPr>
            <w:tcW w:type="dxa" w:w="2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预算金额</w:t>
            </w:r>
          </w:p>
        </w:tc>
        <w:tc>
          <w:tcPr>
            <w:tcW w:type="dxa" w:w="40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必须等于数量×单价，两位小数</w:t>
            </w:r>
          </w:p>
        </w:tc>
        <w:tc>
          <w:tcPr>
            <w:tcW w:type="dxa" w:w="2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业务说明</w:t>
            </w:r>
          </w:p>
        </w:tc>
        <w:tc>
          <w:tcPr>
            <w:tcW w:type="dxa" w:w="40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可选，最多300字符</w:t>
            </w:r>
          </w:p>
        </w:tc>
        <w:tc>
          <w:tcPr>
            <w:tcW w:type="dxa" w:w="2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年度设备维护演示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业务明细按预算版本独立保存，一类最多200行。当前页面没有删除明细按钮；录错后用“编辑”修正，不把金额0自动理解为删除记录。</w:t>
      </w:r>
    </w:p>
    <w:p>
      <w:r>
        <w:rPr>
          <w:rFonts w:ascii="Arial" w:hAnsi="Arial" w:eastAsia="宋体"/>
          <w:b w:val="0"/>
          <w:i w:val="0"/>
        </w:rPr>
        <w:t>这些明细用于编制和版本演示，不自动生成生产排程、采购订单、实际库存或资金支付，也不自动汇总改写财务实绩和完整三表预算。分析成本费用比较仍使用演示基准，不应期待新增费用预算明细20后分析基准立即自动增加20。</w:t>
      </w:r>
    </w:p>
    <w:p>
      <w:pPr>
        <w:pStyle w:val="Heading2"/>
      </w:pPr>
      <w:bookmarkStart w:id="71" w:name="epm_71"/>
      <w:r>
        <w:rPr>
          <w:rFonts w:ascii="Arial" w:hAnsi="Arial" w:eastAsia="宋体"/>
          <w:b w:val="0"/>
          <w:i w:val="0"/>
        </w:rPr>
        <w:t>13.5 三表预算口径视图</w:t>
      </w:r>
      <w:bookmarkEnd w:id="71"/>
    </w:p>
    <w:p>
      <w:r>
        <w:rPr>
          <w:rFonts w:ascii="Arial" w:hAnsi="Arial" w:eastAsia="宋体"/>
          <w:b w:val="0"/>
          <w:i w:val="0"/>
        </w:rPr>
        <w:t>预算类型选择“三表预算口径”，查看年度收入及演示成本费用基准。基线成本2600、期间费用200、财务费用和所得税0，收入按当前四层目标汇总；年度净利润按收入减成本费用财税计算。</w:t>
      </w:r>
    </w:p>
    <w:p>
      <w:r>
        <w:rPr>
          <w:rFonts w:ascii="Arial" w:hAnsi="Arial" w:eastAsia="宋体"/>
          <w:b w:val="0"/>
          <w:i w:val="0"/>
        </w:rPr>
        <w:t>此视图不能编制完整资产负债表、现金流量表预算，不提供直接编辑比较成本费用基准的页面。当前预算数据不足以作为完整三表预算模型已经研发完毕的证明。</w:t>
      </w:r>
    </w:p>
    <w:p>
      <w:pPr>
        <w:pStyle w:val="Heading1"/>
      </w:pPr>
      <w:bookmarkStart w:id="72" w:name="epm_72"/>
      <w:r>
        <w:rPr>
          <w:rFonts w:ascii="Arial" w:hAnsi="Arial" w:eastAsia="宋体"/>
          <w:b w:val="0"/>
          <w:i w:val="0"/>
        </w:rPr>
        <w:t>十四、预算调整、滚动预测与多情景</w:t>
      </w:r>
      <w:bookmarkEnd w:id="72"/>
    </w:p>
    <w:p>
      <w:pPr>
        <w:pStyle w:val="Heading2"/>
      </w:pPr>
      <w:bookmarkStart w:id="73" w:name="epm_73"/>
      <w:r>
        <w:rPr>
          <w:rFonts w:ascii="Arial" w:hAnsi="Arial" w:eastAsia="宋体"/>
          <w:b w:val="0"/>
          <w:i w:val="0"/>
        </w:rPr>
        <w:t>14.1 发起独立预算调整</w:t>
      </w:r>
      <w:bookmarkEnd w:id="73"/>
    </w:p>
    <w:p>
      <w:r>
        <w:rPr>
          <w:rFonts w:ascii="Arial" w:hAnsi="Arial" w:eastAsia="宋体"/>
          <w:b w:val="0"/>
          <w:i w:val="0"/>
        </w:rPr>
        <w:t>入口“预算调整与滚动预测”→“发起预算调整”。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6185"/>
      </w:tblGrid>
      <w:tr>
        <w:trPr>
          <w:cantSplit/>
          <w:tblHeader w:val="true"/>
        </w:trPr>
        <w:tc>
          <w:tcPr>
            <w:tcW w:type="dxa" w:w="32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6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如何填写</w:t>
            </w:r>
          </w:p>
        </w:tc>
      </w:tr>
      <w:tr>
        <w:trPr>
          <w:cantSplit/>
        </w:trPr>
        <w:tc>
          <w:tcPr>
            <w:tcW w:type="dxa" w:w="32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来源版本</w:t>
            </w:r>
          </w:p>
        </w:tc>
        <w:tc>
          <w:tcPr>
            <w:tcW w:type="dxa" w:w="6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只读，确认是准备调整的预算版本</w:t>
            </w:r>
          </w:p>
        </w:tc>
      </w:tr>
      <w:tr>
        <w:trPr>
          <w:cantSplit/>
        </w:trPr>
        <w:tc>
          <w:tcPr>
            <w:tcW w:type="dxa" w:w="32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年度收入增量</w:t>
            </w:r>
          </w:p>
        </w:tc>
        <w:tc>
          <w:tcPr>
            <w:tcW w:type="dxa" w:w="6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非零，允许减少；调整后所选层不得为负</w:t>
            </w:r>
          </w:p>
        </w:tc>
      </w:tr>
      <w:tr>
        <w:trPr>
          <w:cantSplit/>
        </w:trPr>
        <w:tc>
          <w:tcPr>
            <w:tcW w:type="dxa" w:w="32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调整预算层</w:t>
            </w:r>
          </w:p>
        </w:tc>
        <w:tc>
          <w:tcPr>
            <w:tcW w:type="dxa" w:w="6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基础、挑战、管理或董事会层</w:t>
            </w:r>
          </w:p>
        </w:tc>
      </w:tr>
      <w:tr>
        <w:trPr>
          <w:cantSplit/>
        </w:trPr>
        <w:tc>
          <w:tcPr>
            <w:tcW w:type="dxa" w:w="32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调整原因</w:t>
            </w:r>
          </w:p>
        </w:tc>
        <w:tc>
          <w:tcPr>
            <w:tcW w:type="dxa" w:w="6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必填，说明业务依据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点击“保存调整申请”后生成待审批单，记录来源版本快照；原版金额暂不变。示例：从未改动的4000版本，董事会层增加200，批准后新目标4200，来源版本仍4000。</w:t>
      </w:r>
    </w:p>
    <w:p>
      <w:pPr>
        <w:pStyle w:val="Heading2"/>
      </w:pPr>
      <w:bookmarkStart w:id="74" w:name="epm_74"/>
      <w:r>
        <w:rPr>
          <w:rFonts w:ascii="Arial" w:hAnsi="Arial" w:eastAsia="宋体"/>
          <w:b w:val="0"/>
          <w:i w:val="0"/>
        </w:rPr>
        <w:t>14.2 批准或退回调整</w:t>
      </w:r>
      <w:bookmarkEnd w:id="74"/>
    </w:p>
    <w:p>
      <w:r>
        <w:rPr>
          <w:rFonts w:ascii="Arial" w:hAnsi="Arial" w:eastAsia="宋体"/>
          <w:b w:val="0"/>
          <w:i w:val="0"/>
        </w:rPr>
        <w:t>负责人打开调整行“查看与审批”。核对原版、层、增量、原因和来源快照后：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点“批准并生成新版本”，系统按申请时的来源快照生成独立预算调整版，状态为“已审批”，并切换到新版本；原版保持原金额和状态。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点“退回申请”，该申请变为“已退回”。当前按钮使用固定退回说明，后续需要修正申请时另建有准确原因的新申请。</w:t>
      </w:r>
    </w:p>
    <w:p>
      <w:r>
        <w:rPr>
          <w:rFonts w:ascii="Arial" w:hAnsi="Arial" w:eastAsia="宋体"/>
          <w:b w:val="0"/>
          <w:i w:val="0"/>
        </w:rPr>
        <w:t>同一申请不能重复处理。待审批时切换其他预算版本不会把申请来源变成新选择的版本；批准仍按申请留存的来源快照。新调整版本如需继续编制，应复制为新草稿；不要直接改已经审批的调整结果。</w:t>
      </w:r>
    </w:p>
    <w:p>
      <w:pPr>
        <w:pStyle w:val="Heading2"/>
      </w:pPr>
      <w:bookmarkStart w:id="75" w:name="epm_75"/>
      <w:r>
        <w:rPr>
          <w:rFonts w:ascii="Arial" w:hAnsi="Arial" w:eastAsia="宋体"/>
          <w:b w:val="0"/>
          <w:i w:val="0"/>
        </w:rPr>
        <w:t>14.3 创建滚动预测</w:t>
      </w:r>
      <w:bookmarkEnd w:id="75"/>
    </w:p>
    <w:p>
      <w:r>
        <w:rPr>
          <w:rFonts w:ascii="Arial" w:hAnsi="Arial" w:eastAsia="宋体"/>
          <w:b w:val="0"/>
          <w:i w:val="0"/>
        </w:rPr>
        <w:t>点击“创建滚动预测版本”，填写唯一的新版本名称，情景选择“滚动预测”。保存后复制当前完整预算快照为独立“编制中”版本，可再编辑分层、分摊和业务明细，并按同一审批流程提交。</w:t>
      </w:r>
    </w:p>
    <w:p>
      <w:r>
        <w:rPr>
          <w:rFonts w:ascii="Arial" w:hAnsi="Arial" w:eastAsia="宋体"/>
          <w:b w:val="0"/>
          <w:i w:val="0"/>
        </w:rPr>
        <w:t>本轮滚动预测是可保存的情景版本和人工编制流程，不会自动从未来订单、产能、现金回款或预测算法生成未来月份数字。</w:t>
      </w:r>
    </w:p>
    <w:p>
      <w:pPr>
        <w:pStyle w:val="Heading2"/>
      </w:pPr>
      <w:bookmarkStart w:id="76" w:name="epm_76"/>
      <w:r>
        <w:rPr>
          <w:rFonts w:ascii="Arial" w:hAnsi="Arial" w:eastAsia="宋体"/>
          <w:b w:val="0"/>
          <w:i w:val="0"/>
        </w:rPr>
        <w:t>14.4 版本与多情景</w:t>
      </w:r>
      <w:bookmarkEnd w:id="76"/>
    </w:p>
    <w:p>
      <w:r>
        <w:rPr>
          <w:rFonts w:ascii="Arial" w:hAnsi="Arial" w:eastAsia="宋体"/>
          <w:b w:val="0"/>
          <w:i w:val="0"/>
        </w:rPr>
        <w:t>入口“版本与多情景”。“复制当前版本”填写新名称，可选年度预算、滚动预测或压力情景；版本名称须唯一，最多40字符。复制保留原版层金额、分摊和业务明细，新版为编制中。</w:t>
      </w:r>
    </w:p>
    <w:p>
      <w:r>
        <w:rPr>
          <w:rFonts w:ascii="Arial" w:hAnsi="Arial" w:eastAsia="宋体"/>
          <w:b w:val="0"/>
          <w:i w:val="0"/>
        </w:rPr>
        <w:t>点其他行“切换本版”后，服务器载入该完整版本的金额、明细和状态，并保存当前活跃选择；不是只改变页面标签。切换到锁定版仍受锁定保护。“比较版本”展示各版情景、年度收入目标和状态；当前没有完整逐单元格差异矩阵。</w:t>
      </w:r>
    </w:p>
    <w:p>
      <w:pPr>
        <w:pStyle w:val="Heading1"/>
      </w:pPr>
      <w:bookmarkStart w:id="77" w:name="epm_77"/>
      <w:r>
        <w:rPr>
          <w:rFonts w:ascii="Arial" w:hAnsi="Arial" w:eastAsia="宋体"/>
          <w:b w:val="0"/>
          <w:i w:val="0"/>
        </w:rPr>
        <w:t>十五、经营分析与管理报表</w:t>
      </w:r>
      <w:bookmarkEnd w:id="77"/>
    </w:p>
    <w:p>
      <w:pPr>
        <w:pStyle w:val="Heading2"/>
      </w:pPr>
      <w:bookmarkStart w:id="78" w:name="epm_78"/>
      <w:r>
        <w:rPr>
          <w:rFonts w:ascii="Arial" w:hAnsi="Arial" w:eastAsia="宋体"/>
          <w:b w:val="0"/>
          <w:i w:val="0"/>
        </w:rPr>
        <w:t>15.1 经营差异与钻取</w:t>
      </w:r>
      <w:bookmarkEnd w:id="78"/>
    </w:p>
    <w:p>
      <w:r>
        <w:rPr>
          <w:rFonts w:ascii="Arial" w:hAnsi="Arial" w:eastAsia="宋体"/>
          <w:b w:val="0"/>
          <w:i w:val="0"/>
        </w:rPr>
        <w:t>入口“经营差异与钻取”。先确认财务结果有效性、范围、期间、报表币种，再看营业收入、成本、期间费用和净利润的实际、预算及差异。差异方向为“实际－预算”，负数仅表示低于预算，不能不看指标性质就判定好坏。</w:t>
      </w:r>
    </w:p>
    <w:p>
      <w:r>
        <w:rPr>
          <w:rFonts w:ascii="Arial" w:hAnsi="Arial" w:eastAsia="宋体"/>
          <w:b w:val="0"/>
          <w:i w:val="0"/>
        </w:rPr>
        <w:t>仅集团人民币范围做预实比较。鸿旺小合并和海外USD范围展示同币种实际及来源，并提示不能与集团CNY预算混比。实际金额来自当前所选财务结果，预算来自当前活跃集团人民币版本；两套版本需分别确认。</w:t>
      </w:r>
    </w:p>
    <w:p>
      <w:r>
        <w:rPr>
          <w:rFonts w:ascii="Arial" w:hAnsi="Arial" w:eastAsia="宋体"/>
          <w:b w:val="0"/>
          <w:i w:val="0"/>
        </w:rPr>
        <w:t>基线均匀分摊、全年收入目标4000时，09期预算收入3000、成本1950、费用150、净利润900；集团实际收入2650、净利润770，对应收入差异－350、净利润差异－130。若预算分摊方案或版本已变，这些比较数也会改变。</w:t>
      </w:r>
    </w:p>
    <w:p>
      <w:r>
        <w:rPr>
          <w:rFonts w:ascii="Arial" w:hAnsi="Arial" w:eastAsia="宋体"/>
          <w:b w:val="0"/>
          <w:i w:val="0"/>
        </w:rPr>
        <w:t>点击“结果来源”查看指定结果及下级引用，不直接把不同法人的原币金额加总。法人贡献若用于分析，其口径是合并抵销前，不能不扣抵销就当作集团合并金额。</w:t>
      </w:r>
    </w:p>
    <w:p>
      <w:pPr>
        <w:pStyle w:val="Heading2"/>
      </w:pPr>
      <w:bookmarkStart w:id="79" w:name="epm_79"/>
      <w:r>
        <w:rPr>
          <w:rFonts w:ascii="Arial" w:hAnsi="Arial" w:eastAsia="宋体"/>
          <w:b w:val="0"/>
          <w:i w:val="0"/>
        </w:rPr>
        <w:t>15.2 保存经营说明</w:t>
      </w:r>
      <w:bookmarkEnd w:id="79"/>
    </w:p>
    <w:p>
      <w:r>
        <w:rPr>
          <w:rFonts w:ascii="Arial" w:hAnsi="Arial" w:eastAsia="宋体"/>
          <w:b w:val="0"/>
          <w:i w:val="0"/>
        </w:rPr>
        <w:t>在当前单元和期间的“经营说明”区点“编辑经营说明”，填必填文字，最多3000字符，点击“保存说明”。说明按单元及期间保存并留痕，不会改变报表金额、结果签核或预算目标。</w:t>
      </w:r>
    </w:p>
    <w:p>
      <w:r>
        <w:rPr>
          <w:rFonts w:ascii="Arial" w:hAnsi="Arial" w:eastAsia="宋体"/>
          <w:b w:val="0"/>
          <w:i w:val="0"/>
        </w:rPr>
        <w:t>可记录“本期销售变动原因、预算偏差、汇率假设及待核事项”，应同时写明使用的财务结果版本和预算版本，避免把旧失效快照分析成当前结果。</w:t>
      </w:r>
    </w:p>
    <w:p>
      <w:r>
        <w:rPr>
          <w:rFonts w:ascii="Arial" w:hAnsi="Arial" w:eastAsia="宋体"/>
          <w:b w:val="0"/>
          <w:i w:val="0"/>
        </w:rPr>
        <w:t>“导出经营分析”下载经营摘要CSV，含收入、净利润、折算差额和现金汇率影响；当前不把所有页面钻取表和经营说明自动合成一个完整分析报告。</w:t>
      </w:r>
    </w:p>
    <w:p>
      <w:pPr>
        <w:pStyle w:val="Heading2"/>
      </w:pPr>
      <w:bookmarkStart w:id="80" w:name="epm_80"/>
      <w:r>
        <w:rPr>
          <w:rFonts w:ascii="Arial" w:hAnsi="Arial" w:eastAsia="宋体"/>
          <w:b w:val="0"/>
          <w:i w:val="0"/>
        </w:rPr>
        <w:t>15.3 管理报表中心</w:t>
      </w:r>
      <w:bookmarkEnd w:id="80"/>
    </w:p>
    <w:p>
      <w:r>
        <w:rPr>
          <w:rFonts w:ascii="Arial" w:hAnsi="Arial" w:eastAsia="宋体"/>
          <w:b w:val="0"/>
          <w:i w:val="0"/>
        </w:rPr>
        <w:t>入口“管理报表中心”。四个入口分别进入集团三张报表、分级结果血缘、经营分析及财务三表源；“导出全部结果证据”按钮导出当前选中结果的完整JSON证据，不是跨所有期间和所有版本的批量数据库导出。</w:t>
      </w:r>
    </w:p>
    <w:p>
      <w:r>
        <w:rPr>
          <w:rFonts w:ascii="Arial" w:hAnsi="Arial" w:eastAsia="宋体"/>
          <w:b w:val="0"/>
          <w:i w:val="0"/>
        </w:rPr>
        <w:t>凭证模式的来源已包含原始凭证和期初快照；需要多个期间或版本时，逐一切换期间、打开对应历史结果再导出，保存时用文件夹或文件名区分单元、期间和版本。</w:t>
      </w:r>
    </w:p>
    <w:p>
      <w:pPr>
        <w:pStyle w:val="Heading1"/>
      </w:pPr>
      <w:bookmarkStart w:id="81" w:name="epm_81"/>
      <w:r>
        <w:rPr>
          <w:rFonts w:ascii="Arial" w:hAnsi="Arial" w:eastAsia="宋体"/>
          <w:b w:val="0"/>
          <w:i w:val="0"/>
        </w:rPr>
        <w:t>十六、组织权限、审计和系统配置</w:t>
      </w:r>
      <w:bookmarkEnd w:id="81"/>
    </w:p>
    <w:p>
      <w:pPr>
        <w:pStyle w:val="Heading2"/>
      </w:pPr>
      <w:bookmarkStart w:id="82" w:name="epm_82"/>
      <w:r>
        <w:rPr>
          <w:rFonts w:ascii="Arial" w:hAnsi="Arial" w:eastAsia="宋体"/>
          <w:b w:val="0"/>
          <w:i w:val="0"/>
        </w:rPr>
        <w:t>16.1 切换本机演示角色</w:t>
      </w:r>
      <w:bookmarkEnd w:id="82"/>
    </w:p>
    <w:p>
      <w:r>
        <w:rPr>
          <w:rFonts w:ascii="Arial" w:hAnsi="Arial" w:eastAsia="宋体"/>
          <w:b w:val="0"/>
          <w:i w:val="0"/>
        </w:rPr>
        <w:t>入口“组织权限”，页面标题为“组织权限与角色”。也可点击右上角“财”头像，选择角色→“切换角色”。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4"/>
        <w:gridCol w:w="1816"/>
        <w:gridCol w:w="1698"/>
        <w:gridCol w:w="1698"/>
      </w:tblGrid>
      <w:tr>
        <w:trPr>
          <w:cantSplit/>
          <w:tblHeader w:val="true"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能力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集团财务负责人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法人会计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审计只读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查看报表、历史及来源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保存未启用凭证的手工源、导入三表CSV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导入ERP期初/凭证、生成单体、扫描匹配、生成自动草稿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补充客商/共同关联号/现金分类核对标注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NC适配、ERP科目映射、取消批次、载入样例、模式转换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批量审批ERP自动抵销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保存抵销草稿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计算合并结果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审批抵销、停用抵销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签核结果、重开相关层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法人/股权/单元/汇率/科目/系统配置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预算编制、复制、提交及发起调整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预算审批、锁定及调整审批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1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经营说明保存</w:t>
            </w:r>
          </w:p>
        </w:tc>
        <w:tc>
          <w:tcPr>
            <w:tcW w:type="dxa" w:w="181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禁止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服务端也检查角色，按钮可点击不代表一定有写权限。若提示需要负责人，切换到相应演示角色再重试，并同时确认结果锁定和版本条件。</w:t>
      </w:r>
    </w:p>
    <w:p>
      <w:r>
        <w:rPr>
          <w:rFonts w:ascii="Arial" w:hAnsi="Arial" w:eastAsia="宋体"/>
          <w:b w:val="0"/>
          <w:i w:val="0"/>
        </w:rPr>
        <w:t>角色切换用于单机流程体验，任何使用本机演示的人均可在界面切换角色；它不是企业真实账号、密码、多用户身份认证、法人数据隔离或正式职责分离。无邮箱登录并不意味着可作为生产统一身份方案。</w:t>
      </w:r>
    </w:p>
    <w:p>
      <w:pPr>
        <w:pStyle w:val="Heading2"/>
      </w:pPr>
      <w:bookmarkStart w:id="83" w:name="epm_83"/>
      <w:r>
        <w:rPr>
          <w:rFonts w:ascii="Arial" w:hAnsi="Arial" w:eastAsia="宋体"/>
          <w:b w:val="0"/>
          <w:i w:val="0"/>
        </w:rPr>
        <w:t>16.2 审计轨迹</w:t>
      </w:r>
      <w:bookmarkEnd w:id="83"/>
    </w:p>
    <w:p>
      <w:r>
        <w:rPr>
          <w:rFonts w:ascii="Arial" w:hAnsi="Arial" w:eastAsia="宋体"/>
          <w:b w:val="0"/>
          <w:i w:val="0"/>
        </w:rPr>
        <w:t>入口“审计轨迹”，查看时间、角色、动作和业务对象。记录由实际保存事务生成，刷新和服务重启后仍可读取。页面读取最近200条记录；“导出审计记录”导出当前已加载记录，不是无限历史审计归档。</w:t>
      </w:r>
    </w:p>
    <w:p>
      <w:r>
        <w:rPr>
          <w:rFonts w:ascii="Arial" w:hAnsi="Arial" w:eastAsia="宋体"/>
          <w:b w:val="0"/>
          <w:i w:val="0"/>
        </w:rPr>
        <w:t>失败而未提交的业务写入不增加成功业务版本；若需要分析失败请求，应由研发在不泄露凭据的前提下结合本机日志核对。演示操作记录不等于具备生产不可篡改审计设施。</w:t>
      </w:r>
    </w:p>
    <w:p>
      <w:pPr>
        <w:pStyle w:val="Heading2"/>
      </w:pPr>
      <w:bookmarkStart w:id="84" w:name="epm_84"/>
      <w:r>
        <w:rPr>
          <w:rFonts w:ascii="Arial" w:hAnsi="Arial" w:eastAsia="宋体"/>
          <w:b w:val="0"/>
          <w:i w:val="0"/>
        </w:rPr>
        <w:t>16.3 系统配置</w:t>
      </w:r>
      <w:bookmarkEnd w:id="84"/>
    </w:p>
    <w:p>
      <w:r>
        <w:rPr>
          <w:rFonts w:ascii="Arial" w:hAnsi="Arial" w:eastAsia="宋体"/>
          <w:b w:val="0"/>
          <w:i w:val="0"/>
        </w:rPr>
        <w:t>入口“系统配置”。负责人可修改“集团名称”，点击“保存配置”更新系统名称和导出抬头。业务合并单元名称属于各自单元配置，不会仅因为改集团名称就批量重命名所有法人和单元。</w:t>
      </w:r>
    </w:p>
    <w:p>
      <w:r>
        <w:rPr>
          <w:rFonts w:ascii="Arial" w:hAnsi="Arial" w:eastAsia="宋体"/>
          <w:b w:val="0"/>
          <w:i w:val="0"/>
        </w:rPr>
        <w:t>财政年度2026、报表基础币种人民币、月度十二期日历、简体中文和基础金额单位为固定演示设置。灰显或只读字段不能当作可配置能力；当前不支持通过改年度把已存2026数据重标为2027账套。</w:t>
      </w:r>
    </w:p>
    <w:p>
      <w:pPr>
        <w:pStyle w:val="Heading2"/>
      </w:pPr>
      <w:bookmarkStart w:id="85" w:name="epm_85"/>
      <w:r>
        <w:rPr>
          <w:rFonts w:ascii="Arial" w:hAnsi="Arial" w:eastAsia="宋体"/>
          <w:b w:val="0"/>
          <w:i w:val="0"/>
        </w:rPr>
        <w:t>16.4 本机环境工具</w:t>
      </w:r>
      <w:bookmarkEnd w:id="85"/>
    </w:p>
    <w:p>
      <w:r>
        <w:rPr>
          <w:rFonts w:ascii="Arial" w:hAnsi="Arial" w:eastAsia="宋体"/>
          <w:b w:val="0"/>
          <w:i w:val="0"/>
        </w:rPr>
        <w:t>右上“本机环境”显示产品、角色、语言、数据版本、实际数据目录和日志目录。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6929"/>
      </w:tblGrid>
      <w:tr>
        <w:trPr>
          <w:cantSplit/>
          <w:tblHeader w:val="true"/>
        </w:trPr>
        <w:tc>
          <w:tcPr>
            <w:tcW w:type="dxa" w:w="24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按钮</w:t>
            </w:r>
          </w:p>
        </w:tc>
        <w:tc>
          <w:tcPr>
            <w:tcW w:type="dxa" w:w="69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操作效果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刷新状态</w:t>
            </w:r>
          </w:p>
        </w:tc>
        <w:tc>
          <w:tcPr>
            <w:tcW w:type="dxa" w:w="69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重新读取服务器保存值，关闭工具弹窗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打开数据目录</w:t>
            </w:r>
          </w:p>
        </w:tc>
        <w:tc>
          <w:tcPr>
            <w:tcW w:type="dxa" w:w="69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在Windows资源管理器打开当前真实目录；无法自动打开时复制路径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安全退出</w:t>
            </w:r>
          </w:p>
        </w:tc>
        <w:tc>
          <w:tcPr>
            <w:tcW w:type="dxa" w:w="69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进入退出确认，确认后停止服务并保留数据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确认退出后页面显示“已安全退出”。需继续时重新双击EXE，不要在停止服务后的旧页面反复点击保存。</w:t>
      </w:r>
    </w:p>
    <w:p>
      <w:pPr>
        <w:pStyle w:val="Heading1"/>
      </w:pPr>
      <w:bookmarkStart w:id="86" w:name="epm_86"/>
      <w:r>
        <w:rPr>
          <w:rFonts w:ascii="Arial" w:hAnsi="Arial" w:eastAsia="宋体"/>
          <w:b w:val="0"/>
          <w:i w:val="0"/>
        </w:rPr>
        <w:t>十七、日常工作清单与完整演示路线</w:t>
      </w:r>
      <w:bookmarkEnd w:id="86"/>
    </w:p>
    <w:p>
      <w:pPr>
        <w:pStyle w:val="Heading2"/>
      </w:pPr>
      <w:bookmarkStart w:id="87" w:name="epm_87"/>
      <w:r>
        <w:rPr>
          <w:rFonts w:ascii="Arial" w:hAnsi="Arial" w:eastAsia="宋体"/>
          <w:b w:val="0"/>
          <w:i w:val="0"/>
        </w:rPr>
        <w:t>17.1 财务合并日常检查单</w:t>
      </w:r>
      <w:bookmarkEnd w:id="87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核对新旧软件和实际数据目录，使用当前多层Demo EXE。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确认单元、期间、币种及角色。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凭证模式先核对NC适配、有效映射/期初/完整凭证，生成法人三表；完成本层当前版本匹配、差异核清、草稿及审批。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核对法人三表源完整、互不重叠，各月累计一致。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核对管理成员、真实股权、分类汇率和抵销最低共同层。</w:t>
      </w:r>
    </w:p>
    <w:p>
      <w:pPr>
        <w:ind w:left="283" w:hanging="198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  <w:b w:val="0"/>
          <w:i w:val="0"/>
        </w:rPr>
        <w:t>已签核依赖有变更时，由负责人先重开最小受影响层及祖先。</w:t>
      </w:r>
    </w:p>
    <w:p>
      <w:pPr>
        <w:ind w:left="283" w:hanging="198"/>
      </w:pPr>
      <w:r>
        <w:rPr>
          <w:rFonts w:ascii="Arial" w:hAnsi="Arial" w:eastAsia="宋体"/>
        </w:rPr>
        <w:t xml:space="preserve">7. </w:t>
      </w:r>
      <w:r>
        <w:rPr>
          <w:rFonts w:ascii="Arial" w:hAnsi="Arial" w:eastAsia="宋体"/>
          <w:b w:val="0"/>
          <w:i w:val="0"/>
        </w:rPr>
        <w:t>审批或停用未处理抵销草稿。</w:t>
      </w:r>
    </w:p>
    <w:p>
      <w:pPr>
        <w:ind w:left="283" w:hanging="198"/>
      </w:pPr>
      <w:r>
        <w:rPr>
          <w:rFonts w:ascii="Arial" w:hAnsi="Arial" w:eastAsia="宋体"/>
        </w:rPr>
        <w:t xml:space="preserve">8. </w:t>
      </w:r>
      <w:r>
        <w:rPr>
          <w:rFonts w:ascii="Arial" w:hAnsi="Arial" w:eastAsia="宋体"/>
          <w:b w:val="0"/>
          <w:i w:val="0"/>
        </w:rPr>
        <w:t>从下级到上级计算、核对四项勾稽、签核。</w:t>
      </w:r>
    </w:p>
    <w:p>
      <w:pPr>
        <w:ind w:left="283" w:hanging="198"/>
      </w:pPr>
      <w:r>
        <w:rPr>
          <w:rFonts w:ascii="Arial" w:hAnsi="Arial" w:eastAsia="宋体"/>
        </w:rPr>
        <w:t xml:space="preserve">9. </w:t>
      </w:r>
      <w:r>
        <w:rPr>
          <w:rFonts w:ascii="Arial" w:hAnsi="Arial" w:eastAsia="宋体"/>
          <w:b w:val="0"/>
          <w:i w:val="0"/>
        </w:rPr>
        <w:t>导出所需报表及完整结果证据，记录版本。</w:t>
      </w:r>
    </w:p>
    <w:p>
      <w:pPr>
        <w:ind w:left="283" w:hanging="198"/>
      </w:pPr>
      <w:r>
        <w:rPr>
          <w:rFonts w:ascii="Arial" w:hAnsi="Arial" w:eastAsia="宋体"/>
        </w:rPr>
        <w:t xml:space="preserve">10. </w:t>
      </w:r>
      <w:r>
        <w:rPr>
          <w:rFonts w:ascii="Arial" w:hAnsi="Arial" w:eastAsia="宋体"/>
          <w:b w:val="0"/>
          <w:i w:val="0"/>
        </w:rPr>
        <w:t>对比正确的集团人民币预算版，保存经营说明。</w:t>
      </w:r>
    </w:p>
    <w:p>
      <w:pPr>
        <w:ind w:left="283" w:hanging="198"/>
      </w:pPr>
      <w:r>
        <w:rPr>
          <w:rFonts w:ascii="Arial" w:hAnsi="Arial" w:eastAsia="宋体"/>
        </w:rPr>
        <w:t xml:space="preserve">11. </w:t>
      </w:r>
      <w:r>
        <w:rPr>
          <w:rFonts w:ascii="Arial" w:hAnsi="Arial" w:eastAsia="宋体"/>
          <w:b w:val="0"/>
          <w:i w:val="0"/>
        </w:rPr>
        <w:t>演示结束安全退出；需要备份时退出后复制整个数据目录。</w:t>
      </w:r>
    </w:p>
    <w:p>
      <w:pPr>
        <w:pStyle w:val="Heading2"/>
      </w:pPr>
      <w:bookmarkStart w:id="88" w:name="epm_88"/>
      <w:r>
        <w:rPr>
          <w:rFonts w:ascii="Arial" w:hAnsi="Arial" w:eastAsia="宋体"/>
          <w:b w:val="0"/>
          <w:i w:val="0"/>
        </w:rPr>
        <w:t>17.2 优先演示：NC普通文件闭环</w:t>
      </w:r>
      <w:bookmarkEnd w:id="88"/>
    </w:p>
    <w:p>
      <w:r>
        <w:rPr>
          <w:rFonts w:ascii="Arial" w:hAnsi="Arial" w:eastAsia="宋体"/>
          <w:b w:val="0"/>
          <w:i w:val="0"/>
        </w:rPr>
        <w:t>先执行第六章6.6的范围重开和预置抵销转换，按A或B同一套文件维护适配、导入映射/期初/凭证；逐法人生成与检查，再鸿旺匹配→差异核清→自动草稿→负责人审批→小合并签核→集团匹配审批→集团签核。最后从集团历史源和差异追到原凭证，安全退出重启检查。不要用载入样例快捷操作替代普通上传验收。</w:t>
      </w:r>
    </w:p>
    <w:p>
      <w:pPr>
        <w:pStyle w:val="Heading2"/>
      </w:pPr>
      <w:bookmarkStart w:id="89" w:name="epm_89"/>
      <w:r>
        <w:rPr>
          <w:rFonts w:ascii="Arial" w:hAnsi="Arial" w:eastAsia="宋体"/>
          <w:b w:val="0"/>
          <w:i w:val="0"/>
        </w:rPr>
        <w:t>17.3 手工源连续演示一：鸿旺改数并上卷</w:t>
      </w:r>
      <w:bookmarkEnd w:id="89"/>
    </w:p>
    <w:p>
      <w:r>
        <w:rPr>
          <w:rFonts w:ascii="Arial" w:hAnsi="Arial" w:eastAsia="宋体"/>
          <w:b w:val="0"/>
          <w:i w:val="0"/>
        </w:rPr>
        <w:t>仅在未使用凭证来源的独立手工演示账套，使用未改数基线09期，按本手册第十章步骤给鸿旺猫爬架加现金销售10。依次展示：重开导致集团失效→旧结果无法上卷→法人源300变310→鸿旺1410签核→集团2660、利润780签核→旧集团2650、利润770仍可查看→服务退出重启保留新结果。</w:t>
      </w:r>
    </w:p>
    <w:p>
      <w:pPr>
        <w:pStyle w:val="Heading2"/>
      </w:pPr>
      <w:bookmarkStart w:id="90" w:name="epm_90"/>
      <w:r>
        <w:rPr>
          <w:rFonts w:ascii="Arial" w:hAnsi="Arial" w:eastAsia="宋体"/>
          <w:b w:val="0"/>
          <w:i w:val="0"/>
        </w:rPr>
        <w:t>17.4 手工源连续演示二：在上例之后只改期末率</w:t>
      </w:r>
      <w:bookmarkEnd w:id="90"/>
    </w:p>
    <w:p>
      <w:r>
        <w:rPr>
          <w:rFonts w:ascii="Arial" w:hAnsi="Arial" w:eastAsia="宋体"/>
          <w:b w:val="0"/>
          <w:i w:val="0"/>
        </w:rPr>
        <w:t>承接演示一，仅把期末7.2改7.3，平均及现金流7、历史及期初6.5不动。发布后集团失效，鸿旺新签核及海外USD结果保持有效。集团重算后收入仍2660、利润仍780，CTA86、现金汇率影响110。查看历史集团结果，原CTA74、现金汇率影响90不变。</w:t>
      </w:r>
    </w:p>
    <w:p>
      <w:pPr>
        <w:pStyle w:val="Heading2"/>
      </w:pPr>
      <w:bookmarkStart w:id="91" w:name="epm_91"/>
      <w:r>
        <w:rPr>
          <w:rFonts w:ascii="Arial" w:hAnsi="Arial" w:eastAsia="宋体"/>
          <w:b w:val="0"/>
          <w:i w:val="0"/>
        </w:rPr>
        <w:t>17.5 独立演示：预算审批与调整</w:t>
      </w:r>
      <w:bookmarkEnd w:id="91"/>
    </w:p>
    <w:p>
      <w:r>
        <w:rPr>
          <w:rFonts w:ascii="Arial" w:hAnsi="Arial" w:eastAsia="宋体"/>
          <w:b w:val="0"/>
          <w:i w:val="0"/>
        </w:rPr>
        <w:t>此例以未改动的4000预算版为起点，或先切回相应完整来源版本：查看四层→预览12月分摊→提交→负责人审批→锁定→发起董事会层增加200调整→批准生成4200独立版本→切回旧锁定版确认仍4000→再切新版本查看4200。财务实绩保持不变；批准调整不自动生成会计交易。</w:t>
      </w:r>
    </w:p>
    <w:p>
      <w:pPr>
        <w:pStyle w:val="Heading2"/>
      </w:pPr>
      <w:bookmarkStart w:id="92" w:name="epm_92"/>
      <w:r>
        <w:rPr>
          <w:rFonts w:ascii="Arial" w:hAnsi="Arial" w:eastAsia="宋体"/>
          <w:b w:val="0"/>
          <w:i w:val="0"/>
        </w:rPr>
        <w:t>17.6 避免案例相互污染</w:t>
      </w:r>
      <w:bookmarkEnd w:id="92"/>
    </w:p>
    <w:p>
      <w:r>
        <w:rPr>
          <w:rFonts w:ascii="Arial" w:hAnsi="Arial" w:eastAsia="宋体"/>
          <w:b w:val="0"/>
          <w:i w:val="0"/>
        </w:rPr>
        <w:t xml:space="preserve">修改会持久保存，不会因刷新或关闭弹窗回到基线。本手册标注“基线”的例子均从未被其他改数影响的账套开始。NC主流程用第六章A或B的独立案例；后文手工平衡助手例子只用于未启用ERP来源的独立账套，不能在已经转为凭证源的账套照做。需要独立演示环境时，先备份已有数据，可由实施人员使用EXE的独立 </w:t>
      </w:r>
      <w:r>
        <w:rPr>
          <w:rFonts w:ascii="Consolas" w:hAnsi="Consolas" w:eastAsia="宋体"/>
          <w:b w:val="0"/>
          <w:i w:val="0"/>
          <w:sz w:val="18"/>
        </w:rPr>
        <w:t>--data-dir</w:t>
      </w:r>
      <w:r>
        <w:rPr>
          <w:rFonts w:ascii="Arial" w:hAnsi="Arial" w:eastAsia="宋体"/>
          <w:b w:val="0"/>
          <w:i w:val="0"/>
        </w:rPr>
        <w:t xml:space="preserve"> 参数创建新空目录；不要删除现有数据库来恢复基线。</w:t>
      </w:r>
    </w:p>
    <w:p>
      <w:r>
        <w:rPr>
          <w:rFonts w:ascii="Arial" w:hAnsi="Arial" w:eastAsia="宋体"/>
          <w:b w:val="0"/>
          <w:i w:val="0"/>
        </w:rPr>
        <w:t>例如，在PowerShell中从程序目录执行以下命令，可使用单独数据目录；此步骤不需要安装Python。应先确认目标目录确实独立，后续启动、状态和停止使用同一目录参数。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&amp; ".\天元EPM 凭证合并Demo.exe" --data-dir "D:\天元EPM演示数据\案例A"</w:t>
      </w:r>
    </w:p>
    <w:p>
      <w:pPr>
        <w:spacing w:after="20"/>
      </w:pPr>
    </w:p>
    <w:p>
      <w:r>
        <w:rPr>
          <w:rFonts w:ascii="Arial" w:hAnsi="Arial" w:eastAsia="宋体"/>
          <w:b w:val="0"/>
          <w:i w:val="0"/>
        </w:rPr>
        <w:t>新空目录会建立新的虚构演示账套，原目录数据不迁入、不删除。普通日常使用继续双击EXE默认环境即可。</w:t>
      </w:r>
    </w:p>
    <w:p>
      <w:pPr>
        <w:pStyle w:val="Heading1"/>
      </w:pPr>
      <w:bookmarkStart w:id="93" w:name="epm_93"/>
      <w:r>
        <w:rPr>
          <w:rFonts w:ascii="Arial" w:hAnsi="Arial" w:eastAsia="宋体"/>
          <w:b w:val="0"/>
          <w:i w:val="0"/>
        </w:rPr>
        <w:t>十八、备份、恢复与升级交接</w:t>
      </w:r>
      <w:bookmarkEnd w:id="93"/>
    </w:p>
    <w:p>
      <w:pPr>
        <w:pStyle w:val="Heading2"/>
      </w:pPr>
      <w:bookmarkStart w:id="94" w:name="epm_94"/>
      <w:r>
        <w:rPr>
          <w:rFonts w:ascii="Arial" w:hAnsi="Arial" w:eastAsia="宋体"/>
          <w:b w:val="0"/>
          <w:i w:val="0"/>
        </w:rPr>
        <w:t>18.1 正确备份</w:t>
      </w:r>
      <w:bookmarkEnd w:id="94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确认保存完成，记录当前版本、范围及结果ID。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通过“本机环境”安全退出。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 xml:space="preserve">在资源管理器复制整个 </w:t>
      </w:r>
      <w:r>
        <w:rPr>
          <w:rFonts w:ascii="Consolas" w:hAnsi="Consolas" w:eastAsia="宋体"/>
          <w:b w:val="0"/>
          <w:i w:val="0"/>
          <w:sz w:val="18"/>
        </w:rPr>
        <w:t>TianyuanEPMVoucherDemo</w:t>
      </w:r>
      <w:r>
        <w:rPr>
          <w:rFonts w:ascii="Arial" w:hAnsi="Arial" w:eastAsia="宋体"/>
          <w:b w:val="0"/>
          <w:i w:val="0"/>
        </w:rPr>
        <w:t xml:space="preserve"> 数据文件夹到有日期的备份目录。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另行保存对应软件运行包、完整四份文档和SHA清单。</w:t>
      </w:r>
    </w:p>
    <w:p>
      <w:r>
        <w:rPr>
          <w:rFonts w:ascii="Arial" w:hAnsi="Arial" w:eastAsia="宋体"/>
          <w:b w:val="0"/>
          <w:i w:val="0"/>
        </w:rPr>
        <w:t>服务运行中只复制一个SQLite主文件，可能遗漏WAL中已提交数据，不应作为完整备份。程序文件夹的ZIP也不包含用户后来保存的业务数据。</w:t>
      </w:r>
    </w:p>
    <w:p>
      <w:pPr>
        <w:pStyle w:val="Heading2"/>
      </w:pPr>
      <w:bookmarkStart w:id="95" w:name="epm_95"/>
      <w:r>
        <w:rPr>
          <w:rFonts w:ascii="Arial" w:hAnsi="Arial" w:eastAsia="宋体"/>
          <w:b w:val="0"/>
          <w:i w:val="0"/>
        </w:rPr>
        <w:t>18.2 恢复原则</w:t>
      </w:r>
      <w:bookmarkEnd w:id="95"/>
    </w:p>
    <w:p>
      <w:r>
        <w:rPr>
          <w:rFonts w:ascii="Arial" w:hAnsi="Arial" w:eastAsia="宋体"/>
          <w:b w:val="0"/>
          <w:i w:val="0"/>
        </w:rPr>
        <w:t>恢复前先退出并另备份当前目录，确认备份属于同一产品及兼容版本。将备份的整个数据目录恢复到指定位置，再从对应版本EXE打开，核对法人源、预算状态、结果ID和导出数字。</w:t>
      </w:r>
    </w:p>
    <w:p>
      <w:r>
        <w:rPr>
          <w:rFonts w:ascii="Arial" w:hAnsi="Arial" w:eastAsia="宋体"/>
          <w:b w:val="0"/>
          <w:i w:val="0"/>
        </w:rPr>
        <w:t>当前没有一键备份恢复、跨版数据库升级或旧Frappe账套迁移向导。实际恢复应由实施/研发按备份副本操作并验证，不能直接把旧未知数据库覆盖到新版目录。不要在服务运行时替换数据库文件。</w:t>
      </w:r>
    </w:p>
    <w:p>
      <w:pPr>
        <w:pStyle w:val="Heading2"/>
      </w:pPr>
      <w:bookmarkStart w:id="96" w:name="epm_96"/>
      <w:r>
        <w:rPr>
          <w:rFonts w:ascii="Arial" w:hAnsi="Arial" w:eastAsia="宋体"/>
          <w:b w:val="0"/>
          <w:i w:val="0"/>
        </w:rPr>
        <w:t>18.3 每次升级应拿到哪些资料</w:t>
      </w:r>
      <w:bookmarkEnd w:id="96"/>
    </w:p>
    <w:p>
      <w:r>
        <w:rPr>
          <w:rFonts w:ascii="Arial" w:hAnsi="Arial" w:eastAsia="宋体"/>
          <w:b w:val="0"/>
          <w:i w:val="0"/>
        </w:rPr>
        <w:t>完整交付至少应有：对应版本运行包、全模块PRD、全模块系统说明、全模块产品说明书、全模块用户操作手册、版本变更和已知限制、操作案例及验收记录、文件SHA256清单。Word应可编辑，PDF便于阅读；不能用只讲新增页面的补丁说明替代全模块手册。</w:t>
      </w:r>
    </w:p>
    <w:p>
      <w:r>
        <w:rPr>
          <w:rFonts w:ascii="Arial" w:hAnsi="Arial" w:eastAsia="宋体"/>
          <w:b w:val="0"/>
          <w:i w:val="0"/>
        </w:rPr>
        <w:t>升级前检查文档上的适配业务版本与运行包一致；文件名相近不代表版本相同。本套文档适配ERP-20261021，原有ML及更早V1文档应保留为历史资料，不再用其中旧财务动作指导新版本。</w:t>
      </w:r>
    </w:p>
    <w:p>
      <w:pPr>
        <w:pStyle w:val="Heading1"/>
      </w:pPr>
      <w:bookmarkStart w:id="97" w:name="epm_97"/>
      <w:r>
        <w:rPr>
          <w:rFonts w:ascii="Arial" w:hAnsi="Arial" w:eastAsia="宋体"/>
          <w:b w:val="0"/>
          <w:i w:val="0"/>
        </w:rPr>
        <w:t>十九、常见问题与中文报错处理</w:t>
      </w:r>
      <w:bookmarkEnd w:id="9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3109"/>
        <w:gridCol w:w="3845"/>
      </w:tblGrid>
      <w:tr>
        <w:trPr>
          <w:cantSplit/>
          <w:tblHeader w:val="true"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看到的现象或错误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原因判断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建议处理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双击EXE没有工作台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未完整解压、缺目录、终端策略或启动失败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完整解压，核对Windows版本和文件，查看新数据目录日志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仍出现英文Frappe登录页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打开了旧书签或旧平台地址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关闭旧页面，从“天元EPM 凭证合并Demo.exe”重新进入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不知道用什么邮箱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本版不需要邮箱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直接从EXE打开本机演示会话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“尚未登录”或启动凭据失效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访问了旧端口、服务重启或未建立会话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再次双击正确EXE获取新会话，不复制他人的启动地址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“无法连接本机服务”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已安全退出、服务被关闭或端口已变化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重新启动EXE，使用其打开的新页面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“已有签核，请先重新开启”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相关层或祖先、其他受影响期间仍锁定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负责人查看错误给出的单元及月份，重开正确最小范围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“须先计算并签核有效下级结果”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子结果缺失、失效或未批准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进入失败子层，从源和抵销开始处理后签核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源报送三表不平衡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只改部分字段、留存重复结转或现金流不明确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按错误项目与差额检查期初期末、月累计和明确现金流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“报表币种应与当前单元一致”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上下文/书签过期或输入口径选错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用顶部切到正确单元，刷新后重试，不直接改金额单位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汇率字段缺失或不是正数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缺月份、反向报价、填0或非数值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核对1USD=X CNY及1至当前月全部分类率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投资抵销与资本/账面不一致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改了资本、股权或历史率但原投资依据未适配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停止平账，核对真实投资源及本轮支持边界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“最低共同层”错误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销售双方不全在所选范围，或选层过低/过高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检查管理树，在双方最低共同层维护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“同一抵销来源不能重复”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相同sourceId已存在，含停用记录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核对是否重复交易；替代纠错凭证使用新来源标识并保留原记录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有草稿，无法正式计算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事项未审批也未停用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负责人审批正确草稿，或填写原因停用误建草稿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审计角色保存403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当前角色只读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仅在确需演示写入时切换合适角色；勿绕过接口限制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“数据已被其他页面更新”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另一标签已提交，当前revision过旧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页面会重新载入最新值，核对后再填写保存，不盲目覆盖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预算按钮灰显或提示只编制中可改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版本审核、审批或锁定状态保护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按状态审批，或复制新草稿/发起独立调整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量价目标不能小于前三层合计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销量×单价低于基础+挑战+管理层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核对目标假设；按业务依据调整前三层或量价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业务预算金额必须等于数量×单价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手改金额与乘积不符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按两位小数核对数量、单价和金额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源CSV无法导入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表头、期间、编码、字段、月累计或锁定问题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按第七章逐项检查，使用新下载样例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NC核算账簿未映射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文件原账簿值与适配设置不一致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核对账簿原值、法人、本位币；保存规则后导入正确文件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辅助客商未知/多方冲突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选错辅助列、缺代码映射或同凭证多个不同客商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只选真实客商列，明确映射；旧批次需停用重导或有依据逐行补注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缺共同关联号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未选结算/核销字段、字段为空或两方不一致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核对业务原依据补注相关行，不能按相同金额猜配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凭证导入成功但单体没有更新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导入与生成是两个步骤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到法人凭证与三表重新生成，核对源版本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ERP生成源不允许手工保存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该源保存了原凭证血缘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回凭证工作台修批次/映射/期初/补注，不能用三表CSV覆盖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现金流待分类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复合凭证对方科目无法唯一确定活动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在现金行补有依据的经营/投资/筹资分类，重新生成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本层仍有预置示例销售抵销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旧100/50未明确停用，自动生成有双扣风险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负责人先重开并确认本层转入凭证模式，保留投资与用户手工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匹配来源失效/自动抵销来源失效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凭证、映射、期初或核对标注已变化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重新生成法人源、扫描、生成草稿、经理审批，再按层重算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重复凭证或期初整批拒绝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已有相同有效行，或文件内重复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需要纠错时先取消错误批次再重导，不追加重复全量文件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NC金额差异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两方真实金额或期间不同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回NC更正并导出完整平衡凭证，停旧批重导，不用补注改金额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新版拒绝旧版或未知数据库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指向旧产品目录或备份不兼容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使用独立新版目录，保留原文件，安排数据迁移评估</w:t>
            </w:r>
          </w:p>
        </w:tc>
      </w:tr>
      <w:tr>
        <w:trPr>
          <w:cantSplit/>
        </w:trPr>
        <w:tc>
          <w:tcPr>
            <w:tcW w:type="dxa" w:w="24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关闭重启后仍是改过的数</w:t>
            </w:r>
          </w:p>
        </w:tc>
        <w:tc>
          <w:tcPr>
            <w:tcW w:type="dxa" w:w="3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持久化保存正常，不是自动重置</w:t>
            </w:r>
          </w:p>
        </w:tc>
        <w:tc>
          <w:tcPr>
            <w:tcW w:type="dxa" w:w="384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查看历史或使用独立演示目录，不删数据库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需要研发排错时，先提供软件基线、文档版本、Windows版本、当前菜单/单元/期间、操作顺序、中文错误文字，以及必要的脱敏截图。数据目录中 </w:t>
      </w:r>
      <w:r>
        <w:rPr>
          <w:rFonts w:ascii="Consolas" w:hAnsi="Consolas" w:eastAsia="宋体"/>
          <w:b w:val="0"/>
          <w:i w:val="0"/>
          <w:sz w:val="18"/>
        </w:rPr>
        <w:t>logs\launcher.log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logs\backend.log</w:t>
      </w:r>
      <w:r>
        <w:rPr>
          <w:rFonts w:ascii="Arial" w:hAnsi="Arial" w:eastAsia="宋体"/>
          <w:b w:val="0"/>
          <w:i w:val="0"/>
        </w:rPr>
        <w:t xml:space="preserve"> 可用于本机排查，但文件 </w:t>
      </w:r>
      <w:r>
        <w:rPr>
          <w:rFonts w:ascii="Consolas" w:hAnsi="Consolas" w:eastAsia="宋体"/>
          <w:b w:val="0"/>
          <w:i w:val="0"/>
          <w:sz w:val="18"/>
        </w:rPr>
        <w:t>instance.json</w:t>
      </w:r>
      <w:r>
        <w:rPr>
          <w:rFonts w:ascii="Arial" w:hAnsi="Arial" w:eastAsia="宋体"/>
          <w:b w:val="0"/>
          <w:i w:val="0"/>
        </w:rPr>
        <w:t xml:space="preserve"> 含本机启动凭据，不应公开发送；也不要公开Cookie、启动令牌或整个私人数据库。</w:t>
      </w:r>
    </w:p>
    <w:p>
      <w:pPr>
        <w:pStyle w:val="Heading1"/>
      </w:pPr>
      <w:bookmarkStart w:id="98" w:name="epm_98"/>
      <w:r>
        <w:rPr>
          <w:rFonts w:ascii="Arial" w:hAnsi="Arial" w:eastAsia="宋体"/>
          <w:b w:val="0"/>
          <w:i w:val="0"/>
        </w:rPr>
        <w:t>二十、范围和验收说明</w:t>
      </w:r>
      <w:bookmarkEnd w:id="98"/>
    </w:p>
    <w:p>
      <w:r>
        <w:rPr>
          <w:rFonts w:ascii="Arial" w:hAnsi="Arial" w:eastAsia="宋体"/>
          <w:b w:val="0"/>
          <w:i w:val="0"/>
        </w:rPr>
        <w:t>本手册按当前24菜单、NC文件及账务契约和服务端动作编写，实际通过范围以本版独立HTTP、浏览器及Windows运行链路验收记录为准。Windows原生EXE及包内Windows解释器的Wine测试不替代目标电脑真机、终端策略和容量验收。</w:t>
      </w:r>
    </w:p>
    <w:p>
      <w:r>
        <w:rPr>
          <w:rFonts w:ascii="Arial" w:hAnsi="Arial" w:eastAsia="宋体"/>
          <w:b w:val="0"/>
          <w:i w:val="0"/>
        </w:rPr>
        <w:t>当前支持明确三表源、同币种或USD→CNY分级合并、100%全资、无本期增减资本、无分红、无少数股东的演示结构。税额样例为零；复杂收购、商誉、不同投资历史台账、未实现利润、权益法、高通胀、其他币种、NC在线API、其他ERP在线接口、生产多用户认证与组织隔离、自动预测以及完整三表预算均需后续研发及财务验收。</w:t>
      </w:r>
    </w:p>
    <w:p>
      <w:r>
        <w:rPr>
          <w:rFonts w:ascii="Arial" w:hAnsi="Arial" w:eastAsia="宋体"/>
          <w:b w:val="0"/>
          <w:i w:val="0"/>
        </w:rPr>
        <w:t>投资抵销配对明细是当前Demo计算依据，不等于已建立按被投资法人独立维护的原始历史投资台账。真实企业采用本系统前，应由财务负责人确认源、持股、资本与投资、会计政策、汇率、抵销规则及正式报表要求。</w:t>
      </w:r>
    </w:p>
    <w:p>
      <w:pPr>
        <w:pStyle w:val="Heading1"/>
      </w:pPr>
      <w:bookmarkStart w:id="99" w:name="epm_99"/>
      <w:r>
        <w:rPr>
          <w:rFonts w:ascii="Arial" w:hAnsi="Arial" w:eastAsia="宋体"/>
          <w:b w:val="0"/>
          <w:i w:val="0"/>
        </w:rPr>
        <w:t>附录：首次验收可核对的数字</w:t>
      </w:r>
      <w:bookmarkEnd w:id="99"/>
    </w:p>
    <w:p>
      <w:r>
        <w:rPr>
          <w:rFonts w:ascii="Arial" w:hAnsi="Arial" w:eastAsia="宋体"/>
          <w:b w:val="0"/>
          <w:i w:val="0"/>
        </w:rPr>
        <w:t>下表均从未改数的2026年09期基线开始。人民币金额单位万元；海外原币金额单位万美元。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38"/>
        <w:gridCol w:w="4068"/>
      </w:tblGrid>
      <w:tr>
        <w:trPr>
          <w:cantSplit/>
          <w:tblHeader w:val="true"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基线预期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鸿旺三家原始收入合计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1500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鸿旺本层内部销售抵销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鸿旺小合并收入 / 净利润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1400 / 450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其他境内公司收入 / 净利润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600 / 180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集团本层销售抵销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海外USD收入 / 净利润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100 / 20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海外CNY折算收入 / 净利润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700 / 140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集团收入 / 净利润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2650 / 770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集团资产 / 负债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2370 / 576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集团资本 / 留存收益 / CTA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950 / 770 / 74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集团期初现金 / 经营现金流 / 筹资现金流 / 现金汇率影响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950 / 770 / 560 / 90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集团期末现金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2370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只改期末率7.3后的CTA / 现金汇率影响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86 / 110</w:t>
            </w:r>
          </w:p>
        </w:tc>
      </w:tr>
      <w:tr>
        <w:trPr>
          <w:cantSplit/>
        </w:trPr>
        <w:tc>
          <w:tcPr>
            <w:tcW w:type="dxa" w:w="53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未改预算V2年度收入目标</w:t>
            </w:r>
          </w:p>
        </w:tc>
        <w:tc>
          <w:tcPr>
            <w:tcW w:type="dxa" w:w="40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4000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验收时同时核对版本、状态、原币单位和来源血缘。数字相同但引用了错误范围、重复法人或过期子结果，不属于通过。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TY-EPM-USER-ERP-001  ·  D1.0  ·  第 </w:t>
    </w:r>
    <w:fldSimple w:instr="PAGE"/>
    <w:r>
      <w:rPr>
        <w:rFonts w:ascii="Arial" w:hAnsi="Arial" w:eastAsia="宋体"/>
        <w:sz w:val="16"/>
      </w:rPr>
      <w:t xml:space="preserve"> 页 / 共 </w:t>
    </w:r>
    <w:fldSimple w:instr="NUMPAGES"/>
    <w:r>
      <w:rPr>
        <w:rFonts w:ascii="Arial" w:hAnsi="Arial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6758D"/>
        <w:sz w:val="16"/>
      </w:rPr>
      <w:t>杭州天元宠物用品有限公司  | 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173F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天元EPM · 用户操作手册</dc:title>
  <dc:subject>杭州天元宠物用品有限公司：中文本机EPM Demo文档</dc:subject>
  <dc:creator>自研EPM项目文档</dc:creator>
  <cp:keywords>集团财务合并,全面预算,经营分析,多层合并,PRD,全模块,ERP-20261021,D1.0</cp:keywords>
  <dc:description>generated by python-docx</dc:description>
  <cp:lastModifiedBy/>
  <cp:revision>1</cp:revision>
  <dcterms:created xsi:type="dcterms:W3CDTF">2026-10-21T02:52:07Z</dcterms:created>
  <dcterms:modified xsi:type="dcterms:W3CDTF">2026-10-21T02:52:07Z</dcterms:modified>
  <cp:category/>
</cp:coreProperties>
</file>