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rial" w:hAnsi="Arial" w:eastAsia="宋体"/>
          <w:b/>
          <w:color w:val="1A3C6E"/>
          <w:sz w:val="64"/>
        </w:rPr>
        <w:t>自研 EPM</w:t>
      </w:r>
    </w:p>
    <w:p>
      <w:r>
        <w:rPr>
          <w:rFonts w:ascii="Arial" w:hAnsi="Arial" w:eastAsia="宋体"/>
          <w:b/>
          <w:color w:val="1A3C6E"/>
          <w:sz w:val="46"/>
        </w:rPr>
        <w:t>免 Docker 版中文用户手册</w:t>
      </w:r>
    </w:p>
    <w:p>
      <w:r>
        <w:rPr>
          <w:rFonts w:ascii="Arial" w:hAnsi="Arial" w:eastAsia="宋体"/>
          <w:sz w:val="24"/>
        </w:rPr>
        <w:t>Windows 10/11 x64 便携研发与试用环境</w:t>
      </w:r>
    </w:p>
    <w:p>
      <w:r>
        <w:rPr>
          <w:rFonts w:ascii="Arial" w:hAnsi="Arial" w:eastAsia="宋体"/>
          <w:sz w:val="24"/>
        </w:rPr>
        <w:t>完整解压 → 双击 EXE → 自动启动 → 浏览器使用</w:t>
      </w:r>
    </w:p>
    <w:p>
      <w:r>
        <w:rPr>
          <w:rFonts w:ascii="Arial" w:hAnsi="Arial" w:eastAsia="宋体"/>
          <w:sz w:val="24"/>
        </w:rPr>
        <w:t>无需安装 Docker、主机 Python 或 WSL</w:t>
      </w:r>
    </w:p>
    <w:p>
      <w:r>
        <w:t>v1.3　｜　2026年10月20日</w:t>
      </w:r>
    </w:p>
    <w:p>
      <w:r>
        <w:t>首次分块版仍须联网下载内置环境；具体大小、版本及已完成测试以资产清单和随包运行验证说明为准。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80"/>
      </w:pPr>
      <w:r>
        <w:t>1. 使用前先确认</w:t>
      </w:r>
    </w:p>
    <w:p>
      <w:pPr>
        <w:spacing w:after="80"/>
      </w:pPr>
      <w:r>
        <w:t>2. 登录与日常操作规范</w:t>
      </w:r>
    </w:p>
    <w:p>
      <w:pPr>
        <w:spacing w:after="80"/>
      </w:pPr>
      <w:r>
        <w:t>3. 管理员初始化</w:t>
      </w:r>
    </w:p>
    <w:p>
      <w:pPr>
        <w:spacing w:after="80"/>
      </w:pPr>
      <w:r>
        <w:t>4. TB 试算平衡表导入与替换</w:t>
      </w:r>
    </w:p>
    <w:p>
      <w:pPr>
        <w:spacing w:after="80"/>
      </w:pPr>
      <w:r>
        <w:t>5. 汇率与历史权益汇率</w:t>
      </w:r>
    </w:p>
    <w:p>
      <w:pPr>
        <w:spacing w:after="80"/>
      </w:pPr>
      <w:r>
        <w:t>6. 内部交易映射、对账与抵销</w:t>
      </w:r>
    </w:p>
    <w:p>
      <w:pPr>
        <w:spacing w:after="80"/>
      </w:pPr>
      <w:r>
        <w:t>7. 合并调整分录与审批</w:t>
      </w:r>
    </w:p>
    <w:p>
      <w:pPr>
        <w:spacing w:after="80"/>
      </w:pPr>
      <w:r>
        <w:t>8. 构建、检查、签字与关账</w:t>
      </w:r>
    </w:p>
    <w:p>
      <w:pPr>
        <w:spacing w:after="80"/>
      </w:pPr>
      <w:r>
        <w:t>9. 集团预算填报与四层协同</w:t>
      </w:r>
    </w:p>
    <w:p>
      <w:pPr>
        <w:spacing w:after="80"/>
      </w:pPr>
      <w:r>
        <w:t>10. Excel 接口、填报与经营报表（需单独配置验收）</w:t>
      </w:r>
    </w:p>
    <w:p>
      <w:pPr>
        <w:spacing w:after="80"/>
      </w:pPr>
      <w:r>
        <w:t>11. 审计、备份与异常处理</w:t>
      </w:r>
    </w:p>
    <w:p>
      <w:pPr>
        <w:spacing w:after="80"/>
      </w:pPr>
      <w:r>
        <w:t>12. 新用户练习与交接清单</w:t>
      </w:r>
    </w:p>
    <w:p>
      <w:r>
        <w:t>Word/WPS 可打开“视图→导航窗格”按标题定位。本文所有操作表均为可编辑 Word 表格。</w:t>
      </w:r>
    </w:p>
    <w:p>
      <w:r>
        <w:br w:type="page"/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自研集团 EPM 免 Docker 版 · 中文用户手册</w:t>
      </w:r>
    </w:p>
    <w:p>
      <w:r>
        <w:t>文档版本：1.3（中文免Docker便携版）；更新日期：2026年10月20日。适用基线：Konsolidat 99d7c5a3b08c82034cc26eced1fbb95eaafec12b 与 Konsol d2d71efdb1f198610d711f656b8373ac0c9cd0c4。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1. 使用前先确认</w:t>
      </w:r>
    </w:p>
    <w:p>
      <w:pPr>
        <w:spacing w:line="324" w:lineRule="auto"/>
      </w:pPr>
      <w:r>
        <w:rPr>
          <w:rFonts w:ascii="Noto Sans CJK SC" w:hAnsi="Noto Sans CJK SC" w:eastAsia="Noto Sans CJK SC"/>
        </w:rPr>
        <w:t>本手册介绍固定源码实际存在的业务入口与操作逻辑，并说明本版新增的简体中文显示层。英文菜单和技术标识保留供开发追溯，可按中文版菜单对照操作。《中文研发需求规格说明书》中标记为二开目标的新增业务模板、驾驶舱和流程增强，仍需后续研发；交互原型中的演示不代表运行软件已实现这些目标。</w:t>
      </w:r>
    </w:p>
    <w:p>
      <w:r>
        <w:rPr>
          <w:rFonts w:ascii="Arial" w:hAnsi="Arial" w:eastAsia="宋体"/>
          <w:b w:val="0"/>
          <w:i w:val="0"/>
        </w:rPr>
        <w:t>启动、首次下载、安全退出和备份请参阅《免Docker版安装与使用手册》。本版用包内便携 Linux 环境运行原平台服务，Windows 无需安装 Docker、Python 或 WSL。初始凭据在本机随机生成，本手册不提供通用默认口令。日常业务使用管理员分配的个人账号。所有练习公司、科目和金额均为合成数据，不能直接用于真实报表。</w:t>
      </w:r>
    </w:p>
    <w:p>
      <w:pPr>
        <w:spacing w:line="324" w:lineRule="auto"/>
      </w:pPr>
      <w:r>
        <w:rPr>
          <w:rFonts w:ascii="Noto Sans CJK SC" w:hAnsi="Noto Sans CJK SC" w:eastAsia="Noto Sans CJK SC"/>
        </w:rPr>
        <w:t>日常入口是包内 自研EPM.exe：完整解压后双击即打开本机启动进度页，并自动检查、准备和启动，无需输入编号菜单。分块版首次需联网下载固定版本基础环境。本版采用 TCG 纯软件模拟，默认2个模拟CPU，客户机内存自动选择4GB或6GB，翻译缓存128MiB。首次启动可能需要数十分钟，低配置或初始化内容较多时可能更久，不能按秒开预期；以随包运行验证说明的实测为准。完整就绪默认最多等待 7200 秒，超时保留运行环境和数据，须查看日志并安全退出。后续启动复用已有数据通常较快，仍需等待就绪。完整就绪后自动打开业务页；也可点击“打开平台”。业务入口优先使用 http://127.0.0.1:18480/app，占用时选择其他本机端口，请使用启动器实际打开的地址。初始管理员为 Administrator，初始密码通过“查看本机登录信息”显示；若已在平台内修改密码，使用修改后的密码。</w:t>
      </w:r>
    </w:p>
    <w:p>
      <w:r>
        <w:rPr>
          <w:rFonts w:ascii="Arial" w:hAnsi="Arial" w:eastAsia="宋体"/>
          <w:b w:val="0"/>
          <w:i w:val="0"/>
        </w:rPr>
        <w:t xml:space="preserve">业务数据默认保存于 </w:t>
      </w:r>
      <w:r>
        <w:rPr>
          <w:rFonts w:ascii="Consolas" w:hAnsi="Consolas" w:eastAsia="宋体"/>
          <w:b w:val="0"/>
          <w:i w:val="0"/>
          <w:sz w:val="18"/>
        </w:rPr>
        <w:t>%LOCALAPPDATA%\SelfDevelopedEPM\data</w:t>
      </w:r>
      <w:r>
        <w:rPr>
          <w:rFonts w:ascii="Arial" w:hAnsi="Arial" w:eastAsia="宋体"/>
          <w:b w:val="0"/>
          <w:i w:val="0"/>
        </w:rPr>
        <w:t>。关闭浏览器不会停止平台，使用完毕应回到进度页点“安全退出（保留数据）”，等待安全停止后再关机或备份。不要公开本机密码、种子或启动页授权地址。Windows 真机与各项业务验证范围以随包最终报告为准，操作说明不替代实机验收。</w:t>
      </w:r>
    </w:p>
    <w:p>
      <w:r>
        <w:rPr>
          <w:rFonts w:ascii="Arial" w:hAnsi="Arial" w:eastAsia="宋体"/>
          <w:b w:val="0"/>
          <w:i w:val="0"/>
        </w:rPr>
        <w:t>首次试用按以下顺序执行：管理员初始化组织、集团科目、会计年度与合并范围；集团会计设置受控汇率和内部往来；子公司会计报送 TB；集团会计完成对账与调整；负责人审批构建并进行关账检查、签字和关闭；预算团队再练习填报、四层调整、锁定和预实查询。没有准备基础档案时，空报表通常表示尚未形成业务数据。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本版首次初始化适配与中断处理</w:t>
      </w:r>
    </w:p>
    <w:p>
      <w:r>
        <w:rPr>
          <w:rFonts w:ascii="Arial" w:hAnsi="Arial" w:eastAsia="宋体"/>
          <w:b w:val="0"/>
          <w:i w:val="0"/>
        </w:rPr>
        <w:t>本版首次站点尚无维度时，会补入随发行配置的 Business Unit（业务单元）、Cost Center（成本中心）、Department（部门）三项维度并进行一次初始字段架构同步；若已有维度则保留其定义。这是本次便携部署新增的初始化适配，不是上游固定源码开箱已有配置，也不插入集团、实体、科目或财务示例明细。成本中心与部门默认纳入预算，业务单元默认不纳入预算；正式维度粒度仍须由集团确认并受控维护。</w:t>
      </w:r>
    </w:p>
    <w:p>
      <w:r>
        <w:rPr>
          <w:rFonts w:ascii="Arial" w:hAnsi="Arial" w:eastAsia="宋体"/>
          <w:b w:val="0"/>
          <w:i w:val="0"/>
        </w:rPr>
        <w:t>首次核心建站中断时，仅在存在本机登记的未完成初始化记录且满足安全条件下，程序会保留旧的未完成资料并尝试安全恢复。已经就绪的业务库不会自动重置；无恢复记录、超出恢复范围或持续失败时会保留数据并报错，需要查看日志排查。不要把此机制理解为任意故障都能自动恢复，更不要手工删除业务盘或重置种子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1.1 两个主要入口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6"/>
        <w:gridCol w:w="2380"/>
        <w:gridCol w:w="4069"/>
      </w:tblGrid>
      <w:tr>
        <w:trPr>
          <w:tblHeader w:val="true"/>
        </w:trPr>
        <w:tc>
          <w:tcPr>
            <w:tcW w:type="dxa" w:w="3486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入口</w:t>
            </w:r>
          </w:p>
        </w:tc>
        <w:tc>
          <w:tcPr>
            <w:tcW w:type="dxa" w:w="238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用途</w:t>
            </w:r>
          </w:p>
        </w:tc>
        <w:tc>
          <w:tcPr>
            <w:tcW w:type="dxa" w:w="4069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识别方式</w:t>
            </w:r>
          </w:p>
        </w:tc>
      </w:tr>
      <w:tr>
        <w:tc>
          <w:tcPr>
            <w:tcW w:type="dxa" w:w="3486"/>
            <w:vAlign w:val="top"/>
          </w:tcPr>
          <w:p>
            <w:r>
              <w:t>业务工作台（Frappe Desk → Konsolidat Workspace）</w:t>
            </w:r>
          </w:p>
        </w:tc>
        <w:tc>
          <w:tcPr>
            <w:tcW w:type="dxa" w:w="2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档案、预算、技术配置、构建及单据列表</w:t>
            </w:r>
          </w:p>
        </w:tc>
        <w:tc>
          <w:tcPr>
            <w:tcW w:type="dxa" w:w="406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登录后进入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/app/konsolidat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；也可用顶部搜索输入 DocType 英文名称</w:t>
            </w:r>
          </w:p>
        </w:tc>
      </w:tr>
      <w:tr>
        <w:tc>
          <w:tcPr>
            <w:tcW w:type="dxa" w:w="3486"/>
            <w:vAlign w:val="top"/>
          </w:tcPr>
          <w:p>
            <w:r>
              <w:t>集团关账（Close）</w:t>
            </w:r>
          </w:p>
        </w:tc>
        <w:tc>
          <w:tcPr>
            <w:tcW w:type="dxa" w:w="2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月度关账操作台</w:t>
            </w:r>
          </w:p>
        </w:tc>
        <w:tc>
          <w:tcPr>
            <w:tcW w:type="dxa" w:w="406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Workspace 的 Close 快捷入口，或同一站点的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/close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Workspace 根据已安装 DocType 生成卡片，并按权限显示。若菜单文字与本手册略有差异，优先在顶部搜索输入表格中的单数 DocType 名称，例如 </w:t>
      </w:r>
      <w:r>
        <w:rPr>
          <w:rFonts w:ascii="Consolas" w:hAnsi="Consolas" w:eastAsia="宋体"/>
          <w:b w:val="0"/>
          <w:i w:val="0"/>
          <w:sz w:val="18"/>
        </w:rPr>
        <w:t>Budget Cycle</w:t>
      </w:r>
      <w:r>
        <w:rPr>
          <w:rFonts w:ascii="Arial" w:hAnsi="Arial" w:eastAsia="宋体"/>
          <w:b w:val="0"/>
          <w:i w:val="0"/>
        </w:rPr>
        <w:t>。角色无权访问时，复制链接不能替代授权。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1.2 Workspace 菜单索引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9"/>
        <w:gridCol w:w="1932"/>
        <w:gridCol w:w="5075"/>
      </w:tblGrid>
      <w:tr>
        <w:trPr>
          <w:tblHeader w:val="true"/>
        </w:trPr>
        <w:tc>
          <w:tcPr>
            <w:tcW w:type="dxa" w:w="2929"/>
            <w:vAlign w:val="top"/>
            <w:shd w:fill="DCE6F1"/>
          </w:tcPr>
          <w:p>
            <w:r>
              <w:t>卡片名称（英文索引）</w:t>
            </w:r>
          </w:p>
        </w:tc>
        <w:tc>
          <w:tcPr>
            <w:tcW w:type="dxa" w:w="1932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中文用途</w:t>
            </w:r>
          </w:p>
        </w:tc>
        <w:tc>
          <w:tcPr>
            <w:tcW w:type="dxa" w:w="507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典型菜单</w:t>
            </w:r>
          </w:p>
        </w:tc>
      </w:tr>
      <w:tr>
        <w:tc>
          <w:tcPr>
            <w:tcW w:type="dxa" w:w="2929"/>
            <w:vAlign w:val="top"/>
          </w:tcPr>
          <w:p>
            <w:r>
              <w:t>数据流水线与接入（Pipeline &amp; Ingestion）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数据采集与构建</w:t>
            </w:r>
          </w:p>
        </w:tc>
        <w:tc>
          <w:tcPr>
            <w:tcW w:type="dxa" w:w="5075"/>
            <w:vAlign w:val="top"/>
          </w:tcPr>
          <w:p>
            <w:r>
              <w:t>连接器（Connectors）、数据流水线运行记录（Pipeline Runs）、构建审批（Build Approvals）</w:t>
            </w:r>
          </w:p>
        </w:tc>
      </w:tr>
      <w:tr>
        <w:tc>
          <w:tcPr>
            <w:tcW w:type="dxa" w:w="2929"/>
            <w:vAlign w:val="top"/>
          </w:tcPr>
          <w:p>
            <w:r>
              <w:t>模型与元数据（Model &amp; Metadata）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维度、度量和报表语义</w:t>
            </w:r>
          </w:p>
        </w:tc>
        <w:tc>
          <w:tcPr>
            <w:tcW w:type="dxa" w:w="5075"/>
            <w:vAlign w:val="top"/>
          </w:tcPr>
          <w:p>
            <w:r>
              <w:t>维度（Dimensions）、维度映射（Dimension Mappings）、数据集（Datasets）、度量（Measures）、情景（Scenarios）、报告层级（Reporting Hierarchies）</w:t>
            </w:r>
          </w:p>
        </w:tc>
      </w:tr>
      <w:tr>
        <w:tc>
          <w:tcPr>
            <w:tcW w:type="dxa" w:w="2929"/>
            <w:vAlign w:val="top"/>
          </w:tcPr>
          <w:p>
            <w:r>
              <w:t>参考数据（Reference Data）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基础资料</w:t>
            </w:r>
          </w:p>
        </w:tc>
        <w:tc>
          <w:tcPr>
            <w:tcW w:type="dxa" w:w="5075"/>
            <w:vAlign w:val="top"/>
          </w:tcPr>
          <w:p>
            <w:r>
              <w:t>集团科目表（Group Chart of Accounts）、会计年度（Fiscal Year）、法人（Entities）、现金流量类别（Cash Flow Categories）</w:t>
            </w:r>
          </w:p>
        </w:tc>
      </w:tr>
      <w:tr>
        <w:tc>
          <w:tcPr>
            <w:tcW w:type="dxa" w:w="2929"/>
            <w:vAlign w:val="top"/>
          </w:tcPr>
          <w:p>
            <w:r>
              <w:t>预算与计划（Budgeting &amp; Planning）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</w:t>
            </w:r>
          </w:p>
        </w:tc>
        <w:tc>
          <w:tcPr>
            <w:tcW w:type="dxa" w:w="5075"/>
            <w:vAlign w:val="top"/>
          </w:tcPr>
          <w:p>
            <w:r>
              <w:t>预算周期（Budget Cycles）、预算表（Budget Sheets）、分摊方案（Spread Profiles）</w:t>
            </w:r>
          </w:p>
        </w:tc>
      </w:tr>
      <w:tr>
        <w:tc>
          <w:tcPr>
            <w:tcW w:type="dxa" w:w="2929"/>
            <w:vAlign w:val="top"/>
          </w:tcPr>
          <w:p>
            <w:r>
              <w:t>集团财务合并（Consolidation）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财务合并</w:t>
            </w:r>
          </w:p>
        </w:tc>
        <w:tc>
          <w:tcPr>
            <w:tcW w:type="dxa" w:w="5075"/>
            <w:vAlign w:val="top"/>
          </w:tcPr>
          <w:p>
            <w:r>
              <w:t>合并集团（Consolidation Groups）、持股期间（Ownership Periods）、历史权益汇率（Historical Equity Rates）、内部往来科目（Intercompany Accounts）、内部往来余额（IC Balances）、合并调整凭证（Consolidation Journals）</w:t>
            </w:r>
          </w:p>
        </w:tc>
      </w:tr>
      <w:tr>
        <w:tc>
          <w:tcPr>
            <w:tcW w:type="dxa" w:w="2929"/>
            <w:vAlign w:val="top"/>
          </w:tcPr>
          <w:p>
            <w:r>
              <w:t>校验规则（Assertions）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关账检查</w:t>
            </w:r>
          </w:p>
        </w:tc>
        <w:tc>
          <w:tcPr>
            <w:tcW w:type="dxa" w:w="5075"/>
            <w:vAlign w:val="top"/>
          </w:tcPr>
          <w:p>
            <w:r>
              <w:t>校验运行记录（Assertion Runs）</w:t>
            </w:r>
          </w:p>
        </w:tc>
      </w:tr>
      <w:tr>
        <w:tc>
          <w:tcPr>
            <w:tcW w:type="dxa" w:w="2929"/>
            <w:vAlign w:val="top"/>
          </w:tcPr>
          <w:p>
            <w:r>
              <w:t>设置（Settings）</w:t>
            </w:r>
          </w:p>
        </w:tc>
        <w:tc>
          <w:tcPr>
            <w:tcW w:type="dxa" w:w="193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系统设置</w:t>
            </w:r>
          </w:p>
        </w:tc>
        <w:tc>
          <w:tcPr>
            <w:tcW w:type="dxa" w:w="5075"/>
            <w:vAlign w:val="top"/>
          </w:tcPr>
          <w:p>
            <w:r>
              <w:t>EPM Settings；Close Settings 可通过顶部搜索打开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宋体"/>
          <w:b w:val="0"/>
          <w:i w:val="0"/>
        </w:rPr>
        <w:t>1.3 Close 菜单索引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060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CE6F1"/>
          </w:tcPr>
          <w:p>
            <w:r>
              <w:t>中文菜单（英文索引）</w:t>
            </w:r>
          </w:p>
        </w:tc>
        <w:tc>
          <w:tcPr>
            <w:tcW w:type="dxa" w:w="306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中文说明</w:t>
            </w:r>
          </w:p>
        </w:tc>
        <w:tc>
          <w:tcPr>
            <w:tcW w:type="dxa" w:w="343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主要使用者</w:t>
            </w:r>
          </w:p>
        </w:tc>
      </w:tr>
      <w:tr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My work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我的待办、缺失配置与退回事项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关账负责人、集团会计、子公司会计</w:t>
            </w:r>
          </w:p>
        </w:tc>
      </w:tr>
      <w:tr>
        <w:tc>
          <w:tcPr>
            <w:tcW w:type="dxa" w:w="3438"/>
            <w:vAlign w:val="top"/>
          </w:tcPr>
          <w:p>
            <w:r>
              <w:t>审批记录（Approvals）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待批准事项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集团会计与关账负责人；阅览人员只读</w:t>
            </w:r>
          </w:p>
        </w:tc>
      </w:tr>
      <w:tr>
        <w:tc>
          <w:tcPr>
            <w:tcW w:type="dxa" w:w="3438"/>
            <w:vAlign w:val="top"/>
          </w:tcPr>
          <w:p>
            <w:r>
              <w:t>期间（Period）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期间进度与实体报送状态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集团会计、关账负责人、阅览人员</w:t>
            </w:r>
          </w:p>
        </w:tc>
      </w:tr>
      <w:tr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Trial balances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试算平衡表报送及检查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子公司会计、集团会计</w:t>
            </w:r>
          </w:p>
        </w:tc>
      </w:tr>
      <w:tr>
        <w:tc>
          <w:tcPr>
            <w:tcW w:type="dxa" w:w="3438"/>
            <w:vAlign w:val="top"/>
          </w:tcPr>
          <w:p>
            <w:r>
              <w:t>内部往来（Intercompany）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内部往来对账与差异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集团会计、关账负责人、阅览人员</w:t>
            </w:r>
          </w:p>
        </w:tc>
      </w:tr>
      <w:tr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Rates &amp; ownership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集团汇率、权益历史汇率与持股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集团会计、关账负责人、阅览人员</w:t>
            </w:r>
          </w:p>
        </w:tc>
      </w:tr>
      <w:tr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Adjustments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合并调整分录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集团会计与关账负责人</w:t>
            </w:r>
          </w:p>
        </w:tc>
      </w:tr>
      <w:tr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Checks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关账断言与结果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集团会计与关账负责人</w:t>
            </w:r>
          </w:p>
        </w:tc>
      </w:tr>
      <w:tr>
        <w:tc>
          <w:tcPr>
            <w:tcW w:type="dxa" w:w="3438"/>
            <w:vAlign w:val="top"/>
          </w:tcPr>
          <w:p>
            <w:r>
              <w:t>合并报表（Numbers）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财务数字、报表与追溯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集团层授权用户</w:t>
            </w:r>
          </w:p>
        </w:tc>
      </w:tr>
      <w:tr>
        <w:tc>
          <w:tcPr>
            <w:tcW w:type="dxa" w:w="3438"/>
            <w:vAlign w:val="top"/>
          </w:tcPr>
          <w:p>
            <w:r>
              <w:t>签核（Sign-off）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签字、关闭与重开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关账负责人；其他可见角色按权限只读</w:t>
            </w:r>
          </w:p>
        </w:tc>
      </w:tr>
      <w:tr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Audit trail</w:t>
            </w:r>
          </w:p>
        </w:tc>
        <w:tc>
          <w:tcPr>
            <w:tcW w:type="dxa" w:w="306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关账事件轨迹</w:t>
            </w:r>
          </w:p>
        </w:tc>
        <w:tc>
          <w:tcPr>
            <w:tcW w:type="dxa" w:w="34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集团会计、关账负责人、阅览人员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当前源码中的 Entity Accountant 主要看到 My work 与 Trial balances；没有 Checks、Sign-off 等菜单属于角色设计。Viewer 没有可操作待办，通常从 Trial balances 落地。首次关账期未声明或尚无可查看签字期时，系统可能停留在 </w:t>
      </w:r>
      <w:r>
        <w:rPr>
          <w:rFonts w:ascii="Consolas" w:hAnsi="Consolas" w:eastAsia="宋体"/>
          <w:b w:val="0"/>
          <w:i w:val="0"/>
          <w:sz w:val="18"/>
        </w:rPr>
        <w:t>/close</w:t>
      </w:r>
      <w:r>
        <w:rPr>
          <w:rFonts w:ascii="Arial" w:hAnsi="Arial" w:eastAsia="宋体"/>
          <w:b w:val="0"/>
          <w:i w:val="0"/>
        </w:rPr>
        <w:t xml:space="preserve"> 并说明原因，应先完成基础设置。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2. 登录与日常操作规范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首次登录基础设置（Welcome / Setup Wizard）</w:t>
      </w:r>
    </w:p>
    <w:p>
      <w:r>
        <w:rPr>
          <w:rFonts w:ascii="Arial" w:hAnsi="Arial" w:eastAsia="宋体"/>
          <w:b w:val="0"/>
          <w:i w:val="0"/>
        </w:rPr>
        <w:t xml:space="preserve">首次用 </w:t>
      </w:r>
      <w:r>
        <w:rPr>
          <w:rFonts w:ascii="Consolas" w:hAnsi="Consolas" w:eastAsia="宋体"/>
          <w:b w:val="0"/>
          <w:i w:val="0"/>
          <w:sz w:val="18"/>
        </w:rPr>
        <w:t>Administrator</w:t>
      </w:r>
      <w:r>
        <w:rPr>
          <w:rFonts w:ascii="Arial" w:hAnsi="Arial" w:eastAsia="宋体"/>
          <w:b w:val="0"/>
          <w:i w:val="0"/>
        </w:rPr>
        <w:t xml:space="preserve"> 和本机初始密码登录后，可能进入 Frappe 的 Welcome / Setup Wizard。这是基础用户与地区设置向导，不是财务演示账套初始化，也不会自动建好集团合并、预算或集团报告币政策。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宋体"/>
          <w:b w:val="0"/>
          <w:i w:val="0"/>
        </w:rPr>
        <w:t>选择界面语言、国家、时区和默认货币。中国试用可参考 Chinese／简体中文、China、Asia/Shanghai、CNY；其中默认货币和地区不替代 Entity 本位币、Consolidation Group 报告币及集团会计政策。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宋体"/>
          <w:b w:val="0"/>
          <w:i w:val="0"/>
        </w:rPr>
        <w:t>点击 Next，填写你自己的姓名、有效邮箱和新的个人账号密码。不要把演示或示例邮箱作为正式账号；妥善保存个人密码。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宋体"/>
          <w:b w:val="0"/>
          <w:i w:val="0"/>
        </w:rPr>
        <w:t>向导完成后，平台可能自动以新个人账号登录。新账号即使有系统管理角色，也未必具备 EPM 业务角色及实体权限，菜单不完整不表示 EXE 启动失败。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宋体"/>
          <w:b w:val="0"/>
          <w:i w:val="0"/>
        </w:rPr>
        <w:t xml:space="preserve">退出该会话，使用 </w:t>
      </w:r>
      <w:r>
        <w:rPr>
          <w:rFonts w:ascii="Consolas" w:hAnsi="Consolas" w:eastAsia="宋体"/>
          <w:b w:val="0"/>
          <w:i w:val="0"/>
          <w:sz w:val="18"/>
        </w:rPr>
        <w:t>Administrator</w:t>
      </w:r>
      <w:r>
        <w:rPr>
          <w:rFonts w:ascii="Arial" w:hAnsi="Arial" w:eastAsia="宋体"/>
          <w:b w:val="0"/>
          <w:i w:val="0"/>
        </w:rPr>
        <w:t xml:space="preserve"> 的本机初始凭证重新登录；若管理员密码已修改，则使用当前密码。在 User 中找到新个人账号，按职责配置 EPM Admin 或预算所需角色，再设置相应 Entity 用户权限；不要把所有人员都分配为管理员。</w:t>
      </w:r>
    </w:p>
    <w:p>
      <w:pPr>
        <w:pStyle w:val="ListNumber"/>
        <w:numPr>
          <w:ilvl w:val="0"/>
          <w:numId w:val="10"/>
        </w:numPr>
        <w:spacing w:line="324" w:lineRule="auto"/>
      </w:pPr>
      <w:r>
        <w:rPr>
          <w:rFonts w:ascii="Noto Sans CJK SC" w:hAnsi="Noto Sans CJK SC" w:eastAsia="Noto Sans CJK SC"/>
        </w:rPr>
        <w:t>再使用个人账号登录，按中文用户手册进行授权范围内的初始化和业务操作。本版业务显示语言设为简体中文；技术标识和用户业务数据保留原值。</w:t>
      </w:r>
    </w:p>
    <w:p>
      <w:r>
        <w:rPr>
          <w:rFonts w:ascii="Arial" w:hAnsi="Arial" w:eastAsia="宋体"/>
          <w:b w:val="0"/>
          <w:i w:val="0"/>
        </w:rPr>
        <w:t xml:space="preserve">首次进入 </w:t>
      </w:r>
      <w:r>
        <w:rPr>
          <w:rFonts w:ascii="Consolas" w:hAnsi="Consolas" w:eastAsia="宋体"/>
          <w:b w:val="0"/>
          <w:i w:val="0"/>
          <w:sz w:val="18"/>
        </w:rPr>
        <w:t>/close</w:t>
      </w:r>
      <w:r>
        <w:rPr>
          <w:rFonts w:ascii="Arial" w:hAnsi="Arial" w:eastAsia="宋体"/>
          <w:b w:val="0"/>
          <w:i w:val="0"/>
        </w:rPr>
        <w:t xml:space="preserve"> 出现“无期间”或 Numbers never built 等提示，通常表示尚未建立会计期间、首次关账起点或未完成受控构建，不等于 EXE 失败。请按用户手册维护主体、科目、合并组、EPM Fiscal Year 与 Close Settings 的首次关账年度／期间，再走发布、审批和构建流程。空站点没有你的集团财务数据，向导不会代你创建完整集团账套。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日常登录与操作</w:t>
      </w:r>
    </w:p>
    <w:p>
      <w:r>
        <w:rPr>
          <w:rFonts w:ascii="Arial" w:hAnsi="Arial" w:eastAsia="宋体"/>
          <w:b w:val="0"/>
          <w:i w:val="0"/>
        </w:rPr>
        <w:t>打开安装手册指定地址，输入个人账号登录。首次使用修改初始密码，确认个人信息与所属实体。多人不能共用一个管理员账号，否则无法可靠区分制单、审核和签字责任。修改完成后离开共享电脑应退出浏览器与 Excel 任务窗的会话。</w:t>
      </w:r>
    </w:p>
    <w:p>
      <w:r>
        <w:rPr>
          <w:rFonts w:ascii="Arial" w:hAnsi="Arial" w:eastAsia="宋体"/>
          <w:b w:val="0"/>
          <w:i w:val="0"/>
        </w:rPr>
        <w:t>列表页可按名称、年度、期间、实体、场景和状态筛选；单据通常通过 New 新建、Save 保存。Save 仅表示草稿或录入内容落库，Submit、Approve、Publish、Lock、构建完成及签字分别代表不同业务阶段。看到保存成功后，还应按该流程确认后续状态。</w:t>
      </w:r>
    </w:p>
    <w:p>
      <w:r>
        <w:rPr>
          <w:rFonts w:ascii="Arial" w:hAnsi="Arial" w:eastAsia="宋体"/>
          <w:b w:val="0"/>
          <w:i w:val="0"/>
        </w:rPr>
        <w:t>每次关账先核对页面顶部会计年度与期间，不要依赖浏览器上次停留页面。关闭期或锁定期拒绝录入时，不要更换期间绕过限制；向关账负责人提交更正原因。管理员应根据权限和数据影响决定重开、重报、重算和重新签字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3. 管理员初始化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3.1 检查连接与后台任务</w:t>
      </w:r>
    </w:p>
    <w:p>
      <w:r>
        <w:rPr>
          <w:rFonts w:ascii="Arial" w:hAnsi="Arial" w:eastAsia="宋体"/>
          <w:b w:val="0"/>
          <w:i w:val="0"/>
        </w:rPr>
        <w:t xml:space="preserve">由管理员打开 </w:t>
      </w:r>
      <w:r>
        <w:rPr>
          <w:rFonts w:ascii="Consolas" w:hAnsi="Consolas" w:eastAsia="宋体"/>
          <w:b w:val="0"/>
          <w:i w:val="0"/>
          <w:sz w:val="18"/>
        </w:rPr>
        <w:t>EPM Settings</w:t>
      </w:r>
      <w:r>
        <w:rPr>
          <w:rFonts w:ascii="Arial" w:hAnsi="Arial" w:eastAsia="宋体"/>
          <w:b w:val="0"/>
          <w:i w:val="0"/>
        </w:rPr>
        <w:t>，核对 ClickHouse 连接、dbt 路径、预算默认金额口径与集团设置。真实服务器地址和凭据由安装流程写入本机配置，不应复制到截图或报表附件中。若设置页显示连接错误，先按免 Docker 安装手册检查启动进度、内置服务状态、日志与后台 Worker，再进行业务输入；不要关闭校验来使页面通过。</w:t>
      </w:r>
    </w:p>
    <w:p>
      <w:r>
        <w:rPr>
          <w:rFonts w:ascii="Arial" w:hAnsi="Arial" w:eastAsia="宋体"/>
          <w:b w:val="0"/>
          <w:i w:val="0"/>
        </w:rPr>
        <w:t>初期使用手工 TB 文件即可验证合并业务。没有 D365、ERPNext 或其他真实 ERP 授权时，不要填入虚构连接器，也无需先启动一个不可用的采集任务。启用 ERP Connector 前应明确源实体范围、增量口径、维度映射和对账办法。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3.2 建立组织 Entities</w:t>
      </w:r>
    </w:p>
    <w:p>
      <w:r>
        <w:rPr>
          <w:rFonts w:ascii="Arial" w:hAnsi="Arial" w:eastAsia="宋体"/>
          <w:b w:val="0"/>
          <w:i w:val="0"/>
        </w:rPr>
        <w:t>进入 Reference Data → Entities，点击 New。先建立区域或集团父节点，再建立下属法人实体；真正报送 TB 的公司应为非组节点。保存后检查树形层级。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388"/>
        <w:gridCol w:w="3312"/>
      </w:tblGrid>
      <w:tr>
        <w:trPr>
          <w:tblHeader w:val="true"/>
        </w:trPr>
        <w:tc>
          <w:tcPr>
            <w:tcW w:type="dxa" w:w="323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字段</w:t>
            </w:r>
          </w:p>
        </w:tc>
        <w:tc>
          <w:tcPr>
            <w:tcW w:type="dxa" w:w="338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类型与示例</w:t>
            </w:r>
          </w:p>
        </w:tc>
        <w:tc>
          <w:tcPr>
            <w:tcW w:type="dxa" w:w="3312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操作说明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Entity Code /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entity_code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文本，如 CN01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稳定业务编码；应与 TB、连接器和预算使用的实体一致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Entity Name /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entity_name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文本，如示例华东公司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展示名称，不用名称代替业务编码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Parent Entity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Entity 关联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按集团组织树选择父节点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Is Group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勾选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父汇总节点勾选；报送法人不勾选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Active / Dormant / Disposed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依据存续和报送政策填写，处置日另由持股与交易单据管理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Reporting Frequency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Monthly / Quarterly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必须明确；决定哪些期间应报 TB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Functional Currency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ISO Currency 关联，如 CNY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本位币；同一 TB 文件内金额币种应与其一致</w:t>
            </w:r>
          </w:p>
        </w:tc>
      </w:tr>
      <w:tr>
        <w:tc>
          <w:tcPr>
            <w:tcW w:type="dxa" w:w="32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Country、ERP Source</w:t>
            </w:r>
          </w:p>
        </w:tc>
        <w:tc>
          <w:tcPr>
            <w:tcW w:type="dxa" w:w="338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33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辅助说明，不代替接口配置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实体树用于访问授权；Consolidation Group 用于合并范围，两者不能混为一谈。集团同一实体可在经批准的不同汇报范围内使用，但必须防止报表重复汇总。组织层级调整前应评估下级权限与历史报表影响。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3.3 维护集团科目</w:t>
      </w:r>
    </w:p>
    <w:p>
      <w:r>
        <w:rPr>
          <w:rFonts w:ascii="Arial" w:hAnsi="Arial" w:eastAsia="宋体"/>
          <w:b w:val="0"/>
          <w:i w:val="0"/>
        </w:rPr>
        <w:t xml:space="preserve">进入 Group Chart of Accounts，技术单据名为 </w:t>
      </w:r>
      <w:r>
        <w:rPr>
          <w:rFonts w:ascii="Consolas" w:hAnsi="Consolas" w:eastAsia="宋体"/>
          <w:b w:val="0"/>
          <w:i w:val="0"/>
          <w:sz w:val="18"/>
        </w:rPr>
        <w:t>Main Account</w:t>
      </w:r>
      <w:r>
        <w:rPr>
          <w:rFonts w:ascii="Arial" w:hAnsi="Arial" w:eastAsia="宋体"/>
          <w:b w:val="0"/>
          <w:i w:val="0"/>
        </w:rPr>
        <w:t>。先建立父级汇总科目，再建立可过账明细科目。准备完整集团科目方案后进行发布，避免先零散录入 TB 再临时凑科目。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5"/>
        <w:gridCol w:w="4164"/>
        <w:gridCol w:w="2747"/>
      </w:tblGrid>
      <w:tr>
        <w:trPr>
          <w:tblHeader w:val="true"/>
        </w:trPr>
        <w:tc>
          <w:tcPr>
            <w:tcW w:type="dxa" w:w="302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字段</w:t>
            </w:r>
          </w:p>
        </w:tc>
        <w:tc>
          <w:tcPr>
            <w:tcW w:type="dxa" w:w="416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示例</w:t>
            </w:r>
          </w:p>
        </w:tc>
        <w:tc>
          <w:tcPr>
            <w:tcW w:type="dxa" w:w="2747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填写与校验要点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Account Code /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main_account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1001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文本编码，避免 Excel 自动转换丢失前导零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Account Name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银行存款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清晰业务名称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Chart of Accounts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GROUP_COA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同一集团口径的科目表编码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Parent Account、Is Group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上级及汇总标识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汇总标题科目不能接收 TB 过账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Account Type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Asset / Liability / Equity / Revenue / Expense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影响报表分类与折算逻辑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Statement Section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Balance Sheet / Profit and Loss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资产负债与损益分类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Normal Balance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Debit / Credit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正常余额方向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Time Balance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balance / flow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存量与流量口径，不能任意互换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Translation Method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closing / average / historical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期末、平均或历史汇率；与会计政策一致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Is Posting、Is Suspended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可过账、暂停标识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不可过账科目会被导入校验拒绝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Allow Intercompany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勾选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允许关联内部对手方，不替代内部往来科目配对声明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Cash Flow Category、Is Cash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分类与现金标识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用于现金流量表，需完整映射</w:t>
            </w:r>
          </w:p>
        </w:tc>
      </w:tr>
      <w:tr>
        <w:tc>
          <w:tcPr>
            <w:tcW w:type="dxa" w:w="302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16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Draft / Published / Inactive</w:t>
            </w:r>
          </w:p>
        </w:tc>
        <w:tc>
          <w:tcPr>
            <w:tcW w:type="dxa" w:w="274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只有被批准发布的有效配置才应进入正式计算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保存草稿后检查分类、折算方法与借贷方向，再使用该单据提供的 Publish 生命周期操作；某些字段不可通过手动改状态绕过。没有已发布集团科目时，TB 检查会提示 </w:t>
      </w:r>
      <w:r>
        <w:rPr>
          <w:rFonts w:ascii="Consolas" w:hAnsi="Consolas" w:eastAsia="宋体"/>
          <w:b w:val="0"/>
          <w:i w:val="0"/>
          <w:sz w:val="18"/>
        </w:rPr>
        <w:t>No group chart is published yet</w:t>
      </w:r>
      <w:r>
        <w:rPr>
          <w:rFonts w:ascii="Arial" w:hAnsi="Arial" w:eastAsia="宋体"/>
          <w:b w:val="0"/>
          <w:i w:val="0"/>
        </w:rPr>
        <w:t>。正式科目映射应在 ERP 抽取或导入前完成，本手册的 CN01、1001 等编码仅用于合成练习。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3.4 创建会计年度与期间</w:t>
      </w:r>
    </w:p>
    <w:p>
      <w:r>
        <w:rPr>
          <w:rFonts w:ascii="Arial" w:hAnsi="Arial" w:eastAsia="宋体"/>
          <w:b w:val="0"/>
          <w:i w:val="0"/>
        </w:rPr>
        <w:t xml:space="preserve">搜索 </w:t>
      </w:r>
      <w:r>
        <w:rPr>
          <w:rFonts w:ascii="Consolas" w:hAnsi="Consolas" w:eastAsia="宋体"/>
          <w:b w:val="0"/>
          <w:i w:val="0"/>
          <w:sz w:val="18"/>
        </w:rPr>
        <w:t>EPM Fiscal Year</w:t>
      </w:r>
      <w:r>
        <w:rPr>
          <w:rFonts w:ascii="Arial" w:hAnsi="Arial" w:eastAsia="宋体"/>
          <w:b w:val="0"/>
          <w:i w:val="0"/>
        </w:rPr>
        <w:t xml:space="preserve"> 或进入 Fiscal Year。新建年度，填写 Fiscal Year、Start Date、End Date 与 Period Pattern。标准试点优先选 Monthly (12)。点击 Actions → Generate Periods 生成期间，核对每行编号、代码、日期、Regular 类型及 Quarter，再保存。需要期初、结账或调整期间时，按经批准的日历方案配置。</w:t>
      </w:r>
    </w:p>
    <w:p>
      <w:r>
        <w:rPr>
          <w:rFonts w:ascii="Arial" w:hAnsi="Arial" w:eastAsia="宋体"/>
          <w:b w:val="0"/>
          <w:i w:val="0"/>
        </w:rPr>
        <w:t>当前代码支持十三期、4-4-5 与自定义日历的年度字段，但预算 Budget Line 固定为 P01–P12；非十二月预算需另做适配，不能直接承诺所有模块都支持十三期。年度已产生业务后不要随意再次 Generate Periods 替换原期间。</w:t>
      </w:r>
    </w:p>
    <w:p>
      <w:r>
        <w:rPr>
          <w:rFonts w:ascii="Consolas" w:hAnsi="Consolas" w:eastAsia="宋体"/>
          <w:b w:val="0"/>
          <w:i w:val="0"/>
          <w:sz w:val="18"/>
        </w:rPr>
        <w:t>Period Status</w:t>
      </w:r>
      <w:r>
        <w:rPr>
          <w:rFonts w:ascii="Arial" w:hAnsi="Arial" w:eastAsia="宋体"/>
          <w:b w:val="0"/>
          <w:i w:val="0"/>
        </w:rPr>
        <w:t xml:space="preserve"> 与早期 </w:t>
      </w:r>
      <w:r>
        <w:rPr>
          <w:rFonts w:ascii="Consolas" w:hAnsi="Consolas" w:eastAsia="宋体"/>
          <w:b w:val="0"/>
          <w:i w:val="0"/>
          <w:sz w:val="18"/>
        </w:rPr>
        <w:t>Fiscal Period</w:t>
      </w:r>
      <w:r>
        <w:rPr>
          <w:rFonts w:ascii="Arial" w:hAnsi="Arial" w:eastAsia="宋体"/>
          <w:b w:val="0"/>
          <w:i w:val="0"/>
        </w:rPr>
        <w:t xml:space="preserve"> 菜单属于兼容资料；现行主要日历应以 EPM Fiscal Year 及子表为准。期间状态 Open 表示可处理业务，Closed 表示已关闭，Locked 是更严格锁定。重开 Locked 通常需要 System Manager。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3.5 维护合并组与持股</w:t>
      </w:r>
    </w:p>
    <w:p>
      <w:r>
        <w:rPr>
          <w:rFonts w:ascii="Arial" w:hAnsi="Arial" w:eastAsia="宋体"/>
          <w:b w:val="0"/>
          <w:i w:val="0"/>
        </w:rPr>
        <w:t>进入 Consolidation Groups，建立集团汇总节点并设置报告币种，再建立关联实体的成员节点。集团报告币种为 CNY 时，所有外币折算汇率应朝向 CNY。设置 IC Difference Account 与 IC Difference Tolerance，并由财务确认差异容限。当前关账逻辑将容限为 0 视为未声明，不要将空白默认值误读为已批准零容差。</w:t>
      </w:r>
    </w:p>
    <w:p>
      <w:r>
        <w:rPr>
          <w:rFonts w:ascii="Arial" w:hAnsi="Arial" w:eastAsia="宋体"/>
          <w:b w:val="0"/>
          <w:i w:val="0"/>
        </w:rPr>
        <w:t>在 Ownership Periods 新建持股记录，填写 Consolidation Group、Entity、Effective Date、可选 End Date、Ownership % 和 Consolidation Method。80% 应录入 80，而不是 0.8；生效日期应覆盖当期纳入合并的日期。保存、申请批准或提交以当前页面允许的动作执行。并购或处置应走相关业务单据和审批，不能只改一个比例掩盖购买日及处置日事项。</w:t>
      </w:r>
    </w:p>
    <w:p>
      <w:r>
        <w:rPr>
          <w:rFonts w:ascii="Arial" w:hAnsi="Arial" w:eastAsia="宋体"/>
          <w:b w:val="0"/>
          <w:i w:val="0"/>
        </w:rPr>
        <w:t>合并方法可选择 full、proportional、equity、none；存在选项不表示任何复杂股权结构都已经验证。试点应先完成全资与非全资全额合并样例，再扩展权益法、分步收购或处置等专项案例。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3.6 关账政策与人员授权</w:t>
      </w:r>
    </w:p>
    <w:p>
      <w:r>
        <w:rPr>
          <w:rFonts w:ascii="Arial" w:hAnsi="Arial" w:eastAsia="宋体"/>
          <w:b w:val="0"/>
          <w:i w:val="0"/>
        </w:rPr>
        <w:t xml:space="preserve">搜索 </w:t>
      </w:r>
      <w:r>
        <w:rPr>
          <w:rFonts w:ascii="Consolas" w:hAnsi="Consolas" w:eastAsia="宋体"/>
          <w:b w:val="0"/>
          <w:i w:val="0"/>
          <w:sz w:val="18"/>
        </w:rPr>
        <w:t>Close Settings</w:t>
      </w:r>
      <w:r>
        <w:rPr>
          <w:rFonts w:ascii="Arial" w:hAnsi="Arial" w:eastAsia="宋体"/>
          <w:b w:val="0"/>
          <w:i w:val="0"/>
        </w:rPr>
        <w:t xml:space="preserve">，声明 First Close Fiscal Year / Period、Self-Approval、需要说明的汇率变动阈值、CTA 科目、当期利润科目和经营差异说明阈值。如果集团确实无内部交易，可明确选择 </w:t>
      </w:r>
      <w:r>
        <w:rPr>
          <w:rFonts w:ascii="Consolas" w:hAnsi="Consolas" w:eastAsia="宋体"/>
          <w:b w:val="0"/>
          <w:i w:val="0"/>
          <w:sz w:val="18"/>
        </w:rPr>
        <w:t>None in this group</w:t>
      </w:r>
      <w:r>
        <w:rPr>
          <w:rFonts w:ascii="Arial" w:hAnsi="Arial" w:eastAsia="宋体"/>
          <w:b w:val="0"/>
          <w:i w:val="0"/>
        </w:rPr>
        <w:t>；有内部交易时应配置映射，而不是用“无内部交易”跳过检查。第一关账期之前的历史期间主要用于期初，不按普通当期签字。</w:t>
      </w:r>
    </w:p>
    <w:p>
      <w:r>
        <w:rPr>
          <w:rFonts w:ascii="Arial" w:hAnsi="Arial" w:eastAsia="宋体"/>
          <w:b w:val="0"/>
          <w:i w:val="0"/>
        </w:rPr>
        <w:t>在 User 创建个人用户，分配 EPM Admin、EPM Analyst、Entity Accountant、EPM User 或预算角色；在 User Permission 分配对应 Entity。分别使用一名集团用户与一名仅限 CN01 的子公司用户验证列表、直链、附件、Excel 和导出。角色及实体范围调整后应重新登录核验。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4. TB 试算平衡表导入与替换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4.1 准备文件</w:t>
      </w:r>
    </w:p>
    <w:p>
      <w:r>
        <w:rPr>
          <w:rFonts w:ascii="Arial" w:hAnsi="Arial" w:eastAsia="宋体"/>
          <w:b w:val="0"/>
          <w:i w:val="0"/>
        </w:rPr>
        <w:t>从本地 ERP 导出集团接受口径的 TB，转换为 UTF-8 CSV。一个单实体提交对应一个实体、一个年度、一个期间和一种金额口径。必须保留表头，禁止合计行、合并单元格、公式和隐藏说明行。基础表头如下：</w:t>
      </w:r>
    </w:p>
    <w:p>
      <w:pPr>
        <w:pStyle w:val="EPMCode"/>
        <w:shd w:fill="F2F4F7"/>
      </w:pPr>
      <w:r>
        <w:rPr>
          <w:rFonts w:ascii="Consolas" w:hAnsi="Consolas" w:eastAsia="宋体"/>
          <w:sz w:val="18"/>
        </w:rPr>
        <w:t>main_account,debit,credit,currency,description,partner_data_area_id</w:t>
        <w:br/>
        <w:t>1001,100000,0,CNY,示例银行存款,</w:t>
        <w:br/>
        <w:t>3001,0,100000,CNY,示例实收资本,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2"/>
        <w:gridCol w:w="1711"/>
        <w:gridCol w:w="5013"/>
      </w:tblGrid>
      <w:tr>
        <w:trPr>
          <w:tblHeader w:val="true"/>
        </w:trPr>
        <w:tc>
          <w:tcPr>
            <w:tcW w:type="dxa" w:w="3212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列</w:t>
            </w:r>
          </w:p>
        </w:tc>
        <w:tc>
          <w:tcPr>
            <w:tcW w:type="dxa" w:w="171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必填性</w:t>
            </w:r>
          </w:p>
        </w:tc>
        <w:tc>
          <w:tcPr>
            <w:tcW w:type="dxa" w:w="5013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校验与处理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main_account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已发布、可过账集团科目；汇总科目与未知科目拒绝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debit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必填列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有限非负数字；贷方用 credit 列表达，不能用负借方代替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credit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必填列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有限非负数字；按币种最小单位精度填写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currency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文件每行同一币种，并等于 Entity 的 Functional Currency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可选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行摘要；不参与科目或对手方匹配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partner_data_area_id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视内部交易需要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对手方为已存在非组实体，不得等于本公司；第三方留空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amount_basis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可选列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若填写，应与提交表单选择的金额口径一致</w:t>
            </w:r>
          </w:p>
        </w:tc>
      </w:tr>
      <w:tr>
        <w:tc>
          <w:tcPr>
            <w:tcW w:type="dxa" w:w="321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已声明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dim_*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 维度列</w:t>
            </w:r>
          </w:p>
        </w:tc>
        <w:tc>
          <w:tcPr>
            <w:tcW w:type="dxa" w:w="171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按集团要求</w:t>
            </w:r>
          </w:p>
        </w:tc>
        <w:tc>
          <w:tcPr>
            <w:tcW w:type="dxa" w:w="50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必须对应 Published 且纳入 TB 的 Dimension；未声明列会被拒绝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相同科目、对手方及所有声明维度组合只能有一行。重复时先在源文件聚合，不要把同一账户的多个明细行直接装成多套余额。币种为 CNY 通常用两位小数，但其他币种按各自精度，不应统一截断为两位。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4.2 选择金额口径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4"/>
        <w:gridCol w:w="2271"/>
        <w:gridCol w:w="4121"/>
      </w:tblGrid>
      <w:tr>
        <w:trPr>
          <w:tblHeader w:val="true"/>
        </w:trPr>
        <w:tc>
          <w:tcPr>
            <w:tcW w:type="dxa" w:w="354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选项</w:t>
            </w:r>
          </w:p>
        </w:tc>
        <w:tc>
          <w:tcPr>
            <w:tcW w:type="dxa" w:w="227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含义</w:t>
            </w:r>
          </w:p>
        </w:tc>
        <w:tc>
          <w:tcPr>
            <w:tcW w:type="dxa" w:w="412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适用注意</w:t>
            </w:r>
          </w:p>
        </w:tc>
      </w:tr>
      <w:tr>
        <w:tc>
          <w:tcPr>
            <w:tcW w:type="dxa" w:w="35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Period movement</w:t>
            </w:r>
          </w:p>
        </w:tc>
        <w:tc>
          <w:tcPr>
            <w:tcW w:type="dxa" w:w="2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本期发生额</w:t>
            </w:r>
          </w:p>
        </w:tc>
        <w:tc>
          <w:tcPr>
            <w:tcW w:type="dxa" w:w="412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每期间只含该期发生；不可把累计数逐月当本期输入</w:t>
            </w:r>
          </w:p>
        </w:tc>
      </w:tr>
      <w:tr>
        <w:tc>
          <w:tcPr>
            <w:tcW w:type="dxa" w:w="35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Year-to-date movement</w:t>
            </w:r>
          </w:p>
        </w:tc>
        <w:tc>
          <w:tcPr>
            <w:tcW w:type="dxa" w:w="2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年初至本期累计发生额</w:t>
            </w:r>
          </w:p>
        </w:tc>
        <w:tc>
          <w:tcPr>
            <w:tcW w:type="dxa" w:w="412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系统需要按累计口径计算期间变化；确保前期与期初方案完整</w:t>
            </w:r>
          </w:p>
        </w:tc>
      </w:tr>
      <w:tr>
        <w:tc>
          <w:tcPr>
            <w:tcW w:type="dxa" w:w="35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Period-end balance</w:t>
            </w:r>
          </w:p>
        </w:tc>
        <w:tc>
          <w:tcPr>
            <w:tcW w:type="dxa" w:w="2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期末余额</w:t>
            </w:r>
          </w:p>
        </w:tc>
        <w:tc>
          <w:tcPr>
            <w:tcW w:type="dxa" w:w="412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存量余额；不可同时再作为当期发生额重复累计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EPM Settings 可预填默认口径，但用户仍需与 ERP 导出解释核对。默认值不是系统替用户判断数据含义。发现前期口径选错时，应停止后续报送并由集团会计规划更正，不应通过平衡调整抵消口径错误。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4.3 在 Close 中检查与提交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宋体"/>
          <w:b w:val="0"/>
          <w:i w:val="0"/>
        </w:rPr>
        <w:t>打开 Close，核对年度、期间，进入 Trial balances。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宋体"/>
          <w:b w:val="0"/>
          <w:i w:val="0"/>
        </w:rPr>
        <w:t>选择授权实体和金额口径，选择 CSV 文件。按页面提供的文件检查动作执行，先查看逐行问题及借贷合计。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宋体"/>
          <w:b w:val="0"/>
          <w:i w:val="0"/>
        </w:rPr>
        <w:t>处理未知科目、非过账科目、币种不符、负数、重复行、未知对手方或维度声明错误后，重新选取修正文件检查。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宋体"/>
          <w:b w:val="0"/>
          <w:i w:val="0"/>
        </w:rPr>
        <w:t>全部阻断问题解决后，使用提交动作；提交成功应显示报送记录与状态。文件检查本身不等于已报送。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宋体"/>
          <w:b w:val="0"/>
          <w:i w:val="0"/>
        </w:rPr>
        <w:t>等待后台受控构建，查看 Pipeline Run / Build Approval 的执行结果，再去 Numbers 检查实体 TB。不要只以页面提示提交成功认定合并表已更新。</w:t>
      </w:r>
    </w:p>
    <w:p>
      <w:r>
        <w:rPr>
          <w:rFonts w:ascii="Arial" w:hAnsi="Arial" w:eastAsia="宋体"/>
          <w:b w:val="0"/>
          <w:i w:val="0"/>
        </w:rPr>
        <w:t>源 Close 检查接口是只检查不落库的模式；正式提交才创建报送与分析原始行。Desk 的 Trial Balance Upload 是另一种批量处理方式，带文件、检查与加载状态；不能把两种路径的状态名混用。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4.4 通过 Desk 提交与批量导入</w:t>
      </w:r>
    </w:p>
    <w:p>
      <w:r>
        <w:rPr>
          <w:rFonts w:ascii="Arial" w:hAnsi="Arial" w:eastAsia="宋体"/>
          <w:b w:val="0"/>
          <w:i w:val="0"/>
        </w:rPr>
        <w:t xml:space="preserve">需要单据式操作时，搜索 </w:t>
      </w:r>
      <w:r>
        <w:rPr>
          <w:rFonts w:ascii="Consolas" w:hAnsi="Consolas" w:eastAsia="宋体"/>
          <w:b w:val="0"/>
          <w:i w:val="0"/>
          <w:sz w:val="18"/>
        </w:rPr>
        <w:t>Trial Balance Submission</w:t>
      </w:r>
      <w:r>
        <w:rPr>
          <w:rFonts w:ascii="Arial" w:hAnsi="Arial" w:eastAsia="宋体"/>
          <w:b w:val="0"/>
          <w:i w:val="0"/>
        </w:rPr>
        <w:t>，填写实体、年度、期间、Amount Basis，上传 CSV，保存并提交。检查 Validation Status、Rows、Total Debit、Total Credit 和 Validation Message。当前源码对同一实体期间的有效批次有控制，替换应使用系统提供的替换或撤回修订路径。</w:t>
      </w:r>
    </w:p>
    <w:p>
      <w:r>
        <w:rPr>
          <w:rFonts w:ascii="Arial" w:hAnsi="Arial" w:eastAsia="宋体"/>
          <w:b w:val="0"/>
          <w:i w:val="0"/>
        </w:rPr>
        <w:t xml:space="preserve">多实体批量文件使用 </w:t>
      </w:r>
      <w:r>
        <w:rPr>
          <w:rFonts w:ascii="Consolas" w:hAnsi="Consolas" w:eastAsia="宋体"/>
          <w:b w:val="0"/>
          <w:i w:val="0"/>
          <w:sz w:val="18"/>
        </w:rPr>
        <w:t>Trial Balance Upload</w:t>
      </w:r>
      <w:r>
        <w:rPr>
          <w:rFonts w:ascii="Arial" w:hAnsi="Arial" w:eastAsia="宋体"/>
          <w:b w:val="0"/>
          <w:i w:val="0"/>
        </w:rPr>
        <w:t>，按其页面支持的文件合同提供实体、期间等分组信息。先检查 Report 中每个实体期间，再加载有效组；状态可能为 Checked、Loading、Loaded、Partly Loaded 或 Failed。Partly Loaded 表示部分组成功，需要针对失败组处理，不能无差别重新追加全部组。批量文件含多家数据，下载或共享前确认接收人的实体权限。</w:t>
      </w:r>
    </w:p>
    <w:p>
      <w:r>
        <w:rPr>
          <w:rFonts w:ascii="Arial" w:hAnsi="Arial" w:eastAsia="宋体"/>
          <w:b w:val="0"/>
          <w:i w:val="0"/>
        </w:rPr>
        <w:t>关闭或锁定期间无法正常替换数据。负责人先按制度重开，填报人再替换，经构建和检查后重新签字。禁止直接编辑 ClickHouse 原始行来“修正报表”。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5. 汇率与历史权益汇率</w:t>
      </w:r>
    </w:p>
    <w:p>
      <w:r>
        <w:rPr>
          <w:rFonts w:ascii="Arial" w:hAnsi="Arial" w:eastAsia="宋体"/>
          <w:b w:val="0"/>
          <w:i w:val="0"/>
        </w:rPr>
        <w:t>进入 Close → Rates &amp; ownership，Group rates 页签查看当期各币种 Closing 与 Average。集团会计填写报价并保存，关账负责人批准；需要变动原因时填写可审计说明。页面显示草稿、待批与批准等状态时，只有获批汇率才进入受控计算。</w:t>
      </w:r>
    </w:p>
    <w:p>
      <w:r>
        <w:rPr>
          <w:rFonts w:ascii="Arial" w:hAnsi="Arial" w:eastAsia="宋体"/>
          <w:b w:val="0"/>
          <w:i w:val="0"/>
        </w:rPr>
        <w:t xml:space="preserve">也可搜索 </w:t>
      </w:r>
      <w:r>
        <w:rPr>
          <w:rFonts w:ascii="Consolas" w:hAnsi="Consolas" w:eastAsia="宋体"/>
          <w:b w:val="0"/>
          <w:i w:val="0"/>
          <w:sz w:val="18"/>
        </w:rPr>
        <w:t>Group Exchange Rate</w:t>
      </w:r>
      <w:r>
        <w:rPr>
          <w:rFonts w:ascii="Arial" w:hAnsi="Arial" w:eastAsia="宋体"/>
          <w:b w:val="0"/>
          <w:i w:val="0"/>
        </w:rPr>
        <w:t xml:space="preserve"> 查看单据。核心字段为 From Currency、Group Reporting Currency、Rate Type、Fiscal Year、Fiscal Period、Quote 与 Quoted Per。例如“100 JPY = 4.80 CNY”，From Currency=JPY，To Currency=CNY，Quote=4.80，Quoted Per=100；不要按 1 JPY=4.80 CNY 输入。核对页面 Rate As Quoted 后再批准。</w:t>
      </w:r>
    </w:p>
    <w:p>
      <w:r>
        <w:rPr>
          <w:rFonts w:ascii="Arial" w:hAnsi="Arial" w:eastAsia="宋体"/>
          <w:b w:val="0"/>
          <w:i w:val="0"/>
        </w:rPr>
        <w:t xml:space="preserve">资产负债通常采用 closing，损益通常采用 average；具体以集团科目的 Translation Method 为准。同币种折算为 1。缺少已批准的受控汇率应修正配置，而不是临时写一个 1。Historical equity rates 页签或 </w:t>
      </w:r>
      <w:r>
        <w:rPr>
          <w:rFonts w:ascii="Consolas" w:hAnsi="Consolas" w:eastAsia="宋体"/>
          <w:b w:val="0"/>
          <w:i w:val="0"/>
          <w:sz w:val="18"/>
        </w:rPr>
        <w:t>Historical Equity Rate</w:t>
      </w:r>
      <w:r>
        <w:rPr>
          <w:rFonts w:ascii="Arial" w:hAnsi="Arial" w:eastAsia="宋体"/>
          <w:b w:val="0"/>
          <w:i w:val="0"/>
        </w:rPr>
        <w:t xml:space="preserve"> 单据填写集团、实体、权益科目、贡献或取得日期、Historical Rate，批准后用于权益折算；历史率需与会计凭据一致。</w:t>
      </w:r>
    </w:p>
    <w:p>
      <w:r>
        <w:rPr>
          <w:rFonts w:ascii="Arial" w:hAnsi="Arial" w:eastAsia="宋体"/>
          <w:b w:val="0"/>
          <w:i w:val="0"/>
        </w:rPr>
        <w:t>已批准汇率更正应通过修订或更正流程保留前记录、原因和批准人。更正会影响构建及签字有效性，应完成重算和重签。不要认为“上个月签过字”就足以覆盖本月改过的历史数据。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6. 内部交易映射、对账与抵销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6.1 发布对账科目</w:t>
      </w:r>
    </w:p>
    <w:p>
      <w:r>
        <w:rPr>
          <w:rFonts w:ascii="Arial" w:hAnsi="Arial" w:eastAsia="宋体"/>
          <w:b w:val="0"/>
          <w:i w:val="0"/>
        </w:rPr>
        <w:t>进入 Consolidation → Intercompany Accounts，新增 main_account 与 counterpart_account。例如 1122 为内部应收、2202 为内部应付，两者按集团方案对应。保存后使用受控发布流程；Draft 配置不应被当作已生效规则。发布的集团科目还应正确维护 Allow Intercompany。</w:t>
      </w:r>
    </w:p>
    <w:p>
      <w:r>
        <w:rPr>
          <w:rFonts w:ascii="Arial" w:hAnsi="Arial" w:eastAsia="宋体"/>
          <w:b w:val="0"/>
          <w:i w:val="0"/>
        </w:rPr>
        <w:t xml:space="preserve">TB 中为内部往来行提供 </w:t>
      </w:r>
      <w:r>
        <w:rPr>
          <w:rFonts w:ascii="Consolas" w:hAnsi="Consolas" w:eastAsia="宋体"/>
          <w:b w:val="0"/>
          <w:i w:val="0"/>
          <w:sz w:val="18"/>
        </w:rPr>
        <w:t>partner_data_area_id</w:t>
      </w:r>
      <w:r>
        <w:rPr>
          <w:rFonts w:ascii="Arial" w:hAnsi="Arial" w:eastAsia="宋体"/>
          <w:b w:val="0"/>
          <w:i w:val="0"/>
        </w:rPr>
        <w:t>。没有对手方时，系统可能提示内部科目缺少对手；这与某实体真实不存在往来不同。先修正源数据和映射，再运行构建。通过技术强制填入错误对手方会导致成对核对失真。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6.2 检查差异</w:t>
      </w:r>
    </w:p>
    <w:p>
      <w:r>
        <w:rPr>
          <w:rFonts w:ascii="Arial" w:hAnsi="Arial" w:eastAsia="宋体"/>
          <w:b w:val="0"/>
          <w:i w:val="0"/>
        </w:rPr>
        <w:t>打开 Close → Intercompany，确认系统是已检查状态。查看同集团两实体、科目配对、两侧本币与集团币金额、匹配金额、差异、残余及容限。系统无法读取仓库、尚未构建、未配置和声明无内部交易有不同提示，不得把“未知”当作零差异。</w:t>
      </w:r>
    </w:p>
    <w:p>
      <w:r>
        <w:rPr>
          <w:rFonts w:ascii="Arial" w:hAnsi="Arial" w:eastAsia="宋体"/>
          <w:b w:val="0"/>
          <w:i w:val="0"/>
        </w:rPr>
        <w:t>合成例：CN01 对 CN02 的内部应收 10,000，CN02 对 CN01 的内部应付 9,800，差异为 200。先核对汇率、截止期、未达账项、科目与对手方，再决定源数据更正或集团分录。超过容限时，集团会计可用 Send back 退回并填写原因；子公司在 My work 看到修复事项。必要时使用 Remind，但提醒不等于账务调整。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6.3 设置抵销规则</w:t>
      </w:r>
    </w:p>
    <w:p>
      <w:r>
        <w:rPr>
          <w:rFonts w:ascii="Arial" w:hAnsi="Arial" w:eastAsia="宋体"/>
          <w:b w:val="0"/>
          <w:i w:val="0"/>
        </w:rPr>
        <w:t>进入 IC Elimination Rules，填写 Rule ID、Rule Name、Rule Type、Debit Account、Credit Account 与实体匹配模式。余额抵销采用 balance；存货未实现利润使用 unrealized_profit，并核对 Margin % 与 Asset Account 等字段。未实现利润所需 IC Balance 包括销售实体、购买实体、年度期间、内部销售额、期末内部采购存货额。</w:t>
      </w:r>
    </w:p>
    <w:p>
      <w:r>
        <w:rPr>
          <w:rFonts w:ascii="Arial" w:hAnsi="Arial" w:eastAsia="宋体"/>
          <w:b w:val="0"/>
          <w:i w:val="0"/>
        </w:rPr>
        <w:t>规则计算后查看抵销层与最终合并 TB，核对借贷是否相抵、差异是否保留可解释来源。对账配对与抵销规则是相关但不同的配置，不应认为发布对账科目就自动覆盖所有抵销业务。固定资产内部销售、跨期利润转回、税效应等复杂需求按研发文档和专项验算执行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7. 合并调整分录与审批</w:t>
      </w:r>
    </w:p>
    <w:p>
      <w:r>
        <w:rPr>
          <w:rFonts w:ascii="Arial" w:hAnsi="Arial" w:eastAsia="宋体"/>
          <w:b w:val="0"/>
          <w:i w:val="0"/>
        </w:rPr>
        <w:t>进入 Close → Adjustments 或 Desk → Consolidation Journals。集团会计新建分录，选集团、年度期间和 Topside / Reclassification，填写摘要和分录行。分录报告币种由集团决定，不能随意混入实体本币。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6"/>
        <w:gridCol w:w="3380"/>
        <w:gridCol w:w="2800"/>
      </w:tblGrid>
      <w:tr>
        <w:trPr>
          <w:tblHeader w:val="true"/>
        </w:trPr>
        <w:tc>
          <w:tcPr>
            <w:tcW w:type="dxa" w:w="3756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字段</w:t>
            </w:r>
          </w:p>
        </w:tc>
        <w:tc>
          <w:tcPr>
            <w:tcW w:type="dxa" w:w="338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操作说明</w:t>
            </w:r>
          </w:p>
        </w:tc>
        <w:tc>
          <w:tcPr>
            <w:tcW w:type="dxa" w:w="280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合成示例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Consolidation Group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本分录作用的合并组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GROUP_DEMO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Adjustment Type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topside 或 reclassification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reclassification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Fiscal Year / Period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报告期间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2026 / 10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Lines.Entity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每行所属授权实体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CN01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Lines.Main Account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可用集团科目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6601、6602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Debit / Credit Amount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非负金额，按借贷方向分列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一行借 1,000，一行贷 1,000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可追溯业务原因与凭据参考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示例费用重分类</w:t>
            </w:r>
          </w:p>
        </w:tc>
      </w:tr>
      <w:tr>
        <w:tc>
          <w:tcPr>
            <w:tcW w:type="dxa" w:w="37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Reverse In Fiscal Year / Period</w:t>
            </w:r>
          </w:p>
        </w:tc>
        <w:tc>
          <w:tcPr>
            <w:tcW w:type="dxa" w:w="338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计划自动反转的目标期间</w:t>
            </w:r>
          </w:p>
        </w:tc>
        <w:tc>
          <w:tcPr>
            <w:tcW w:type="dxa" w:w="28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经财务确认后填写，不能猜测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保存草稿时核对 Total Debit 与 Total Credit。使用 Send for Approval 后状态进入 Pending Approval；负责人在 Approvals 或单据工作流中选择 Approve 或 Reject。批准后才是生效合并输入，拒绝退回 Draft 由制单人修改。系统自批政策由 Close Settings 控制；有批准角色也不表示可以绕过职责分离。</w:t>
      </w:r>
    </w:p>
    <w:p>
      <w:r>
        <w:rPr>
          <w:rFonts w:ascii="Arial" w:hAnsi="Arial" w:eastAsia="宋体"/>
          <w:b w:val="0"/>
          <w:i w:val="0"/>
        </w:rPr>
        <w:t>已批准错误分录应按 Reverse 或修订流程处理，不覆盖历史批准内容。Reverse 取消原批准与“指定未来期间生成反向影响”是不同处理，具体以页面显示及集团制度为准。跨期调整可能影响后续期间结果及签字，完成后应重建、重检和重签。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8. 构建、检查、签字与关账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8.1 受控构建 Build Approval</w:t>
      </w:r>
    </w:p>
    <w:p>
      <w:r>
        <w:rPr>
          <w:rFonts w:ascii="Arial" w:hAnsi="Arial" w:eastAsia="宋体"/>
          <w:b w:val="0"/>
          <w:i w:val="0"/>
        </w:rPr>
        <w:t>很多财务资料提交或发布后会请求构建。打开 Build Approvals 查看 Build Scope、Risk Level、触发单据、申请人、批准人、状态、Preflight Result、Build Output 和 Error Message。常用范围包括 staging、actuals、scenarios、consolidation、reporting、chart 与 full。</w:t>
      </w:r>
    </w:p>
    <w:p>
      <w:r>
        <w:rPr>
          <w:rFonts w:ascii="Arial" w:hAnsi="Arial" w:eastAsia="宋体"/>
          <w:b w:val="0"/>
          <w:i w:val="0"/>
        </w:rPr>
        <w:t>草稿使用 Request 提交；低风险请求可能按既定规则自动获批，高风险进入 Pending Review；负责人执行 Approve 或 Reject。后续 Running、Completed、Failed 由后台任务更新。Completed 表示该构建结束，不表示所有会计检查通过。Failed 时先阅读错误及前置校验，再更正后 Run Again；不要反复点 full refresh 作为通用修复。</w:t>
      </w:r>
    </w:p>
    <w:p>
      <w:r>
        <w:rPr>
          <w:rFonts w:ascii="Arial" w:hAnsi="Arial" w:eastAsia="宋体"/>
          <w:b w:val="0"/>
          <w:i w:val="0"/>
        </w:rPr>
        <w:t>源代码对并发构建、后台队列与状态有控制。若请求排队，先检查后台 Worker、依赖任务和是否有正在运行构建，再判断是否需要管理员处理。业务用户不要手动改数据库把 Running 改为 Completed。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8.2 关账检查 Checks</w:t>
      </w:r>
    </w:p>
    <w:p>
      <w:r>
        <w:rPr>
          <w:rFonts w:ascii="Arial" w:hAnsi="Arial" w:eastAsia="宋体"/>
          <w:b w:val="0"/>
          <w:i w:val="0"/>
        </w:rPr>
        <w:t>核对当前期间数据构建已经完成，再进入 Checks 运行检查。结果保存在 Assertion Run，子表记录各断言结果。检查通常涉及 TB 平衡、折算公式、集团与少数股东归属、抵销平衡、合并分录平衡、现金流勾稽和配置完整性。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7"/>
        <w:gridCol w:w="5629"/>
      </w:tblGrid>
      <w:tr>
        <w:trPr>
          <w:tblHeader w:val="true"/>
        </w:trPr>
        <w:tc>
          <w:tcPr>
            <w:tcW w:type="dxa" w:w="4307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状态</w:t>
            </w:r>
          </w:p>
        </w:tc>
        <w:tc>
          <w:tcPr>
            <w:tcW w:type="dxa" w:w="5629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处理方式</w:t>
            </w:r>
          </w:p>
        </w:tc>
      </w:tr>
      <w:tr>
        <w:tc>
          <w:tcPr>
            <w:tcW w:type="dxa" w:w="430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Queued / Running</w:t>
            </w:r>
          </w:p>
        </w:tc>
        <w:tc>
          <w:tcPr>
            <w:tcW w:type="dxa" w:w="562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等待任务完成，不能视为通过</w:t>
            </w:r>
          </w:p>
        </w:tc>
      </w:tr>
      <w:tr>
        <w:tc>
          <w:tcPr>
            <w:tcW w:type="dxa" w:w="430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Green</w:t>
            </w:r>
          </w:p>
        </w:tc>
        <w:tc>
          <w:tcPr>
            <w:tcW w:type="dxa" w:w="562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检查通过，继续核对业务完整性与签字门槛</w:t>
            </w:r>
          </w:p>
        </w:tc>
      </w:tr>
      <w:tr>
        <w:tc>
          <w:tcPr>
            <w:tcW w:type="dxa" w:w="430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Amber</w:t>
            </w:r>
          </w:p>
        </w:tc>
        <w:tc>
          <w:tcPr>
            <w:tcW w:type="dxa" w:w="562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存在警告或待说明事项，逐项解释并确认</w:t>
            </w:r>
          </w:p>
        </w:tc>
      </w:tr>
      <w:tr>
        <w:tc>
          <w:tcPr>
            <w:tcW w:type="dxa" w:w="430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Red</w:t>
            </w:r>
          </w:p>
        </w:tc>
        <w:tc>
          <w:tcPr>
            <w:tcW w:type="dxa" w:w="562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存在失败断言，定位数据或规则后重算重检</w:t>
            </w:r>
          </w:p>
        </w:tc>
      </w:tr>
      <w:tr>
        <w:tc>
          <w:tcPr>
            <w:tcW w:type="dxa" w:w="430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562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检查未正常完成，联系管理员处理服务或 SQL 错误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进入失败断言查看名称、日志、涉及实体和金额。修复应落在源 TB、受控汇率、科目分类、规则或分录上。不要直接修改断言结果或降低阈值掩盖差异。当前输出可保留警告与原因，这些是审计证据。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8.3 Sign-off 签字</w:t>
      </w:r>
    </w:p>
    <w:p>
      <w:r>
        <w:rPr>
          <w:rFonts w:ascii="Arial" w:hAnsi="Arial" w:eastAsia="宋体"/>
          <w:b w:val="0"/>
          <w:i w:val="0"/>
        </w:rPr>
        <w:t>进入 Sign-off，核对最新运行编号、数据时间、实体 TB 完整性、历史期顺序、待批事项、差异说明和汇率。签字必须绑定最新有效终态检查；页面数据已被别人更新时，系统可拒绝旧页面的签字，应刷新并重新审阅。</w:t>
      </w:r>
    </w:p>
    <w:p>
      <w:r>
        <w:rPr>
          <w:rFonts w:ascii="Arial" w:hAnsi="Arial" w:eastAsia="宋体"/>
          <w:b w:val="0"/>
          <w:i w:val="0"/>
        </w:rPr>
        <w:t>Green 按允许动作签字；Amber 需要记录确认说明；Red / Error 的越权签字仅对特定高权限开放并必须记录原因。项目常规应先修复问题，不将越权作为月度默认流程。某些前置门槛，例如缺失第一关账期、未覆盖持股、TB 不完整、未完成前期签字、数据指纹失效，仍可阻断签字，不能认为填写一个原因即可跳过所有问题。</w:t>
      </w:r>
    </w:p>
    <w:p>
      <w:r>
        <w:rPr>
          <w:rFonts w:ascii="Arial" w:hAnsi="Arial" w:eastAsia="宋体"/>
          <w:b w:val="0"/>
          <w:i w:val="0"/>
        </w:rPr>
        <w:t>签字结果包括 Signed Off、Acknowledged、Overridden 等。输入、历史期或构建结果发生影响后可能出现 Re-sign Needed；此时原签字不能继续当作有效批准。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8.4 关闭、锁定与重开</w:t>
      </w:r>
    </w:p>
    <w:p>
      <w:r>
        <w:rPr>
          <w:rFonts w:ascii="Arial" w:hAnsi="Arial" w:eastAsia="宋体"/>
          <w:b w:val="0"/>
          <w:i w:val="0"/>
        </w:rPr>
        <w:t>签字后按 Sign-off 提供的 Close Period 关闭，并核对期间状态。也可由授权人员在 EPM Fiscal Year 的 Period 菜单执行 Close Period。签字与关闭分别留痕；只有签字而期间仍 Open 时，用户仍应关注后续数据变化。</w:t>
      </w:r>
    </w:p>
    <w:p>
      <w:r>
        <w:rPr>
          <w:rFonts w:ascii="Arial" w:hAnsi="Arial" w:eastAsia="宋体"/>
          <w:b w:val="0"/>
          <w:i w:val="0"/>
        </w:rPr>
        <w:t>更正时使用 Reopen Period，必须填写原因。若年度已关闭，先按授权重开年度；Locked 年度或期间需要更高权限。重开可能使本期及后续期签字需要重签，负责人要统筹影响范围。确认所有期间处理完成后，再执行 Close Year 或 Lock Year。期初、调整和关闭期间不应按普通月份猜测处理规则。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9. 集团预算填报与四层协同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9.1 建立场景与周期</w:t>
      </w:r>
    </w:p>
    <w:p>
      <w:r>
        <w:rPr>
          <w:rFonts w:ascii="Arial" w:hAnsi="Arial" w:eastAsia="宋体"/>
          <w:b w:val="0"/>
          <w:i w:val="0"/>
        </w:rPr>
        <w:t xml:space="preserve">进入 Scenarios 新建场景，例如 </w:t>
      </w:r>
      <w:r>
        <w:rPr>
          <w:rFonts w:ascii="Consolas" w:hAnsi="Consolas" w:eastAsia="宋体"/>
          <w:b w:val="0"/>
          <w:i w:val="0"/>
          <w:sz w:val="18"/>
        </w:rPr>
        <w:t>BUDGET_2027_V1</w:t>
      </w:r>
      <w:r>
        <w:rPr>
          <w:rFonts w:ascii="Arial" w:hAnsi="Arial" w:eastAsia="宋体"/>
          <w:b w:val="0"/>
          <w:i w:val="0"/>
        </w:rPr>
        <w:t>，Scenario Type 选 budget，填写名称并启用。预测使用 forecast；actual 来自实际账务，不能作为预算周期的目标。不同预算版本应使用不同明确编码，不能只在 Excel 文件名中区分。</w:t>
      </w:r>
    </w:p>
    <w:p>
      <w:r>
        <w:rPr>
          <w:rFonts w:ascii="Arial" w:hAnsi="Arial" w:eastAsia="宋体"/>
          <w:b w:val="0"/>
          <w:i w:val="0"/>
        </w:rPr>
        <w:t>进入 Budget Cycles 新建，选择 Scenario、Fiscal Year 和可选 Deadline。保存后状态 Open。周期粒度是“场景 × 年度”，其下包含多实体、多层预算；不是一个部门一份独立审批周期。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9.2 建立 Budget Sheet 与 Budget Line</w:t>
      </w:r>
    </w:p>
    <w:p>
      <w:r>
        <w:rPr>
          <w:rFonts w:ascii="Arial" w:hAnsi="Arial" w:eastAsia="宋体"/>
          <w:b w:val="0"/>
          <w:i w:val="0"/>
        </w:rPr>
        <w:t xml:space="preserve">进入 Budget Sheets，选 Budget Cycle、Entity、Layer，在 Lines 添加科目及每月金额。Budget Line 目前固定 </w:t>
      </w:r>
      <w:r>
        <w:rPr>
          <w:rFonts w:ascii="Consolas" w:hAnsi="Consolas" w:eastAsia="宋体"/>
          <w:b w:val="0"/>
          <w:i w:val="0"/>
          <w:sz w:val="18"/>
        </w:rPr>
        <w:t>period_01</w:t>
      </w:r>
      <w:r>
        <w:rPr>
          <w:rFonts w:ascii="Arial" w:hAnsi="Arial" w:eastAsia="宋体"/>
          <w:b w:val="0"/>
          <w:i w:val="0"/>
        </w:rPr>
        <w:t xml:space="preserve"> 至 </w:t>
      </w:r>
      <w:r>
        <w:rPr>
          <w:rFonts w:ascii="Consolas" w:hAnsi="Consolas" w:eastAsia="宋体"/>
          <w:b w:val="0"/>
          <w:i w:val="0"/>
          <w:sz w:val="18"/>
        </w:rPr>
        <w:t>period_12</w:t>
      </w:r>
      <w:r>
        <w:rPr>
          <w:rFonts w:ascii="Arial" w:hAnsi="Arial" w:eastAsia="宋体"/>
          <w:b w:val="0"/>
          <w:i w:val="0"/>
        </w:rPr>
        <w:t>，Annual 为只读合计，Sheet 的 Annual Total 为各行合计。成本中心、部门、业务单元等字段依赖已发布且纳入预算的 Dimension 动态生成；本便携版首次空维度初始化默认提供三项定义，其中成本中心和部门纳入预算，业务单元默认不纳入预算。若使用已有维度方案或未出现所需列，应核对发布状态、预算标记与架构应用，不能直接假定所有维度都应显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6"/>
        <w:gridCol w:w="3615"/>
        <w:gridCol w:w="3066"/>
      </w:tblGrid>
      <w:tr>
        <w:trPr>
          <w:tblHeader w:val="true"/>
        </w:trPr>
        <w:tc>
          <w:tcPr>
            <w:tcW w:type="dxa" w:w="3256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字段</w:t>
            </w:r>
          </w:p>
        </w:tc>
        <w:tc>
          <w:tcPr>
            <w:tcW w:type="dxa" w:w="361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必填性与规则</w:t>
            </w:r>
          </w:p>
        </w:tc>
        <w:tc>
          <w:tcPr>
            <w:tcW w:type="dxa" w:w="3066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例子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cycle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必填，关联 Open 的 Budget Cycle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BUDGET_2027_V1 对应周期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data_area_id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必填，授权 Entity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CN01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layer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必填，四选一且受角色控制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base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main_account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必填，预算账户编码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6601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period_01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period_12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数值；未输入按零参与合计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每月 100,000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annual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系统汇总，不直接覆盖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1,200,000</w:t>
            </w:r>
          </w:p>
        </w:tc>
      </w:tr>
      <w:tr>
        <w:tc>
          <w:tcPr>
            <w:tcW w:type="dxa" w:w="325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动态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dim_*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按预算粒度方案</w:t>
            </w:r>
          </w:p>
        </w:tc>
        <w:tc>
          <w:tcPr>
            <w:tcW w:type="dxa" w:w="306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COST_SALES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宋体"/>
          <w:b w:val="0"/>
          <w:i w:val="0"/>
        </w:rPr>
        <w:t>9.3 四层金额是相加关系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2"/>
        <w:gridCol w:w="4491"/>
        <w:gridCol w:w="1681"/>
        <w:gridCol w:w="1681"/>
      </w:tblGrid>
      <w:tr>
        <w:trPr>
          <w:tblHeader w:val="true"/>
        </w:trPr>
        <w:tc>
          <w:tcPr>
            <w:tcW w:type="dxa" w:w="2082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层</w:t>
            </w:r>
          </w:p>
        </w:tc>
        <w:tc>
          <w:tcPr>
            <w:tcW w:type="dxa" w:w="449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对应角色</w:t>
            </w:r>
          </w:p>
        </w:tc>
        <w:tc>
          <w:tcPr>
            <w:tcW w:type="dxa" w:w="168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录入含义</w:t>
            </w:r>
          </w:p>
        </w:tc>
        <w:tc>
          <w:tcPr>
            <w:tcW w:type="dxa" w:w="168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合成例：一月</w:t>
            </w:r>
          </w:p>
        </w:tc>
      </w:tr>
      <w:tr>
        <w:tc>
          <w:tcPr>
            <w:tcW w:type="dxa" w:w="2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base</w:t>
            </w:r>
          </w:p>
        </w:tc>
        <w:tc>
          <w:tcPr>
            <w:tcW w:type="dxa" w:w="449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Submitter / Entity Accountant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部门最初申报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100,000</w:t>
            </w:r>
          </w:p>
        </w:tc>
      </w:tr>
      <w:tr>
        <w:tc>
          <w:tcPr>
            <w:tcW w:type="dxa" w:w="2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challenge</w:t>
            </w:r>
          </w:p>
        </w:tc>
        <w:tc>
          <w:tcPr>
            <w:tcW w:type="dxa" w:w="449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Controller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财务调整差额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-5,000</w:t>
            </w:r>
          </w:p>
        </w:tc>
      </w:tr>
      <w:tr>
        <w:tc>
          <w:tcPr>
            <w:tcW w:type="dxa" w:w="2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management</w:t>
            </w:r>
          </w:p>
        </w:tc>
        <w:tc>
          <w:tcPr>
            <w:tcW w:type="dxa" w:w="449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Manager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管理层调整差额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2,000</w:t>
            </w:r>
          </w:p>
        </w:tc>
      </w:tr>
      <w:tr>
        <w:tc>
          <w:tcPr>
            <w:tcW w:type="dxa" w:w="2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board</w:t>
            </w:r>
          </w:p>
        </w:tc>
        <w:tc>
          <w:tcPr>
            <w:tcW w:type="dxa" w:w="449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Approver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董事会调整差额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1,000</w:t>
            </w:r>
          </w:p>
        </w:tc>
      </w:tr>
      <w:tr>
        <w:tc>
          <w:tcPr>
            <w:tcW w:type="dxa" w:w="2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有效预算</w:t>
            </w:r>
          </w:p>
        </w:tc>
        <w:tc>
          <w:tcPr>
            <w:tcW w:type="dxa" w:w="449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系统聚合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四层合计</w:t>
            </w:r>
          </w:p>
        </w:tc>
        <w:tc>
          <w:tcPr>
            <w:tcW w:type="dxa" w:w="16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98,000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challenge 中若填 95,000，系统会把它与 base 相加为 195,000，而不是把基础数改成 95,000。因此必须向预算用户解释增量规则。普通角色只能改本层；System Manager 权限很高，不应被用作业务绕行账号。四层不是四级逐单审批，部门逐表上报、驳回和会签等增强见研发需求。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9.4 锁定与修订</w:t>
      </w:r>
    </w:p>
    <w:p>
      <w:r>
        <w:rPr>
          <w:rFonts w:ascii="Arial" w:hAnsi="Arial" w:eastAsia="宋体"/>
          <w:b w:val="0"/>
          <w:i w:val="0"/>
        </w:rPr>
        <w:t>预算负责人核对所有实体、科目、维度和层，使用 Budget Cycle 的 Submit 锁定周期。状态变为 Locked，系统按整个周期将各 Sheet 同步到 ClickHouse；开放期数据保留在 Frappe，通常不会作为正式分析库预算。Budget Sheet 自身没有独立批准工作流。</w:t>
      </w:r>
    </w:p>
    <w:p>
      <w:r>
        <w:rPr>
          <w:rFonts w:ascii="Arial" w:hAnsi="Arial" w:eastAsia="宋体"/>
          <w:b w:val="0"/>
          <w:i w:val="0"/>
        </w:rPr>
        <w:t>锁定后检查同步错误、Build Approval 与构建完成结果，再刷新报表。单据锁定并不能单独证明每张表的同步成功；出现某实体预算缺失时查看 Error Log 和同步记录。Cycle 的推送按 Sheet 隔离，局部失败应修复并核验全周期。</w:t>
      </w:r>
    </w:p>
    <w:p>
      <w:r>
        <w:rPr>
          <w:rFonts w:ascii="Arial" w:hAnsi="Arial" w:eastAsia="宋体"/>
          <w:b w:val="0"/>
          <w:i w:val="0"/>
        </w:rPr>
        <w:t>修改时由授权负责人 Cancel 周期，撤回下游预算后按系统允许的修订操作处理，再核对并重新提交锁定。Cancel 是正式撤回，会影响已发布报表，必须保留原因并通知报表责任人。不要直接修改 Locked 状态字段，也不要把批准预算作为新的 base 再加一遍。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10. Excel 接口、填报与经营报表（需单独配置验收）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10.1 加载插件并登录</w:t>
      </w:r>
    </w:p>
    <w:p>
      <w:r>
        <w:rPr>
          <w:rFonts w:ascii="Arial" w:hAnsi="Arial" w:eastAsia="宋体"/>
          <w:b w:val="0"/>
          <w:i w:val="0"/>
        </w:rPr>
        <w:t>固定源码包含 Excel 加载项与自定义函数基础，但本免 Docker 包不默认宣称已生成并验收可用的 Windows Excel 本机清单或宿主 ODBC 连接。当前只转发本机网页入口；若需要 Excel，管理员应按该实例的实际地址或正式 HTTPS 域名统一配置清单、资源、身份和回调，并对目标 Office 版本单独验收。动态本机端口变化后，应重新核对配置；不能沿用旧运行包的固定地址。</w:t>
      </w:r>
    </w:p>
    <w:p>
      <w:r>
        <w:rPr>
          <w:rFonts w:ascii="Arial" w:hAnsi="Arial" w:eastAsia="宋体"/>
          <w:b w:val="0"/>
          <w:i w:val="0"/>
        </w:rPr>
        <w:t xml:space="preserve">上游原始 </w:t>
      </w:r>
      <w:r>
        <w:rPr>
          <w:rFonts w:ascii="Consolas" w:hAnsi="Consolas" w:eastAsia="宋体"/>
          <w:b w:val="0"/>
          <w:i w:val="0"/>
          <w:sz w:val="18"/>
        </w:rPr>
        <w:t>manifest.xml</w:t>
      </w:r>
      <w:r>
        <w:rPr>
          <w:rFonts w:ascii="Arial" w:hAnsi="Arial" w:eastAsia="宋体"/>
          <w:b w:val="0"/>
          <w:i w:val="0"/>
        </w:rPr>
        <w:t xml:space="preserve"> 指向公共演示服务，仅作源码溯源，不要向演示站点填写本集团账号或财务信息。桌面 Excel 与 Excel Online 对 HTTPS、证书、网络和加载项策略要求不同，静态资源可打开并不等于插件已经可用。下列函数示例是源码能力说明，应在连接、加载和权限测试完成后使用，不作为本便携包 Excel 已通过运行验收的证据。</w:t>
      </w:r>
    </w:p>
    <w:p>
      <w:r>
        <w:rPr>
          <w:rFonts w:ascii="Arial" w:hAnsi="Arial" w:eastAsia="宋体"/>
          <w:b w:val="0"/>
          <w:i w:val="0"/>
        </w:rPr>
        <w:t xml:space="preserve">在 Excel 的加载项入口导入管理员准备的清单，打开 Konsolidat 任务窗，使用分配的 Frappe 用户登录。浏览器中的登录与 Excel 任务窗会话可能不同。出现 </w:t>
      </w:r>
      <w:r>
        <w:rPr>
          <w:rFonts w:ascii="Consolas" w:hAnsi="Consolas" w:eastAsia="宋体"/>
          <w:b w:val="0"/>
          <w:i w:val="0"/>
          <w:sz w:val="18"/>
        </w:rPr>
        <w:t>#NAME?</w:t>
      </w:r>
      <w:r>
        <w:rPr>
          <w:rFonts w:ascii="Arial" w:hAnsi="Arial" w:eastAsia="宋体"/>
          <w:b w:val="0"/>
          <w:i w:val="0"/>
        </w:rPr>
        <w:t xml:space="preserve"> 先检查插件是否加载，出现未登录 </w:t>
      </w:r>
      <w:r>
        <w:rPr>
          <w:rFonts w:ascii="Consolas" w:hAnsi="Consolas" w:eastAsia="宋体"/>
          <w:b w:val="0"/>
          <w:i w:val="0"/>
          <w:sz w:val="18"/>
        </w:rPr>
        <w:t>#N/A</w:t>
      </w:r>
      <w:r>
        <w:rPr>
          <w:rFonts w:ascii="Arial" w:hAnsi="Arial" w:eastAsia="宋体"/>
          <w:b w:val="0"/>
          <w:i w:val="0"/>
        </w:rPr>
        <w:t xml:space="preserve"> 先打开任务窗登录。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10.2 实际与预算取数</w:t>
      </w:r>
    </w:p>
    <w:p>
      <w:r>
        <w:rPr>
          <w:rFonts w:ascii="Arial" w:hAnsi="Arial" w:eastAsia="宋体"/>
          <w:b w:val="0"/>
          <w:i w:val="0"/>
        </w:rPr>
        <w:t>下列示例仅在相应科目、场景、实体和数据实际存在且有权访问时返回期望金额。</w:t>
      </w:r>
    </w:p>
    <w:p>
      <w:pPr>
        <w:pStyle w:val="EPMCode"/>
        <w:shd w:fill="F2F4F7"/>
      </w:pPr>
      <w:r>
        <w:rPr>
          <w:rFonts w:ascii="Consolas" w:hAnsi="Consolas" w:eastAsia="宋体"/>
          <w:sz w:val="18"/>
        </w:rPr>
        <w:t>=K.EPM("CN01",2026,10,"6601")</w:t>
        <w:br/>
        <w:t>=K.EPM("CN01",2026,"Q4","6601","period_net_amount","actuals")</w:t>
        <w:br/>
        <w:t>=K.EPM("CN01",2027,1,"6601","period_amount","budget","","","BUDGET_2027_V1")</w:t>
        <w:br/>
        <w:t>=K.EPM("CN01",2027,"FY","6601","period_amount","budget","","","BUDGET_2027_V1")</w:t>
      </w:r>
    </w:p>
    <w:p>
      <w:r>
        <w:rPr>
          <w:rFonts w:ascii="Arial" w:hAnsi="Arial" w:eastAsia="宋体"/>
          <w:b w:val="0"/>
          <w:i w:val="0"/>
        </w:rPr>
        <w:t>参数顺序为 entity、fiscal_year、fiscal_period、account、measure、scenario、cost_center、department、scenario_id，之后还可使用层级、节点和 layer 参数。实体、科目和场景编码建议保存在表头单元格，用绝对引用减少复制错误。</w:t>
      </w:r>
    </w:p>
    <w:p>
      <w:r>
        <w:rPr>
          <w:rFonts w:ascii="Arial" w:hAnsi="Arial" w:eastAsia="宋体"/>
          <w:b w:val="0"/>
          <w:i w:val="0"/>
        </w:rPr>
        <w:t>月份可用 1–12，汇总可用 Q1–Q4、H1、H2、FY。期间发生额可以按季度或全年求和；累计数 ytd_net_amount 是另一种口径，不能把每个月累计数再次相加当作全年。损益符号应按本集团方案展示，不能只凭正负判断利润好坏。</w:t>
      </w:r>
    </w:p>
    <w:p>
      <w:r>
        <w:rPr>
          <w:rFonts w:ascii="Arial" w:hAnsi="Arial" w:eastAsia="宋体"/>
          <w:b w:val="0"/>
          <w:i w:val="0"/>
        </w:rPr>
        <w:t>预算报表应始终明确 scenario_id。省略时某些预算查询会汇总多个场景版本，可能把预算初稿、修订稿一起加总。比较版本时使用两个不同 scenario_id 的明确取数列，不靠切换本地工作簿名解决。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10.3 预算回写</w:t>
      </w:r>
    </w:p>
    <w:p>
      <w:pPr>
        <w:pStyle w:val="EPMCode"/>
        <w:shd w:fill="F2F4F7"/>
      </w:pPr>
      <w:r>
        <w:rPr>
          <w:rFonts w:ascii="Consolas" w:hAnsi="Consolas" w:eastAsia="宋体"/>
          <w:sz w:val="18"/>
        </w:rPr>
        <w:t>=K.EPMSAVE(100000,"CN01",2027,1,"6601","BUDGET_2027_V1","base")</w:t>
        <w:br/>
        <w:t>=K.EPMSAVE(-5000,"CN01",2027,1,"6601","BUDGET_2027_V1","challenge")</w:t>
      </w:r>
    </w:p>
    <w:p>
      <w:r>
        <w:rPr>
          <w:rFonts w:ascii="Arial" w:hAnsi="Arial" w:eastAsia="宋体"/>
          <w:b w:val="0"/>
          <w:i w:val="0"/>
        </w:rPr>
        <w:t>K.EPMSAVE 在单元格重算时保存，不是只读展示函数；它显示传入金额并在后台写入当前用户有权编辑的层。复制模板、改场景或重算前，先确认目标实体、年度、科目、层和金额。一次保存成功后仍需在 Frappe Budget Sheet 核对；只有周期锁定、同步及构建完成，正式预算取数才应更新。</w:t>
      </w:r>
    </w:p>
    <w:p>
      <w:r>
        <w:rPr>
          <w:rFonts w:ascii="Arial" w:hAnsi="Arial" w:eastAsia="宋体"/>
          <w:b w:val="0"/>
          <w:i w:val="0"/>
        </w:rPr>
        <w:t>同一单元格未改变时插件可能跳过重复保存。不要把反复按 F9 当作后台同步修复方式。锁定、权限或登录失败应看任务窗或服务器错误，先解决原因再重新提交。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10.4 预实差异与报表核对</w:t>
      </w:r>
    </w:p>
    <w:p>
      <w:r>
        <w:rPr>
          <w:rFonts w:ascii="Arial" w:hAnsi="Arial" w:eastAsia="宋体"/>
          <w:b w:val="0"/>
          <w:i w:val="0"/>
        </w:rPr>
        <w:t>以实际费用 92,000、批准预算 95,000 为合成例，差额按实际减预算为 -3,000，差异率约 -3.16%，费用低于预算通常为有利。收入差额为正通常为有利。实际收入的借贷符号与展示方向应统一后再判断。</w:t>
      </w:r>
    </w:p>
    <w:p>
      <w:r>
        <w:rPr>
          <w:rFonts w:ascii="Arial" w:hAnsi="Arial" w:eastAsia="宋体"/>
          <w:b w:val="0"/>
          <w:i w:val="0"/>
        </w:rPr>
        <w:t>源码提供 variance 场景相关字段：actual_amount、budget_amount、variance_abs、variance_pct、variance_favorable。但多预算版本如何选用基准，须核对当前模型及实施配置；不能默认所有便捷差异函数都接受与预算读取完全相同的版本过滤。版本严格对比时可分别明确读取实际和指定 scenario_id 的预算，再在 Excel 计算差额并标记口径。</w:t>
      </w:r>
    </w:p>
    <w:p>
      <w:r>
        <w:rPr>
          <w:rFonts w:ascii="Arial" w:hAnsi="Arial" w:eastAsia="宋体"/>
          <w:b w:val="0"/>
          <w:i w:val="0"/>
        </w:rPr>
        <w:t>Numbers、API 和 Excel 应使用同一期间、币种、维度、汇报层级与数据刷新时间。报表导出后是快照，不能自动代表后续更正后的最新值；重要报表保存构建记录和签字期引用。源版本已有报表与追溯基础，集团驾驶舱、经营会模板、移动审批等规划按研发文档逐项实现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11. 审计、备份与异常处理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11.1 审计查看</w:t>
      </w:r>
    </w:p>
    <w:p>
      <w:r>
        <w:rPr>
          <w:rFonts w:ascii="Arial" w:hAnsi="Arial" w:eastAsia="宋体"/>
          <w:b w:val="0"/>
          <w:i w:val="0"/>
        </w:rPr>
        <w:t>Close → Audit trail 查看关账事件、操作者、时间、原因与关联对象。Desk 单据的历史、工作流状态与系统 Error Log 用于进一步追溯。检查签字时应同时核对运行编号、数据新鲜度和已变更提示。实体权限会限制部分明细，看到隐藏数量不表示记录丢失；申请合规授权后再审阅。</w:t>
      </w:r>
    </w:p>
    <w:p>
      <w:r>
        <w:rPr>
          <w:rFonts w:ascii="Arial" w:hAnsi="Arial" w:eastAsia="宋体"/>
          <w:b w:val="0"/>
          <w:i w:val="0"/>
        </w:rPr>
        <w:t>不要在业务说明中粘贴口令、连接字符串或第三方访问令牌。审核导出、截图和原始 TB 附件时按集团财务资料管理制度控制流转。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11.2 备份职责</w:t>
      </w:r>
    </w:p>
    <w:p>
      <w:r>
        <w:rPr>
          <w:rFonts w:ascii="Arial" w:hAnsi="Arial" w:eastAsia="宋体"/>
          <w:b w:val="0"/>
          <w:i w:val="0"/>
        </w:rPr>
        <w:t xml:space="preserve">普通用户按制度保存已批准报表；系统管理员安排维护窗口，在安全停止平台后完整复制 </w:t>
      </w:r>
      <w:r>
        <w:rPr>
          <w:rFonts w:ascii="Consolas" w:hAnsi="Consolas" w:eastAsia="宋体"/>
          <w:b w:val="0"/>
          <w:i w:val="0"/>
          <w:sz w:val="18"/>
        </w:rPr>
        <w:t>%LOCALAPPDATA%\SelfDevelopedEPM\data</w:t>
      </w:r>
      <w:r>
        <w:rPr>
          <w:rFonts w:ascii="Arial" w:hAnsi="Arial" w:eastAsia="宋体"/>
          <w:b w:val="0"/>
          <w:i w:val="0"/>
        </w:rPr>
        <w:t xml:space="preserve">。完整集合包含基础盘、可写业务盘、随机种子、站点配置、数据库、上传文件和恢复元数据。不能只复制 EXE、源码或单独的 </w:t>
      </w:r>
      <w:r>
        <w:rPr>
          <w:rFonts w:ascii="Consolas" w:hAnsi="Consolas" w:eastAsia="宋体"/>
          <w:b w:val="0"/>
          <w:i w:val="0"/>
          <w:sz w:val="18"/>
        </w:rPr>
        <w:t>disk.qcow2</w:t>
      </w:r>
      <w:r>
        <w:rPr>
          <w:rFonts w:ascii="Arial" w:hAnsi="Arial" w:eastAsia="宋体"/>
          <w:b w:val="0"/>
          <w:i w:val="0"/>
        </w:rPr>
        <w:t xml:space="preserve"> 作为完整备份。备份后核对版本、文件、日期和校验，在隔离实例完成恢复演练。恢复前保留当前数据，不直接删除现有业务盘。</w:t>
      </w:r>
    </w:p>
    <w:p>
      <w:r>
        <w:rPr>
          <w:rFonts w:ascii="Arial" w:hAnsi="Arial" w:eastAsia="宋体"/>
          <w:b w:val="0"/>
          <w:i w:val="0"/>
        </w:rPr>
        <w:t xml:space="preserve">本版没有旧式编号备份菜单。先点“安全退出（保留数据）”并确认停止，再按安装手册复制整个 </w:t>
      </w:r>
      <w:r>
        <w:rPr>
          <w:rFonts w:ascii="Consolas" w:hAnsi="Consolas" w:eastAsia="宋体"/>
          <w:b w:val="0"/>
          <w:i w:val="0"/>
          <w:sz w:val="18"/>
        </w:rPr>
        <w:t>data</w:t>
      </w:r>
      <w:r>
        <w:rPr>
          <w:rFonts w:ascii="Arial" w:hAnsi="Arial" w:eastAsia="宋体"/>
          <w:b w:val="0"/>
          <w:i w:val="0"/>
        </w:rPr>
        <w:t xml:space="preserve"> 文件夹；不要复制运行中的业务盘充当一致备份。</w:t>
      </w:r>
      <w:r>
        <w:rPr>
          <w:rFonts w:ascii="Consolas" w:hAnsi="Consolas" w:eastAsia="宋体"/>
          <w:b w:val="0"/>
          <w:i w:val="0"/>
          <w:sz w:val="18"/>
        </w:rPr>
        <w:t>base.qcow2</w:t>
      </w:r>
      <w:r>
        <w:rPr>
          <w:rFonts w:ascii="Arial" w:hAnsi="Arial" w:eastAsia="宋体"/>
          <w:b w:val="0"/>
          <w:i w:val="0"/>
        </w:rPr>
        <w:t xml:space="preserve"> 与 </w:t>
      </w:r>
      <w:r>
        <w:rPr>
          <w:rFonts w:ascii="Consolas" w:hAnsi="Consolas" w:eastAsia="宋体"/>
          <w:b w:val="0"/>
          <w:i w:val="0"/>
          <w:sz w:val="18"/>
        </w:rPr>
        <w:t>disk.qcow2</w:t>
      </w:r>
      <w:r>
        <w:rPr>
          <w:rFonts w:ascii="Arial" w:hAnsi="Arial" w:eastAsia="宋体"/>
          <w:b w:val="0"/>
          <w:i w:val="0"/>
        </w:rPr>
        <w:t xml:space="preserve"> 必须保持同级相对 backing，且与配套版本哈希一致；启动器遇到基础盘版本变化会拒绝自动覆盖。日志在 </w:t>
      </w:r>
      <w:r>
        <w:rPr>
          <w:rFonts w:ascii="Consolas" w:hAnsi="Consolas" w:eastAsia="宋体"/>
          <w:b w:val="0"/>
          <w:i w:val="0"/>
          <w:sz w:val="18"/>
        </w:rPr>
        <w:t>%LOCALAPPDATA%\SelfDevelopedEPM\data\logs</w:t>
      </w:r>
      <w:r>
        <w:rPr>
          <w:rFonts w:ascii="Arial" w:hAnsi="Arial" w:eastAsia="宋体"/>
          <w:b w:val="0"/>
          <w:i w:val="0"/>
        </w:rPr>
        <w:t>，可通过“打开数据位置”查找，安全退出后也可由资源管理器打开。日志对外提供前应人工脱敏，财务盘和种子不得公开上传。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11.3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13"/>
        <w:gridCol w:w="3615"/>
        <w:gridCol w:w="3508"/>
      </w:tblGrid>
      <w:tr>
        <w:trPr>
          <w:tblHeader w:val="true"/>
        </w:trPr>
        <w:tc>
          <w:tcPr>
            <w:tcW w:type="dxa" w:w="2813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现象</w:t>
            </w:r>
          </w:p>
        </w:tc>
        <w:tc>
          <w:tcPr>
            <w:tcW w:type="dxa" w:w="361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优先排查</w:t>
            </w:r>
          </w:p>
        </w:tc>
        <w:tc>
          <w:tcPr>
            <w:tcW w:type="dxa" w:w="350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处理方式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网页打不开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启动进度、首次下载、内置环境日志、本机实际端口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从进度页查看错误或重试失败步骤，不重复新建空数据库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菜单缺失或 No close role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当前用户角色、Workspace 与实体授权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管理员核对角色；不以共享管理员账号替代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Close 无默认期间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第一关账期、日历或可见签字期未配置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完成 Close Settings 与 EPM Fiscal Year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No group chart is published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集团科目仍为 Draft 或空白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完善并发布 Main Account 后重检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TB 币种不匹配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CSV currency 与 Entity Functional Currency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更正导出币种或经批准更正实体本位币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TB 借贷不平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源文件、口径、汇总与小数精度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修正源文件；不要加无依据平衡数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未知维度列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Dimension 未声明、未发布或未纳入 TB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由管理员维护维度后再导入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提交成功但报表旧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构建待批、队列、构建失败或缓存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先核对 Build Approval / Pipeline Run，再刷新取数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内部交易显示未配置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Intercompany Account 或无内部交易声明缺失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完成真实业务配置，不能把未知解释为零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Missing governed rate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外币期间 Closing / Average 缺少已批准汇率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由集团会计录入并批准正确方向的汇率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预算报表无新值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周期 Open、Sheet 同步失败、构建未完成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核对锁定、Error Log 与构建结果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Cycle is locked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尝试改正式锁定预算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走授权撤回、修订、重新锁定流程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预算金额成倍增加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四层填了全额或漏选 scenario_id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核对增量层和版本过滤，修订后重算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Excel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#NAME?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本便携版尚未完成插件配置、加载项未加载或被组织策略禁用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由 IT 单独配置并验收清单、连接和策略，不能以浏览器可用推定插件可用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Excel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#N/A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未登录、会话失效或服务不可达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任务窗重新登录并检查地址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Excel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#VALUE!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参数类型、未知度量或层级节点歧义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按错误文字修正，明确 hierarchy 名称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Excel 返回 0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真零或无匹配组合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先到实体 TB 核对，不把 0 自动当作数据完整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Re-sign Needed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期间重开或影响数据已变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完成重建、重检并重新签字</w:t>
            </w:r>
          </w:p>
        </w:tc>
      </w:tr>
      <w:tr>
        <w:tc>
          <w:tcPr>
            <w:tcW w:type="dxa" w:w="2813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备份后无法恢复</w:t>
            </w:r>
          </w:p>
        </w:tc>
        <w:tc>
          <w:tcPr>
            <w:tcW w:type="dxa" w:w="361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备份集合、版本或加密配置不完整</w:t>
            </w:r>
          </w:p>
        </w:tc>
        <w:tc>
          <w:tcPr>
            <w:tcW w:type="dxa" w:w="350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使用隔离恢复与完整日志，由管理员处理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提交故障工单时包含发生时间、账号角色、实体、年度期间、场景、单据编号、操作步骤、错误文本与脱敏日志。金额和原始文件按授权提供，密码和令牌不得附上。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12. 新用户练习与交接清单</w:t>
      </w:r>
    </w:p>
    <w:p>
      <w:r>
        <w:rPr>
          <w:rFonts w:ascii="Arial" w:hAnsi="Arial" w:eastAsia="宋体"/>
          <w:b w:val="0"/>
          <w:i w:val="0"/>
        </w:rPr>
        <w:t>先在独立试用实例完成一轮合成数据练习：建立 CN01 / CN02 与 CNY 集团科目，生成 2026 年十二个月日历；各提交一份平衡 TB，验证错误文件被拒绝；建立一个内部往来配对和一笔平衡重分类分录；完成批准构建、Checks、Sign-off 与 Close Period。再建立 2027 年预算，四层分别录入 100、-10、5、2，锁定后核对有效金额为 97，并验证锁定后不可修改。</w:t>
      </w:r>
    </w:p>
    <w:p>
      <w:r>
        <w:rPr>
          <w:rFonts w:ascii="Arial" w:hAnsi="Arial" w:eastAsia="宋体"/>
          <w:b w:val="0"/>
          <w:i w:val="0"/>
        </w:rPr>
        <w:t>实施交接时核对个人账号、实体范围、源数据口径、合并范围、汇率来源、预算角色、场景版本、关账日历、备份责任人与故障联系人。正式上线以本集团样本验收和运行记录为准；尚属二开设计的页面和规则应进入开发排期，不靠口头承诺替代验收。</w:t>
      </w:r>
    </w:p>
    <w:p>
      <w:r>
        <w:rPr>
          <w:rFonts w:ascii="Arial" w:hAnsi="Arial" w:eastAsia="宋体"/>
          <w:b w:val="0"/>
          <w:i w:val="0"/>
        </w:rPr>
        <w:t>本手册按固定源业务能力编写；免 Docker 只改变部署封装，不改变四层预算含义、会计政策或 PRD/RRD 二开目标的实施状态。完整 PRD Word 保留前序研发基线，当前运行入口和验证以本版手册及最终报告为准。</w:t>
      </w:r>
    </w:p>
    <w:p>
      <w:r>
        <w:br w:type="page"/>
      </w:r>
    </w:p>
    <w:p>
      <w:pPr>
        <w:pStyle w:val="Heading1"/>
      </w:pPr>
      <w:r>
        <w:t>中文版显示与便携运行更新说明</w:t>
      </w:r>
    </w:p>
    <w:p>
      <w:r>
        <w:t>v1.3 中文界面与工作台修订 · 2026-10-20。本节为后续新增需求和实际改造说明；前文原源码字段、接口和业务规则仍用于追溯原项目。</w:t>
      </w:r>
    </w:p>
    <w:p>
      <w:pPr>
        <w:pStyle w:val="Heading1"/>
      </w:pPr>
      <w:r>
        <w:t>本版界面语言及原始标识</w:t>
      </w:r>
    </w:p>
    <w:p>
      <w:r>
        <w:t>启动进度页、业务元数据、关账工作台以及Excel插件的自有界面使用简体中文。集团合并、预算、报表和经营分析的技术字段与原业务模型保持对应，原手册中的英文菜单可按下表查找。</w:t>
      </w:r>
    </w:p>
    <w:p>
      <w:r>
        <w:t>Administrator、K.EPM、API路径、数据库字段、SQL、币种代码和用户输入的数据名称属于账号或技术及业务标识，保留原值。中文化只改变显示文字，不自动翻译企业名称、科目编码或说明内容，不改变金额口径、权限角色技术键或接口枚举值。</w:t>
      </w:r>
    </w:p>
    <w:p>
      <w:r>
        <w:t>Excel插件的任务窗和函数说明已中文化。实际使用仍需受支持的Microsoft Excel、Office.js网络访问、与部署网址匹配的加载项清单及侧载配置。原项目清单模板保留的演示地址不能作为本机连接地址；真实Excel侧载尚未验收。插件不是启动EXE网页平台的前提。</w:t>
      </w:r>
    </w:p>
    <w:p>
      <w:r>
        <w:t>另附两套中文HTML交互原型，分别解压后双击ZIP内对应的HTML文件。完整版演示集团合并、全面预算、经营分析与管理配置；合并与经营分析版的预算页面仅为静态预留，按钮禁用。两版均持续显示“交互原型·演示数据”，在浏览器内使用样例数据，不连接正式账套，刷新即还原；其操作效果不能作为运行软件已经实现该能力的证明。</w:t>
      </w:r>
    </w:p>
    <w:p>
      <w:r>
        <w:t>首次缺少标准导航工作区时，本版只调用原项目的工作区工厂补建Workspace，不运行整套迁移、不重建账套。已有工作区保留；技术名和路由仍为Konsolidat及/app/konsolidat，显示名称通过官方词典设为“自研EPM”。Group Close为明确的导航标识，显示“集团关账”；弹窗Close按钮仍显示“关闭”。工作区不存在或必要导航不完整时，不应宣告中文版就绪。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原标识或英文</w:t>
            </w:r>
          </w:p>
        </w:tc>
        <w:tc>
          <w:tcPr>
            <w:tcW w:type="dxa" w:w="4968"/>
          </w:tcPr>
          <w:p>
            <w:r>
              <w:t>中文显示</w:t>
            </w:r>
          </w:p>
        </w:tc>
      </w:tr>
      <w:tr>
        <w:tc>
          <w:tcPr>
            <w:tcW w:type="dxa" w:w="4968"/>
          </w:tcPr>
          <w:p>
            <w:r>
              <w:t>Consolidation Group</w:t>
            </w:r>
          </w:p>
        </w:tc>
        <w:tc>
          <w:tcPr>
            <w:tcW w:type="dxa" w:w="4968"/>
          </w:tcPr>
          <w:p>
            <w:r>
              <w:t>合并集团</w:t>
            </w:r>
          </w:p>
        </w:tc>
      </w:tr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法人</w:t>
            </w:r>
          </w:p>
        </w:tc>
      </w:tr>
      <w:tr>
        <w:tc>
          <w:tcPr>
            <w:tcW w:type="dxa" w:w="4968"/>
          </w:tcPr>
          <w:p>
            <w:r>
              <w:t>Group Chart of Accounts</w:t>
            </w:r>
          </w:p>
        </w:tc>
        <w:tc>
          <w:tcPr>
            <w:tcW w:type="dxa" w:w="4968"/>
          </w:tcPr>
          <w:p>
            <w:r>
              <w:t>集团科目表</w:t>
            </w:r>
          </w:p>
        </w:tc>
      </w:tr>
      <w:tr>
        <w:tc>
          <w:tcPr>
            <w:tcW w:type="dxa" w:w="4968"/>
          </w:tcPr>
          <w:p>
            <w:r>
              <w:t>Main Account</w:t>
            </w:r>
          </w:p>
        </w:tc>
        <w:tc>
          <w:tcPr>
            <w:tcW w:type="dxa" w:w="4968"/>
          </w:tcPr>
          <w:p>
            <w:r>
              <w:t>主科目</w:t>
            </w:r>
          </w:p>
        </w:tc>
      </w:tr>
      <w:tr>
        <w:tc>
          <w:tcPr>
            <w:tcW w:type="dxa" w:w="4968"/>
          </w:tcPr>
          <w:p>
            <w:r>
              <w:t>Budget Cycle / Budget Sheet</w:t>
            </w:r>
          </w:p>
        </w:tc>
        <w:tc>
          <w:tcPr>
            <w:tcW w:type="dxa" w:w="4968"/>
          </w:tcPr>
          <w:p>
            <w:r>
              <w:t>预算周期 / 预算表</w:t>
            </w:r>
          </w:p>
        </w:tc>
      </w:tr>
      <w:tr>
        <w:tc>
          <w:tcPr>
            <w:tcW w:type="dxa" w:w="4968"/>
          </w:tcPr>
          <w:p>
            <w:r>
              <w:t>Close</w:t>
            </w:r>
          </w:p>
        </w:tc>
        <w:tc>
          <w:tcPr>
            <w:tcW w:type="dxa" w:w="4968"/>
          </w:tcPr>
          <w:p>
            <w:r>
              <w:t>关账（弹窗Close按钮为关闭）</w:t>
            </w:r>
          </w:p>
        </w:tc>
      </w:tr>
      <w:tr>
        <w:tc>
          <w:tcPr>
            <w:tcW w:type="dxa" w:w="4968"/>
          </w:tcPr>
          <w:p>
            <w:r>
              <w:t>Close Lead</w:t>
            </w:r>
          </w:p>
        </w:tc>
        <w:tc>
          <w:tcPr>
            <w:tcW w:type="dxa" w:w="4968"/>
          </w:tcPr>
          <w:p>
            <w:r>
              <w:t>关账负责人</w:t>
            </w:r>
          </w:p>
        </w:tc>
      </w:tr>
      <w:tr>
        <w:tc>
          <w:tcPr>
            <w:tcW w:type="dxa" w:w="4968"/>
          </w:tcPr>
          <w:p>
            <w:r>
              <w:t>Assertion Run</w:t>
            </w:r>
          </w:p>
        </w:tc>
        <w:tc>
          <w:tcPr>
            <w:tcW w:type="dxa" w:w="4968"/>
          </w:tcPr>
          <w:p>
            <w:r>
              <w:t>校验运行</w:t>
            </w:r>
          </w:p>
        </w:tc>
      </w:tr>
      <w:tr>
        <w:tc>
          <w:tcPr>
            <w:tcW w:type="dxa" w:w="4968"/>
          </w:tcPr>
          <w:p>
            <w:r>
              <w:t>Sign-off</w:t>
            </w:r>
          </w:p>
        </w:tc>
        <w:tc>
          <w:tcPr>
            <w:tcW w:type="dxa" w:w="4968"/>
          </w:tcPr>
          <w:p>
            <w:r>
              <w:t>签核</w:t>
            </w:r>
          </w:p>
        </w:tc>
      </w:tr>
      <w:tr>
        <w:tc>
          <w:tcPr>
            <w:tcW w:type="dxa" w:w="4968"/>
          </w:tcPr>
          <w:p>
            <w:r>
              <w:t>Non-controlling Interest</w:t>
            </w:r>
          </w:p>
        </w:tc>
        <w:tc>
          <w:tcPr>
            <w:tcW w:type="dxa" w:w="4968"/>
          </w:tcPr>
          <w:p>
            <w:r>
              <w:t>少数股东权益</w:t>
            </w:r>
          </w:p>
        </w:tc>
      </w:tr>
      <w:tr>
        <w:tc>
          <w:tcPr>
            <w:tcW w:type="dxa" w:w="4968"/>
          </w:tcPr>
          <w:p>
            <w:r>
              <w:t>My work / Period</w:t>
            </w:r>
          </w:p>
        </w:tc>
        <w:tc>
          <w:tcPr>
            <w:tcW w:type="dxa" w:w="4968"/>
          </w:tcPr>
          <w:p>
            <w:r>
              <w:t>我的工作 / 会计期间</w:t>
            </w:r>
          </w:p>
        </w:tc>
      </w:tr>
      <w:tr>
        <w:tc>
          <w:tcPr>
            <w:tcW w:type="dxa" w:w="4968"/>
          </w:tcPr>
          <w:p>
            <w:r>
              <w:t>Trial balances / Intercompany</w:t>
            </w:r>
          </w:p>
        </w:tc>
        <w:tc>
          <w:tcPr>
            <w:tcW w:type="dxa" w:w="4968"/>
          </w:tcPr>
          <w:p>
            <w:r>
              <w:t>试算平衡表 / 集团内部往来</w:t>
            </w:r>
          </w:p>
        </w:tc>
      </w:tr>
      <w:tr>
        <w:tc>
          <w:tcPr>
            <w:tcW w:type="dxa" w:w="4968"/>
          </w:tcPr>
          <w:p>
            <w:r>
              <w:t>Rates &amp; ownership</w:t>
            </w:r>
          </w:p>
        </w:tc>
        <w:tc>
          <w:tcPr>
            <w:tcW w:type="dxa" w:w="4968"/>
          </w:tcPr>
          <w:p>
            <w:r>
              <w:t>汇率与持股关系</w:t>
            </w:r>
          </w:p>
        </w:tc>
      </w:tr>
      <w:tr>
        <w:tc>
          <w:tcPr>
            <w:tcW w:type="dxa" w:w="4968"/>
          </w:tcPr>
          <w:p>
            <w:r>
              <w:t>Adjustments / Approvals</w:t>
            </w:r>
          </w:p>
        </w:tc>
        <w:tc>
          <w:tcPr>
            <w:tcW w:type="dxa" w:w="4968"/>
          </w:tcPr>
          <w:p>
            <w:r>
              <w:t>调整 / 审批</w:t>
            </w:r>
          </w:p>
        </w:tc>
      </w:tr>
      <w:tr>
        <w:tc>
          <w:tcPr>
            <w:tcW w:type="dxa" w:w="4968"/>
          </w:tcPr>
          <w:p>
            <w:r>
              <w:t>Checks / Numbers</w:t>
            </w:r>
          </w:p>
        </w:tc>
        <w:tc>
          <w:tcPr>
            <w:tcW w:type="dxa" w:w="4968"/>
          </w:tcPr>
          <w:p>
            <w:r>
              <w:t>检查 / 财务数据</w:t>
            </w:r>
          </w:p>
        </w:tc>
      </w:tr>
      <w:tr>
        <w:tc>
          <w:tcPr>
            <w:tcW w:type="dxa" w:w="4968"/>
          </w:tcPr>
          <w:p>
            <w:r>
              <w:t>Audit trail</w:t>
            </w:r>
          </w:p>
        </w:tc>
        <w:tc>
          <w:tcPr>
            <w:tcW w:type="dxa" w:w="4968"/>
          </w:tcPr>
          <w:p>
            <w:r>
              <w:t>审计轨迹</w:t>
            </w:r>
          </w:p>
        </w:tc>
      </w:tr>
    </w:tbl>
    <w:p>
      <w:pPr>
        <w:pStyle w:val="Heading1"/>
      </w:pPr>
      <w:r>
        <w:t>运行资源与故障处理更新</w:t>
      </w:r>
    </w:p>
    <w:p>
      <w:r>
        <w:t>启动器读取Windows实际可用提交内存，自动选择4096或6144MiB客户机内存，TCG翻译缓存固定128MiB。物理内存至少16384MiB且可用提交额度至少7168MiB时选择6144MiB；其他满足至少5120MiB可用提交额度的情况选择4096MiB。预算含1024MiB总余量。这是启动估算，不保证其他程序继续占用时仍有足够额度。</w:t>
      </w:r>
    </w:p>
    <w:p>
      <w:r>
        <w:t>cannot set up guest memory 'pc.ram'表示客户机内存申请失败。保存工作后关闭闲置程序；检查Windows虚拟内存是否由系统管理、磁盘空间是否足够，必要时重启。启动器不会自动修改分页文件、安全策略或业务盘。</w:t>
      </w:r>
    </w:p>
    <w:p>
      <w:r>
        <w:t>新版每轮串口日志使用guest-console-&lt;本轮标识&gt;.log；确切文件路径在启动页显示，旧guest-console.log保留。中文升级未通过安全校验时会明确报错；先安全退出，保留数据和日志后排查，不应反复删除数据重装。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自研EPM研发基线  ·  2026-10-20  ·  </w:t>
    </w:r>
    <w:fldSimple w:instr="PAGE"/>
    <w:r>
      <w:rPr>
        <w:rFonts w:ascii="Arial" w:hAnsi="Arial" w:eastAsia="宋体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87785"/>
        <w:sz w:val="16"/>
      </w:rPr>
      <w:t>自研EPM免Docker版中文用户手册  | 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PMCode">
    <w:name w:val="EPM Code"/>
    <w:pPr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自研EPM免Docker版中文用户手册</dc:title>
  <dc:subject>免Docker便携部署的集团财务合并、全面预算、经营分析业务说明与源码能力边界</dc:subject>
  <dc:creator>自研EPM项目组</dc:creator>
  <cp:keywords>EPM,免Docker,Windows,安装,使用手册,Word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