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从零建账与凭证合并版</w:t>
      </w:r>
    </w:p>
    <w:p>
      <w:pPr>
        <w:spacing w:before="240" w:after="280"/>
      </w:pPr>
      <w:r>
        <w:rPr>
          <w:rFonts w:ascii="Arial" w:hAnsi="Arial" w:eastAsia="宋体"/>
          <w:b/>
          <w:color w:val="173F6E"/>
          <w:sz w:val="50"/>
        </w:rPr>
        <w:t>PRD研发需求规格说明书</w:t>
      </w:r>
    </w:p>
    <w:p>
      <w:r>
        <w:rPr>
          <w:rFonts w:ascii="Arial" w:hAnsi="Arial" w:eastAsia="宋体"/>
          <w:sz w:val="30"/>
        </w:rPr>
        <w:t>杭州天元宠物用品有限公司</w:t>
      </w:r>
    </w:p>
    <w:p>
      <w:r>
        <w:rPr>
          <w:rFonts w:ascii="Arial" w:hAnsi="Arial" w:eastAsia="宋体"/>
          <w:color w:val="66758D"/>
          <w:sz w:val="22"/>
        </w:rPr>
        <w:t>全模块需求 · 字段规则 · 页面交互 · 接口与验收</w:t>
      </w:r>
    </w:p>
    <w:p/>
    <w:tbl>
      <w:tblPr>
        <w:tblStyle w:val="TableGrid"/>
        <w:tblW w:type="auto" w:w="0"/>
        <w:jc w:val="center"/>
        <w:tblLayout w:type="fixed"/>
        <w:tblLook w:firstColumn="1" w:firstRow="1" w:lastColumn="0" w:lastRow="0" w:noHBand="0" w:noVBand="1" w:val="04A0"/>
      </w:tblPr>
      <w:tblGrid>
        <w:gridCol w:w="2508"/>
        <w:gridCol w:w="6898"/>
      </w:tblGrid>
      <w:tr>
        <w:trPr>
          <w:cantSplit/>
          <w:tblHeader w:val="true"/>
        </w:trPr>
        <w:tc>
          <w:tcPr>
            <w:tcW w:type="dxa" w:w="25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8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508"/>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898"/>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TY-EPM-PRD-FOUNDATION-001</w:t>
            </w:r>
          </w:p>
        </w:tc>
      </w:tr>
      <w:tr>
        <w:trPr>
          <w:cantSplit/>
        </w:trPr>
        <w:tc>
          <w:tcPr>
            <w:tcW w:type="dxa" w:w="25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D1.0 / 2026-10-28</w:t>
            </w:r>
          </w:p>
        </w:tc>
      </w:tr>
      <w:tr>
        <w:trPr>
          <w:cantSplit/>
        </w:trPr>
        <w:tc>
          <w:tcPr>
            <w:tcW w:type="dxa" w:w="2508"/>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适配软件基线</w:t>
            </w:r>
          </w:p>
        </w:tc>
        <w:tc>
          <w:tcPr>
            <w:tcW w:type="dxa" w:w="6898"/>
            <w:vAlign w:val="top"/>
            <w:tcMar>
              <w:top w:w="65" w:type="dxa"/>
              <w:bottom w:w="65" w:type="dxa"/>
              <w:left w:w="65" w:type="dxa"/>
              <w:right w:w="65" w:type="dxa"/>
            </w:tcMar>
          </w:tcPr>
          <w:p>
            <w:pPr>
              <w:spacing w:before="30" w:after="30" w:line="252" w:lineRule="auto"/>
            </w:pPr>
            <w:r>
              <w:rPr>
                <w:rFonts w:ascii="Arial" w:hAnsi="Arial" w:eastAsia="宋体"/>
                <w:b w:val="0"/>
                <w:i w:val="0"/>
                <w:sz w:val="19"/>
              </w:rPr>
              <w:t>FOUNDATION-20261028 · 空框架、基础档案、凭证余额核对与分级合并Demo</w:t>
            </w:r>
          </w:p>
        </w:tc>
      </w:tr>
      <w:tr>
        <w:trPr>
          <w:cantSplit/>
        </w:trPr>
        <w:tc>
          <w:tcPr>
            <w:tcW w:type="dxa" w:w="25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8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产品、研发、财务、实施及测试负责人</w:t>
            </w:r>
          </w:p>
        </w:tc>
      </w:tr>
      <w:tr>
        <w:trPr>
          <w:cantSplit/>
        </w:trPr>
        <w:tc>
          <w:tcPr>
            <w:tcW w:type="dxa" w:w="2508"/>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898"/>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主公司及鸿旺相关主体名称由用户提供；其他演示主体、人员、交易和财务金额为虚构样例。</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文档控制、背景与目标</w:t>
        </w:r>
      </w:hyperlink>
    </w:p>
    <w:p>
      <w:pPr>
        <w:spacing w:after="80"/>
      </w:pPr>
      <w:hyperlink w:anchor="epm_4">
        <w:r>
          <w:rPr>
            <w:color w:val="245CA8"/>
            <w:rFonts w:ascii="Arial" w:eastAsia="宋体"/>
            <w:sz w:val="21"/>
          </w:rPr>
          <w:t xml:space="preserve">一、全局模型、前置与事务</w:t>
        </w:r>
      </w:hyperlink>
    </w:p>
    <w:p>
      <w:pPr>
        <w:spacing w:after="80"/>
      </w:pPr>
      <w:hyperlink w:anchor="epm_8">
        <w:r>
          <w:rPr>
            <w:color w:val="245CA8"/>
            <w:rFonts w:ascii="Arial" w:eastAsia="宋体"/>
            <w:sz w:val="21"/>
          </w:rPr>
          <w:t xml:space="preserve">二、全模块页面与详细需求</w:t>
        </w:r>
      </w:hyperlink>
    </w:p>
    <w:p>
      <w:pPr>
        <w:spacing w:after="80"/>
      </w:pPr>
      <w:hyperlink w:anchor="epm_33">
        <w:r>
          <w:rPr>
            <w:color w:val="245CA8"/>
            <w:rFonts w:ascii="Arial" w:eastAsia="宋体"/>
            <w:sz w:val="21"/>
          </w:rPr>
          <w:t xml:space="preserve">三、端到端核心业务规则</w:t>
        </w:r>
      </w:hyperlink>
    </w:p>
    <w:p>
      <w:pPr>
        <w:spacing w:after="80"/>
      </w:pPr>
      <w:hyperlink w:anchor="epm_39">
        <w:r>
          <w:rPr>
            <w:color w:val="245CA8"/>
            <w:rFonts w:ascii="Arial" w:eastAsia="宋体"/>
            <w:sz w:val="21"/>
          </w:rPr>
          <w:t xml:space="preserve">四、权限、接口与持久化</w:t>
        </w:r>
      </w:hyperlink>
    </w:p>
    <w:p>
      <w:pPr>
        <w:spacing w:after="80"/>
      </w:pPr>
      <w:hyperlink w:anchor="epm_40">
        <w:r>
          <w:rPr>
            <w:color w:val="245CA8"/>
            <w:rFonts w:ascii="Arial" w:eastAsia="宋体"/>
            <w:sz w:val="21"/>
          </w:rPr>
          <w:t xml:space="preserve">五、验收、开放项与交付门禁</w:t>
        </w:r>
      </w:hyperlink>
    </w:p>
    <w:p>
      <w:pPr>
        <w:spacing w:after="80"/>
      </w:pPr>
      <w:hyperlink w:anchor="epm_41">
        <w:r>
          <w:rPr>
            <w:color w:val="245CA8"/>
            <w:rFonts w:ascii="Arial" w:eastAsia="宋体"/>
            <w:sz w:val="21"/>
          </w:rPr>
          <w:t xml:space="preserve">附录A 字段、接口与存储数据字典</w:t>
        </w:r>
      </w:hyperlink>
    </w:p>
    <w:p>
      <w:r>
        <w:br w:type="page"/>
      </w:r>
    </w:p>
    <w:p>
      <w:r>
        <w:rPr>
          <w:rFonts w:ascii="Arial" w:hAnsi="Arial" w:eastAsia="宋体"/>
          <w:b w:val="0"/>
          <w:i w:val="0"/>
        </w:rPr>
        <w:t>公司：杭州天元宠物用品有限公司</w:t>
      </w:r>
      <w:r>
        <w:br/>
      </w:r>
      <w:r>
        <w:rPr>
          <w:rFonts w:ascii="Arial" w:hAnsi="Arial" w:eastAsia="宋体"/>
          <w:b w:val="0"/>
          <w:i w:val="0"/>
        </w:rPr>
        <w:t>软件基线：FOUNDATION-20261028；文档版本D1.0；发布日期2026年10月28日。</w:t>
      </w:r>
      <w:r>
        <w:br/>
      </w:r>
      <w:r>
        <w:rPr>
          <w:rFonts w:ascii="Arial" w:hAnsi="Arial" w:eastAsia="宋体"/>
          <w:b w:val="0"/>
          <w:i w:val="0"/>
        </w:rPr>
        <w:t>适用软件：天元EPM从零配置Demo，Windows 10/11 64位。产品SelfDevelopedEPM-Foundation-Demo，schemaVersion=4。默认数据目录为%LOCALAPPDATA%\TianyuanEPMFoundationDemo。软件与四册文档同版归档；旧ERP-20261021及旧账套保留，不自动覆盖。</w:t>
      </w:r>
    </w:p>
    <w:p>
      <w:pPr>
        <w:pStyle w:val="Heading1"/>
      </w:pPr>
      <w:bookmarkStart w:id="1" w:name="epm_1"/>
      <w:r>
        <w:rPr>
          <w:rFonts w:ascii="Arial" w:hAnsi="Arial" w:eastAsia="宋体"/>
          <w:b w:val="0"/>
          <w:i w:val="0"/>
        </w:rPr>
        <w:t>文档控制、背景与目标</w:t>
      </w:r>
      <w:bookmarkEnd w:id="1"/>
    </w:p>
    <w:tbl>
      <w:tblPr>
        <w:tblStyle w:val="TableGrid"/>
        <w:tblW w:type="auto" w:w="0"/>
        <w:jc w:val="center"/>
        <w:tblLayout w:type="fixed"/>
        <w:tblLook w:firstColumn="1" w:firstRow="1" w:lastColumn="0" w:lastRow="0" w:noHBand="0" w:noVBand="1" w:val="04A0"/>
      </w:tblPr>
      <w:tblGrid>
        <w:gridCol w:w="1165"/>
        <w:gridCol w:w="1555"/>
        <w:gridCol w:w="2314"/>
        <w:gridCol w:w="4372"/>
      </w:tblGrid>
      <w:tr>
        <w:trPr>
          <w:cantSplit/>
          <w:tblHeader w:val="true"/>
        </w:trPr>
        <w:tc>
          <w:tcPr>
            <w:tcW w:type="dxa" w:w="11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版本</w:t>
            </w:r>
          </w:p>
        </w:tc>
        <w:tc>
          <w:tcPr>
            <w:tcW w:type="dxa" w:w="15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日期</w:t>
            </w:r>
          </w:p>
        </w:tc>
        <w:tc>
          <w:tcPr>
            <w:tcW w:type="dxa" w:w="23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软件基线</w:t>
            </w:r>
          </w:p>
        </w:tc>
        <w:tc>
          <w:tcPr>
            <w:tcW w:type="dxa" w:w="43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本版交付</w:t>
            </w:r>
          </w:p>
        </w:tc>
      </w:tr>
      <w:tr>
        <w:trPr>
          <w:cantSplit/>
        </w:trPr>
        <w:tc>
          <w:tcPr>
            <w:tcW w:type="dxa" w:w="1165"/>
            <w:vAlign w:val="top"/>
            <w:tcMar>
              <w:top w:w="65" w:type="dxa"/>
              <w:bottom w:w="65" w:type="dxa"/>
              <w:left w:w="65" w:type="dxa"/>
              <w:right w:w="65" w:type="dxa"/>
            </w:tcMar>
          </w:tcPr>
          <w:p>
            <w:pPr>
              <w:spacing w:before="30" w:after="30" w:line="252" w:lineRule="auto"/>
            </w:pPr>
            <w:r>
              <w:rPr>
                <w:rFonts w:ascii="Arial" w:hAnsi="Arial" w:eastAsia="宋体"/>
                <w:b w:val="0"/>
                <w:i w:val="0"/>
                <w:sz w:val="18"/>
              </w:rPr>
              <w:t>D1.0</w:t>
            </w:r>
          </w:p>
        </w:tc>
        <w:tc>
          <w:tcPr>
            <w:tcW w:type="dxa" w:w="1555"/>
            <w:vAlign w:val="top"/>
            <w:tcMar>
              <w:top w:w="65" w:type="dxa"/>
              <w:bottom w:w="65" w:type="dxa"/>
              <w:left w:w="65" w:type="dxa"/>
              <w:right w:w="65" w:type="dxa"/>
            </w:tcMar>
          </w:tcPr>
          <w:p>
            <w:pPr>
              <w:spacing w:before="30" w:after="30" w:line="252" w:lineRule="auto"/>
            </w:pPr>
            <w:r>
              <w:rPr>
                <w:rFonts w:ascii="Arial" w:hAnsi="Arial" w:eastAsia="宋体"/>
                <w:b w:val="0"/>
                <w:i w:val="0"/>
                <w:sz w:val="18"/>
              </w:rPr>
              <w:t>2026-10-28</w:t>
            </w:r>
          </w:p>
        </w:tc>
        <w:tc>
          <w:tcPr>
            <w:tcW w:type="dxa" w:w="2314"/>
            <w:vAlign w:val="top"/>
            <w:tcMar>
              <w:top w:w="65" w:type="dxa"/>
              <w:bottom w:w="65" w:type="dxa"/>
              <w:left w:w="65" w:type="dxa"/>
              <w:right w:w="65" w:type="dxa"/>
            </w:tcMar>
          </w:tcPr>
          <w:p>
            <w:pPr>
              <w:spacing w:before="30" w:after="30" w:line="252" w:lineRule="auto"/>
            </w:pPr>
            <w:r>
              <w:rPr>
                <w:rFonts w:ascii="Arial" w:hAnsi="Arial" w:eastAsia="宋体"/>
                <w:b w:val="0"/>
                <w:i w:val="0"/>
                <w:sz w:val="18"/>
              </w:rPr>
              <w:t>FOUNDATION-20261028</w:t>
            </w:r>
          </w:p>
        </w:tc>
        <w:tc>
          <w:tcPr>
            <w:tcW w:type="dxa" w:w="4372"/>
            <w:vAlign w:val="top"/>
            <w:tcMar>
              <w:top w:w="65" w:type="dxa"/>
              <w:bottom w:w="65" w:type="dxa"/>
              <w:left w:w="65" w:type="dxa"/>
              <w:right w:w="65" w:type="dxa"/>
            </w:tcMar>
          </w:tcPr>
          <w:p>
            <w:pPr>
              <w:spacing w:before="30" w:after="30" w:line="252" w:lineRule="auto"/>
            </w:pPr>
            <w:r>
              <w:rPr>
                <w:rFonts w:ascii="Arial" w:hAnsi="Arial" w:eastAsia="宋体"/>
                <w:b w:val="0"/>
                <w:i w:val="0"/>
                <w:sz w:val="18"/>
              </w:rPr>
              <w:t>从零框架、基础档案、期初/凭证/科目余额核对、异常追凭证、自动抵销及逐层合并；全24模块完整需求及字段附录</w:t>
            </w:r>
          </w:p>
        </w:tc>
      </w:tr>
    </w:tbl>
    <w:p>
      <w:pPr>
        <w:spacing w:after="40"/>
      </w:pPr>
    </w:p>
    <w:p>
      <w:r>
        <w:rPr>
          <w:rFonts w:ascii="Arial" w:hAnsi="Arial" w:eastAsia="宋体"/>
          <w:b w:val="0"/>
          <w:i w:val="0"/>
        </w:rPr>
        <w:t>组织和字段表格参照用户提供PRD附件的组织方式，但附件SCM业务不作为EPM指令。本册为本版本完整研发需求；系统说明、产品说明、用户手册与本册同版完整交付，不靠历史补丁拼接。</w:t>
      </w:r>
    </w:p>
    <w:p>
      <w:r>
        <w:rPr>
          <w:rFonts w:ascii="Arial" w:hAnsi="Arial" w:eastAsia="宋体"/>
          <w:b w:val="0"/>
          <w:i w:val="0"/>
        </w:rPr>
        <w:t>用户需要先建立集团相关主体及档案，而不是打开已有七家、已有财报或已审批抵销的演示账。默认业务数据必须为空。可保留TY_GROUP“集团合并（待配置）”技术容器方便导航，它不是一家公司，没有成员、财务金额或签核结果。公司抬头可用用户给定名称，但仍必须单独创建集团本部法人。</w:t>
      </w:r>
    </w:p>
    <w:p>
      <w:r>
        <w:rPr>
          <w:rFonts w:ascii="Arial" w:hAnsi="Arial" w:eastAsia="宋体"/>
          <w:b w:val="0"/>
          <w:i w:val="0"/>
        </w:rPr>
        <w:t>本次主要链路为：建立集团本部及三家子法人→维护真实持股→配置鸿旺小合并及集团成员→建立科目及ERP科目映射→配置NC账簿/内部客商/共同号→导年初科目余额→导完整已记账凭证→生成单体账表→导科目余额表并核对→核内部交易异常并追凭证→生成准确项抵销草稿→负责人审批→鸿旺计算签核→集团引用有效下级结果并处理投资资本抵销。</w:t>
      </w:r>
    </w:p>
    <w:p>
      <w:pPr>
        <w:pStyle w:val="Heading2"/>
      </w:pPr>
      <w:bookmarkStart w:id="2" w:name="epm_2"/>
      <w:r>
        <w:rPr>
          <w:rFonts w:ascii="Arial" w:hAnsi="Arial" w:eastAsia="宋体"/>
          <w:b w:val="0"/>
          <w:i w:val="0"/>
        </w:rPr>
        <w:t>实现、限制与金额约定</w:t>
      </w:r>
      <w:bookmarkEnd w:id="2"/>
    </w:p>
    <w:tbl>
      <w:tblPr>
        <w:tblStyle w:val="TableGrid"/>
        <w:tblW w:type="auto" w:w="0"/>
        <w:jc w:val="center"/>
        <w:tblLayout w:type="fixed"/>
        <w:tblLook w:firstColumn="1" w:firstRow="1" w:lastColumn="0" w:lastRow="0" w:noHBand="0" w:noVBand="1" w:val="04A0"/>
      </w:tblPr>
      <w:tblGrid>
        <w:gridCol w:w="1559"/>
        <w:gridCol w:w="2703"/>
        <w:gridCol w:w="5144"/>
      </w:tblGrid>
      <w:tr>
        <w:trPr>
          <w:cantSplit/>
          <w:tblHeader w:val="true"/>
        </w:trPr>
        <w:tc>
          <w:tcPr>
            <w:tcW w:type="dxa" w:w="15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标记</w:t>
            </w:r>
          </w:p>
        </w:tc>
        <w:tc>
          <w:tcPr>
            <w:tcW w:type="dxa" w:w="27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含义</w:t>
            </w:r>
          </w:p>
        </w:tc>
        <w:tc>
          <w:tcPr>
            <w:tcW w:type="dxa" w:w="51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本版处理</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已实现Demo</w:t>
            </w:r>
          </w:p>
        </w:tc>
        <w:tc>
          <w:tcPr>
            <w:tcW w:type="dxa" w:w="2703"/>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当前正式页面/接口有实际保存和校验</w:t>
            </w:r>
          </w:p>
        </w:tc>
        <w:tc>
          <w:tcPr>
            <w:tcW w:type="dxa" w:w="5144"/>
            <w:vAlign w:val="top"/>
            <w:tcMar>
              <w:top w:w="65" w:type="dxa"/>
              <w:bottom w:w="65" w:type="dxa"/>
              <w:left w:w="65" w:type="dxa"/>
              <w:right w:w="65" w:type="dxa"/>
            </w:tcMar>
          </w:tcPr>
          <w:p>
            <w:pPr>
              <w:spacing w:before="30" w:after="30" w:line="252" w:lineRule="auto"/>
            </w:pPr>
            <w:r>
              <w:rPr>
                <w:rFonts w:ascii="Arial" w:hAnsi="Arial" w:eastAsia="宋体"/>
                <w:b w:val="0"/>
                <w:i w:val="0"/>
                <w:sz w:val="19"/>
              </w:rPr>
              <w:t>应以本版实机及独立验收为证</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受限口径</w:t>
            </w:r>
          </w:p>
        </w:tc>
        <w:tc>
          <w:tcPr>
            <w:tcW w:type="dxa" w:w="2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已实现但有明确会计/技术条件</w:t>
            </w:r>
          </w:p>
        </w:tc>
        <w:tc>
          <w:tcPr>
            <w:tcW w:type="dxa" w:w="51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2026、100%全资、CNY/USD普通主体、受限权益和现金流分类</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待正式研发</w:t>
            </w:r>
          </w:p>
        </w:tc>
        <w:tc>
          <w:tcPr>
            <w:tcW w:type="dxa" w:w="2703"/>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当前不能作为生产能力承诺</w:t>
            </w:r>
          </w:p>
        </w:tc>
        <w:tc>
          <w:tcPr>
            <w:tcW w:type="dxa" w:w="5144"/>
            <w:vAlign w:val="top"/>
            <w:tcMar>
              <w:top w:w="65" w:type="dxa"/>
              <w:bottom w:w="65" w:type="dxa"/>
              <w:left w:w="65" w:type="dxa"/>
              <w:right w:w="65" w:type="dxa"/>
            </w:tcMar>
          </w:tcPr>
          <w:p>
            <w:pPr>
              <w:spacing w:before="30" w:after="30" w:line="252" w:lineRule="auto"/>
            </w:pPr>
            <w:r>
              <w:rPr>
                <w:rFonts w:ascii="Arial" w:hAnsi="Arial" w:eastAsia="宋体"/>
                <w:b w:val="0"/>
                <w:i w:val="0"/>
                <w:sz w:val="19"/>
              </w:rPr>
              <w:t>NC在线同步、生产实名认证/组织隔离、多准则、商誉/NCI、复杂收购、内部未实现存货利润及递延税</w:t>
            </w:r>
          </w:p>
        </w:tc>
      </w:tr>
    </w:tbl>
    <w:p>
      <w:pPr>
        <w:spacing w:after="40"/>
      </w:pPr>
    </w:p>
    <w:p>
      <w:r>
        <w:rPr>
          <w:rFonts w:ascii="Arial" w:hAnsi="Arial" w:eastAsia="宋体"/>
          <w:b w:val="0"/>
          <w:i w:val="0"/>
        </w:rPr>
        <w:t>原始期初、凭证、科目余额核对金额均为法人本位币</w:t>
      </w:r>
      <w:r>
        <w:rPr>
          <w:rFonts w:ascii="Arial" w:hAnsi="Arial" w:eastAsia="宋体"/>
          <w:b/>
          <w:i w:val="0"/>
        </w:rPr>
        <w:t>元两位</w:t>
      </w:r>
      <w:r>
        <w:rPr>
          <w:rFonts w:ascii="Arial" w:hAnsi="Arial" w:eastAsia="宋体"/>
          <w:b w:val="0"/>
          <w:i w:val="0"/>
        </w:rPr>
        <w:t>；财务源、自动抵销和报表为本位币</w:t>
      </w:r>
      <w:r>
        <w:rPr>
          <w:rFonts w:ascii="Arial" w:hAnsi="Arial" w:eastAsia="宋体"/>
          <w:b/>
          <w:i w:val="0"/>
        </w:rPr>
        <w:t>万元六位</w:t>
      </w:r>
      <w:r>
        <w:rPr>
          <w:rFonts w:ascii="Arial" w:hAnsi="Arial" w:eastAsia="宋体"/>
          <w:b w:val="0"/>
          <w:i w:val="0"/>
        </w:rPr>
        <w:t>，一分为0.000001万元。预算仍为集团人民币万元两位。NC“币种”是交易币，账簿确定法人本位币，只使用本币借方/贷方记账；原币、集团/全局金额、单价、数量、汇率保留原值核对，不重复计入。</w:t>
      </w:r>
    </w:p>
    <w:p>
      <w:pPr>
        <w:pStyle w:val="Heading2"/>
      </w:pPr>
      <w:bookmarkStart w:id="3" w:name="epm_3"/>
      <w:r>
        <w:rPr>
          <w:rFonts w:ascii="Arial" w:hAnsi="Arial" w:eastAsia="宋体"/>
          <w:b w:val="0"/>
          <w:i w:val="0"/>
        </w:rPr>
        <w:t>本版成功标准</w:t>
      </w:r>
      <w:bookmarkEnd w:id="3"/>
    </w:p>
    <w:p>
      <w:pPr>
        <w:ind w:left="283" w:hanging="198"/>
      </w:pPr>
      <w:r>
        <w:rPr>
          <w:rFonts w:ascii="Arial" w:hAnsi="Arial" w:eastAsia="宋体"/>
        </w:rPr>
        <w:t xml:space="preserve">1. </w:t>
      </w:r>
      <w:r>
        <w:rPr>
          <w:rFonts w:ascii="Arial" w:hAnsi="Arial" w:eastAsia="宋体"/>
          <w:b w:val="0"/>
          <w:i w:val="0"/>
        </w:rPr>
        <w:t>新数据目录首次打开，没有企业法人、企业科目、持股、源、凭证、余额、抵销、财报结果或已录入预算数字；所有菜单可打开且不会显示虚构经营成果。</w:t>
      </w:r>
    </w:p>
    <w:p>
      <w:pPr>
        <w:ind w:left="283" w:hanging="198"/>
      </w:pPr>
      <w:r>
        <w:rPr>
          <w:rFonts w:ascii="Arial" w:hAnsi="Arial" w:eastAsia="宋体"/>
        </w:rPr>
        <w:t xml:space="preserve">2. </w:t>
      </w:r>
      <w:r>
        <w:rPr>
          <w:rFonts w:ascii="Arial" w:hAnsi="Arial" w:eastAsia="宋体"/>
          <w:b w:val="0"/>
          <w:i w:val="0"/>
        </w:rPr>
        <w:t>用户可通过真实表单先建集团本部，再建三个独立法人，明确真实持股，并分别配置管理范围；错误树、重复叶子、未知母公司和不支持股比拒绝。</w:t>
      </w:r>
    </w:p>
    <w:p>
      <w:pPr>
        <w:ind w:left="283" w:hanging="198"/>
      </w:pPr>
      <w:r>
        <w:rPr>
          <w:rFonts w:ascii="Arial" w:hAnsi="Arial" w:eastAsia="宋体"/>
        </w:rPr>
        <w:t xml:space="preserve">3. </w:t>
      </w:r>
      <w:r>
        <w:rPr>
          <w:rFonts w:ascii="Arial" w:hAnsi="Arial" w:eastAsia="宋体"/>
          <w:b w:val="0"/>
          <w:i w:val="0"/>
        </w:rPr>
        <w:t>财务凭证及年初余额生成单体账表；外部科目余额仅核对，不能再次累计成业务发生。</w:t>
      </w:r>
    </w:p>
    <w:p>
      <w:pPr>
        <w:ind w:left="283" w:hanging="198"/>
      </w:pPr>
      <w:r>
        <w:rPr>
          <w:rFonts w:ascii="Arial" w:hAnsi="Arial" w:eastAsia="宋体"/>
        </w:rPr>
        <w:t xml:space="preserve">4. </w:t>
      </w:r>
      <w:r>
        <w:rPr>
          <w:rFonts w:ascii="Arial" w:hAnsi="Arial" w:eastAsia="宋体"/>
          <w:b w:val="0"/>
          <w:i w:val="0"/>
        </w:rPr>
        <w:t>余额差异和内部交易差异显示真实源文件行，并能定位原凭证及批次；不因表面平衡自动放行。</w:t>
      </w:r>
    </w:p>
    <w:p>
      <w:pPr>
        <w:ind w:left="283" w:hanging="198"/>
      </w:pPr>
      <w:r>
        <w:rPr>
          <w:rFonts w:ascii="Arial" w:hAnsi="Arial" w:eastAsia="宋体"/>
        </w:rPr>
        <w:t xml:space="preserve">5. </w:t>
      </w:r>
      <w:r>
        <w:rPr>
          <w:rFonts w:ascii="Arial" w:hAnsi="Arial" w:eastAsia="宋体"/>
          <w:b w:val="0"/>
          <w:i w:val="0"/>
        </w:rPr>
        <w:t>签核及历史保存与当前原账版本一致；输入变动后旧核对/匹配/抵销/结果不可继续冒充有效版本。</w:t>
      </w:r>
    </w:p>
    <w:p>
      <w:pPr>
        <w:ind w:left="283" w:hanging="198"/>
      </w:pPr>
      <w:r>
        <w:rPr>
          <w:rFonts w:ascii="Arial" w:hAnsi="Arial" w:eastAsia="宋体"/>
        </w:rPr>
        <w:t xml:space="preserve">6. </w:t>
      </w:r>
      <w:r>
        <w:rPr>
          <w:rFonts w:ascii="Arial" w:hAnsi="Arial" w:eastAsia="宋体"/>
          <w:b w:val="0"/>
          <w:i w:val="0"/>
        </w:rPr>
        <w:t>通过同一原生EXE运行环境及本版独立验收，四份可编辑Word和同源PDF与源/软件制品摘要绑定。</w:t>
      </w:r>
    </w:p>
    <w:p>
      <w:pPr>
        <w:pStyle w:val="Heading1"/>
      </w:pPr>
      <w:bookmarkStart w:id="4" w:name="epm_4"/>
      <w:r>
        <w:rPr>
          <w:rFonts w:ascii="Arial" w:hAnsi="Arial" w:eastAsia="宋体"/>
          <w:b w:val="0"/>
          <w:i w:val="0"/>
        </w:rPr>
        <w:t>一、全局模型、前置与事务</w:t>
      </w:r>
      <w:bookmarkEnd w:id="4"/>
    </w:p>
    <w:p>
      <w:pPr>
        <w:pStyle w:val="Heading2"/>
      </w:pPr>
      <w:bookmarkStart w:id="5" w:name="epm_5"/>
      <w:r>
        <w:rPr>
          <w:rFonts w:ascii="Arial" w:hAnsi="Arial" w:eastAsia="宋体"/>
          <w:b w:val="0"/>
          <w:i w:val="0"/>
        </w:rPr>
        <w:t>1.1 数据对象和依赖顺序</w:t>
      </w:r>
      <w:bookmarkEnd w:id="5"/>
    </w:p>
    <w:tbl>
      <w:tblPr>
        <w:tblStyle w:val="TableGrid"/>
        <w:tblW w:type="auto" w:w="0"/>
        <w:jc w:val="center"/>
        <w:tblLayout w:type="fixed"/>
        <w:tblLook w:firstColumn="1" w:firstRow="1" w:lastColumn="0" w:lastRow="0" w:noHBand="0" w:noVBand="1" w:val="04A0"/>
      </w:tblPr>
      <w:tblGrid>
        <w:gridCol w:w="2973"/>
        <w:gridCol w:w="2568"/>
        <w:gridCol w:w="3865"/>
      </w:tblGrid>
      <w:tr>
        <w:trPr>
          <w:cantSplit/>
          <w:tblHeader w:val="true"/>
        </w:trPr>
        <w:tc>
          <w:tcPr>
            <w:tcW w:type="dxa" w:w="297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对象</w:t>
            </w:r>
          </w:p>
        </w:tc>
        <w:tc>
          <w:tcPr>
            <w:tcW w:type="dxa" w:w="25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作用</w:t>
            </w:r>
          </w:p>
        </w:tc>
        <w:tc>
          <w:tcPr>
            <w:tcW w:type="dxa" w:w="38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关键关系</w:t>
            </w:r>
          </w:p>
        </w:tc>
      </w:tr>
      <w:tr>
        <w:trPr>
          <w:cantSplit/>
        </w:trPr>
        <w:tc>
          <w:tcPr>
            <w:tcW w:type="dxa" w:w="2973"/>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Entity</w:t>
            </w:r>
          </w:p>
        </w:tc>
        <w:tc>
          <w:tcPr>
            <w:tcW w:type="dxa" w:w="2568"/>
            <w:vAlign w:val="top"/>
            <w:tcMar>
              <w:top w:w="65" w:type="dxa"/>
              <w:bottom w:w="65" w:type="dxa"/>
              <w:left w:w="65" w:type="dxa"/>
              <w:right w:w="65" w:type="dxa"/>
            </w:tcMar>
          </w:tcPr>
          <w:p>
            <w:pPr>
              <w:spacing w:before="30" w:after="30" w:line="252" w:lineRule="auto"/>
            </w:pPr>
            <w:r>
              <w:rPr>
                <w:rFonts w:ascii="Arial" w:hAnsi="Arial" w:eastAsia="宋体"/>
                <w:b w:val="0"/>
                <w:i w:val="0"/>
                <w:sz w:val="19"/>
              </w:rPr>
              <w:t>独立记账法人</w:t>
            </w:r>
          </w:p>
        </w:tc>
        <w:tc>
          <w:tcPr>
            <w:tcW w:type="dxa" w:w="3865"/>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法人ID和CSV编码唯一，本位币不可混写，集团本部也须创建</w:t>
            </w:r>
          </w:p>
        </w:tc>
      </w:tr>
      <w:tr>
        <w:trPr>
          <w:cantSplit/>
        </w:trPr>
        <w:tc>
          <w:tcPr>
            <w:tcW w:type="dxa" w:w="2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Ownership</w:t>
            </w:r>
          </w:p>
        </w:tc>
        <w:tc>
          <w:tcPr>
            <w:tcW w:type="dxa" w:w="25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真实法定股权</w:t>
            </w:r>
          </w:p>
        </w:tc>
        <w:tc>
          <w:tcPr>
            <w:tcW w:type="dxa" w:w="38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本轮100%全资全额；与管理树分离</w:t>
            </w:r>
          </w:p>
        </w:tc>
      </w:tr>
      <w:tr>
        <w:trPr>
          <w:cantSplit/>
        </w:trPr>
        <w:tc>
          <w:tcPr>
            <w:tcW w:type="dxa" w:w="2973"/>
            <w:vAlign w:val="top"/>
            <w:tcMar>
              <w:top w:w="65" w:type="dxa"/>
              <w:bottom w:w="65" w:type="dxa"/>
              <w:left w:w="65" w:type="dxa"/>
              <w:right w:w="65" w:type="dxa"/>
            </w:tcMar>
          </w:tcPr>
          <w:p>
            <w:pPr>
              <w:spacing w:before="30" w:after="30" w:line="252" w:lineRule="auto"/>
            </w:pPr>
            <w:r>
              <w:rPr>
                <w:rFonts w:ascii="Arial" w:hAnsi="Arial" w:eastAsia="宋体"/>
                <w:b w:val="0"/>
                <w:i w:val="0"/>
                <w:sz w:val="19"/>
              </w:rPr>
              <w:t>Unit</w:t>
            </w:r>
          </w:p>
        </w:tc>
        <w:tc>
          <w:tcPr>
            <w:tcW w:type="dxa" w:w="2568"/>
            <w:vAlign w:val="top"/>
            <w:tcMar>
              <w:top w:w="65" w:type="dxa"/>
              <w:bottom w:w="65" w:type="dxa"/>
              <w:left w:w="65" w:type="dxa"/>
              <w:right w:w="65" w:type="dxa"/>
            </w:tcMar>
          </w:tcPr>
          <w:p>
            <w:pPr>
              <w:spacing w:before="30" w:after="30" w:line="252" w:lineRule="auto"/>
            </w:pPr>
            <w:r>
              <w:rPr>
                <w:rFonts w:ascii="Arial" w:hAnsi="Arial" w:eastAsia="宋体"/>
                <w:b w:val="0"/>
                <w:i w:val="0"/>
                <w:sz w:val="19"/>
              </w:rPr>
              <w:t>管理合并范围</w:t>
            </w:r>
          </w:p>
        </w:tc>
        <w:tc>
          <w:tcPr>
            <w:tcW w:type="dxa" w:w="3865"/>
            <w:vAlign w:val="top"/>
            <w:tcMar>
              <w:top w:w="65" w:type="dxa"/>
              <w:bottom w:w="65" w:type="dxa"/>
              <w:left w:w="65" w:type="dxa"/>
              <w:right w:w="65" w:type="dxa"/>
            </w:tcMar>
          </w:tcPr>
          <w:p>
            <w:pPr>
              <w:spacing w:before="30" w:after="30" w:line="252" w:lineRule="auto"/>
            </w:pPr>
            <w:r>
              <w:rPr>
                <w:rFonts w:ascii="Arial" w:hAnsi="Arial" w:eastAsia="宋体"/>
                <w:b w:val="0"/>
                <w:i w:val="0"/>
                <w:sz w:val="19"/>
              </w:rPr>
              <w:t>直接输入为法人或下级结果；最低共同层抵销；空框架不能计算</w:t>
            </w:r>
          </w:p>
        </w:tc>
      </w:tr>
      <w:tr>
        <w:trPr>
          <w:cantSplit/>
        </w:trPr>
        <w:tc>
          <w:tcPr>
            <w:tcW w:type="dxa" w:w="2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Account/Mapping</w:t>
            </w:r>
          </w:p>
        </w:tc>
        <w:tc>
          <w:tcPr>
            <w:tcW w:type="dxa" w:w="25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集团口径与法人ERP科目</w:t>
            </w:r>
          </w:p>
        </w:tc>
        <w:tc>
          <w:tcPr>
            <w:tcW w:type="dxa" w:w="38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不把集团科目表等同各法人ERP编码映射</w:t>
            </w:r>
          </w:p>
        </w:tc>
      </w:tr>
      <w:tr>
        <w:trPr>
          <w:cantSplit/>
        </w:trPr>
        <w:tc>
          <w:tcPr>
            <w:tcW w:type="dxa" w:w="2973"/>
            <w:vAlign w:val="top"/>
            <w:tcMar>
              <w:top w:w="65" w:type="dxa"/>
              <w:bottom w:w="65" w:type="dxa"/>
              <w:left w:w="65" w:type="dxa"/>
              <w:right w:w="65" w:type="dxa"/>
            </w:tcMar>
          </w:tcPr>
          <w:p>
            <w:pPr>
              <w:spacing w:before="30" w:after="30" w:line="252" w:lineRule="auto"/>
            </w:pPr>
            <w:r>
              <w:rPr>
                <w:rFonts w:ascii="Arial" w:hAnsi="Arial" w:eastAsia="宋体"/>
                <w:b w:val="0"/>
                <w:i w:val="0"/>
                <w:sz w:val="19"/>
              </w:rPr>
              <w:t>Ledger</w:t>
            </w:r>
          </w:p>
        </w:tc>
        <w:tc>
          <w:tcPr>
            <w:tcW w:type="dxa" w:w="2568"/>
            <w:vAlign w:val="top"/>
            <w:tcMar>
              <w:top w:w="65" w:type="dxa"/>
              <w:bottom w:w="65" w:type="dxa"/>
              <w:left w:w="65" w:type="dxa"/>
              <w:right w:w="65" w:type="dxa"/>
            </w:tcMar>
          </w:tcPr>
          <w:p>
            <w:pPr>
              <w:spacing w:before="30" w:after="30" w:line="252" w:lineRule="auto"/>
            </w:pPr>
            <w:r>
              <w:rPr>
                <w:rFonts w:ascii="Arial" w:hAnsi="Arial" w:eastAsia="宋体"/>
                <w:b w:val="0"/>
                <w:i w:val="0"/>
                <w:sz w:val="19"/>
              </w:rPr>
              <w:t>年初科目余额＋全年至测试月凭证</w:t>
            </w:r>
          </w:p>
        </w:tc>
        <w:tc>
          <w:tcPr>
            <w:tcW w:type="dxa" w:w="3865"/>
            <w:vAlign w:val="top"/>
            <w:tcMar>
              <w:top w:w="65" w:type="dxa"/>
              <w:bottom w:w="65" w:type="dxa"/>
              <w:left w:w="65" w:type="dxa"/>
              <w:right w:w="65" w:type="dxa"/>
            </w:tcMar>
          </w:tcPr>
          <w:p>
            <w:pPr>
              <w:spacing w:before="30" w:after="30" w:line="252" w:lineRule="auto"/>
            </w:pPr>
            <w:r>
              <w:rPr>
                <w:rFonts w:ascii="Arial" w:hAnsi="Arial" w:eastAsia="宋体"/>
                <w:b w:val="0"/>
                <w:i w:val="0"/>
                <w:sz w:val="19"/>
              </w:rPr>
              <w:t>元两位，canonical/raw分离，完整平衡凭证输入</w:t>
            </w:r>
          </w:p>
        </w:tc>
      </w:tr>
      <w:tr>
        <w:trPr>
          <w:cantSplit/>
        </w:trPr>
        <w:tc>
          <w:tcPr>
            <w:tcW w:type="dxa" w:w="2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BalanceReport/Check</w:t>
            </w:r>
          </w:p>
        </w:tc>
        <w:tc>
          <w:tcPr>
            <w:tcW w:type="dxa" w:w="25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外部科目余额和核对证据</w:t>
            </w:r>
          </w:p>
        </w:tc>
        <w:tc>
          <w:tcPr>
            <w:tcW w:type="dxa" w:w="38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只对账不入账；当期、法人、账务版本必须一致</w:t>
            </w:r>
          </w:p>
        </w:tc>
      </w:tr>
      <w:tr>
        <w:trPr>
          <w:cantSplit/>
        </w:trPr>
        <w:tc>
          <w:tcPr>
            <w:tcW w:type="dxa" w:w="2973"/>
            <w:vAlign w:val="top"/>
            <w:tcMar>
              <w:top w:w="65" w:type="dxa"/>
              <w:bottom w:w="65" w:type="dxa"/>
              <w:left w:w="65" w:type="dxa"/>
              <w:right w:w="65" w:type="dxa"/>
            </w:tcMar>
          </w:tcPr>
          <w:p>
            <w:pPr>
              <w:spacing w:before="30" w:after="30" w:line="252" w:lineRule="auto"/>
            </w:pPr>
            <w:r>
              <w:rPr>
                <w:rFonts w:ascii="Arial" w:hAnsi="Arial" w:eastAsia="宋体"/>
                <w:b w:val="0"/>
                <w:i w:val="0"/>
                <w:sz w:val="19"/>
              </w:rPr>
              <w:t>Match/Difference</w:t>
            </w:r>
          </w:p>
        </w:tc>
        <w:tc>
          <w:tcPr>
            <w:tcW w:type="dxa" w:w="2568"/>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内部销售和AR/AP配对/差异</w:t>
            </w:r>
          </w:p>
        </w:tc>
        <w:tc>
          <w:tcPr>
            <w:tcW w:type="dxa" w:w="3865"/>
            <w:vAlign w:val="top"/>
            <w:tcMar>
              <w:top w:w="65" w:type="dxa"/>
              <w:bottom w:w="65" w:type="dxa"/>
              <w:left w:w="65" w:type="dxa"/>
              <w:right w:w="65" w:type="dxa"/>
            </w:tcMar>
          </w:tcPr>
          <w:p>
            <w:pPr>
              <w:spacing w:before="30" w:after="30" w:line="252" w:lineRule="auto"/>
            </w:pPr>
            <w:r>
              <w:rPr>
                <w:rFonts w:ascii="Arial" w:hAnsi="Arial" w:eastAsia="宋体"/>
                <w:b w:val="0"/>
                <w:i w:val="0"/>
                <w:sz w:val="19"/>
              </w:rPr>
              <w:t>双方、共同号、月份、币种、类型和最低共同层</w:t>
            </w:r>
          </w:p>
        </w:tc>
      </w:tr>
      <w:tr>
        <w:trPr>
          <w:cantSplit/>
        </w:trPr>
        <w:tc>
          <w:tcPr>
            <w:tcW w:type="dxa" w:w="2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Elimination</w:t>
            </w:r>
          </w:p>
        </w:tc>
        <w:tc>
          <w:tcPr>
            <w:tcW w:type="dxa" w:w="25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抵销草稿、审批和借贷影响</w:t>
            </w:r>
          </w:p>
        </w:tc>
        <w:tc>
          <w:tcPr>
            <w:tcW w:type="dxa" w:w="38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准确匹配→草稿→审批；投资按真实本部投资和子公司资本</w:t>
            </w:r>
          </w:p>
        </w:tc>
      </w:tr>
      <w:tr>
        <w:trPr>
          <w:cantSplit/>
        </w:trPr>
        <w:tc>
          <w:tcPr>
            <w:tcW w:type="dxa" w:w="2973"/>
            <w:vAlign w:val="top"/>
            <w:tcMar>
              <w:top w:w="65" w:type="dxa"/>
              <w:bottom w:w="65" w:type="dxa"/>
              <w:left w:w="65" w:type="dxa"/>
              <w:right w:w="65" w:type="dxa"/>
            </w:tcMar>
          </w:tcPr>
          <w:p>
            <w:pPr>
              <w:spacing w:before="30" w:after="30" w:line="252" w:lineRule="auto"/>
            </w:pPr>
            <w:r>
              <w:rPr>
                <w:rFonts w:ascii="Arial" w:hAnsi="Arial" w:eastAsia="宋体"/>
                <w:b w:val="0"/>
                <w:i w:val="0"/>
                <w:sz w:val="19"/>
              </w:rPr>
              <w:t>Result</w:t>
            </w:r>
          </w:p>
        </w:tc>
        <w:tc>
          <w:tcPr>
            <w:tcW w:type="dxa" w:w="2568"/>
            <w:vAlign w:val="top"/>
            <w:tcMar>
              <w:top w:w="65" w:type="dxa"/>
              <w:bottom w:w="65" w:type="dxa"/>
              <w:left w:w="65" w:type="dxa"/>
              <w:right w:w="65" w:type="dxa"/>
            </w:tcMar>
          </w:tcPr>
          <w:p>
            <w:pPr>
              <w:spacing w:before="30" w:after="30" w:line="252" w:lineRule="auto"/>
            </w:pPr>
            <w:r>
              <w:rPr>
                <w:rFonts w:ascii="Arial" w:hAnsi="Arial" w:eastAsia="宋体"/>
                <w:b w:val="0"/>
                <w:i w:val="0"/>
                <w:sz w:val="19"/>
              </w:rPr>
              <w:t>三表及输入/余额/凭证快照</w:t>
            </w:r>
          </w:p>
        </w:tc>
        <w:tc>
          <w:tcPr>
            <w:tcW w:type="dxa" w:w="3865"/>
            <w:vAlign w:val="top"/>
            <w:tcMar>
              <w:top w:w="65" w:type="dxa"/>
              <w:bottom w:w="65" w:type="dxa"/>
              <w:left w:w="65" w:type="dxa"/>
              <w:right w:w="65" w:type="dxa"/>
            </w:tcMar>
          </w:tcPr>
          <w:p>
            <w:pPr>
              <w:spacing w:before="30" w:after="30" w:line="252" w:lineRule="auto"/>
            </w:pPr>
            <w:r>
              <w:rPr>
                <w:rFonts w:ascii="Arial" w:hAnsi="Arial" w:eastAsia="宋体"/>
                <w:b w:val="0"/>
                <w:i w:val="0"/>
                <w:sz w:val="19"/>
              </w:rPr>
              <w:t>每次新版本，签核锁定，历史只读</w:t>
            </w:r>
          </w:p>
        </w:tc>
      </w:tr>
      <w:tr>
        <w:trPr>
          <w:cantSplit/>
        </w:trPr>
        <w:tc>
          <w:tcPr>
            <w:tcW w:type="dxa" w:w="297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w:t>
            </w:r>
          </w:p>
        </w:tc>
        <w:tc>
          <w:tcPr>
            <w:tcW w:type="dxa" w:w="25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独立集团人民币预算</w:t>
            </w:r>
          </w:p>
        </w:tc>
        <w:tc>
          <w:tcPr>
            <w:tcW w:type="dxa" w:w="38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从空录入目标与明细；不自动驱动完整财务三表预算</w:t>
            </w:r>
          </w:p>
        </w:tc>
      </w:tr>
    </w:tbl>
    <w:p>
      <w:pPr>
        <w:spacing w:after="40"/>
      </w:pPr>
    </w:p>
    <w:p>
      <w:pPr>
        <w:pStyle w:val="Heading2"/>
      </w:pPr>
      <w:bookmarkStart w:id="6" w:name="epm_6"/>
      <w:r>
        <w:rPr>
          <w:rFonts w:ascii="Arial" w:hAnsi="Arial" w:eastAsia="宋体"/>
          <w:b w:val="0"/>
          <w:i w:val="0"/>
        </w:rPr>
        <w:t>1.2 期间、来源和状态</w:t>
      </w:r>
      <w:bookmarkEnd w:id="6"/>
    </w:p>
    <w:p>
      <w:r>
        <w:rPr>
          <w:rFonts w:ascii="Arial" w:hAnsi="Arial" w:eastAsia="宋体"/>
          <w:b w:val="0"/>
          <w:i w:val="0"/>
        </w:rPr>
        <w:t>2026年06期报表为1—6月累计及6月30日时点；原账凭证输入需从2026年初至测试月完整已记账范围。只有6月单月不能冒称全年至6月完整，只有余额总数不能补出原凭证。示例可明确假设1—5月无业务，真实数据不得照样省略。</w:t>
      </w:r>
    </w:p>
    <w:p>
      <w:r>
        <w:rPr>
          <w:rFonts w:ascii="Arial" w:hAnsi="Arial" w:eastAsia="宋体"/>
          <w:b w:val="0"/>
          <w:i w:val="0"/>
        </w:rPr>
        <w:t>本版modelPolicy.requiresVoucherSources=true：每个正式叶子均须当前凭证派生源。手工汇总CSV虽保留兼容结构，但不能生成Foundation正式结果。</w:t>
      </w:r>
    </w:p>
    <w:p>
      <w:r>
        <w:rPr>
          <w:rFonts w:ascii="Arial" w:hAnsi="Arial" w:eastAsia="宋体"/>
          <w:b w:val="0"/>
          <w:i w:val="0"/>
        </w:rPr>
        <w:t>框架→已建档→已导账→已生成单体→余额核对通过→内部匹配无未解决差异→准确项草稿→已审批→本层已计算→本层已签核→上层引用。各状态由服务端数据决定，不由页面勾选或前端数字决定。无源/无结果提示暂无数据，不显示为已计算零报表。</w:t>
      </w:r>
    </w:p>
    <w:p>
      <w:r>
        <w:rPr>
          <w:rFonts w:ascii="Arial" w:hAnsi="Arial" w:eastAsia="宋体"/>
          <w:b w:val="0"/>
          <w:i w:val="0"/>
        </w:rPr>
        <w:t>所有写操作携revision、有效会话、同源Origin与CSRF；事务内任何一项失败整批回滚。错误不写一半业务或提前显示保存成功。只有revision_conflict需要刷新核对；业务锁、会计检查失败保留准确原因。只读角色直接调用写接口仍拒绝。</w:t>
      </w:r>
    </w:p>
    <w:p>
      <w:pPr>
        <w:pStyle w:val="Heading2"/>
      </w:pPr>
      <w:bookmarkStart w:id="7" w:name="epm_7"/>
      <w:r>
        <w:rPr>
          <w:rFonts w:ascii="Arial" w:hAnsi="Arial" w:eastAsia="宋体"/>
          <w:b w:val="0"/>
          <w:i w:val="0"/>
        </w:rPr>
        <w:t>1.3 从零档案的固定规则</w:t>
      </w:r>
      <w:bookmarkEnd w:id="7"/>
    </w:p>
    <w:p>
      <w:r>
        <w:rPr>
          <w:rFonts w:ascii="Arial" w:hAnsi="Arial" w:eastAsia="宋体"/>
          <w:b w:val="0"/>
          <w:i w:val="0"/>
        </w:rPr>
        <w:t>法人标识大写字母开头，后续仅大写字母、数字、下划线、短横线，最长40；CSV编码独立唯一。创建本部时母公司为空，创建子法人后通过真实持股选择本部。科目编码保留文本前导0，集团科目字段必须在内置BS/PL中，不接受自由键当计算项目。</w:t>
      </w:r>
    </w:p>
    <w:p>
      <w:r>
        <w:rPr>
          <w:rFonts w:ascii="Arial" w:hAnsi="Arial" w:eastAsia="宋体"/>
          <w:b w:val="0"/>
          <w:i w:val="0"/>
        </w:rPr>
        <w:t>创建HW_GROUP时仅勾三家法人；配置TY_GROUP时仅本部法人＋HW_GROUP，不再勾HW_GROUP的三家叶子。真实股权可天元分别持有三家，不能将管理小合并误称法定母子持股。</w:t>
      </w:r>
    </w:p>
    <w:p>
      <w:pPr>
        <w:pStyle w:val="Heading1"/>
      </w:pPr>
      <w:bookmarkStart w:id="8" w:name="epm_8"/>
      <w:r>
        <w:rPr>
          <w:rFonts w:ascii="Arial" w:hAnsi="Arial" w:eastAsia="宋体"/>
          <w:b w:val="0"/>
          <w:i w:val="0"/>
        </w:rPr>
        <w:t>二、全模块页面与详细需求</w:t>
      </w:r>
      <w:bookmarkEnd w:id="8"/>
    </w:p>
    <w:p>
      <w:r>
        <w:rPr>
          <w:rFonts w:ascii="Arial" w:hAnsi="Arial" w:eastAsia="宋体"/>
          <w:b w:val="0"/>
          <w:i w:val="0"/>
        </w:rPr>
        <w:t>下列24个菜单全部保留。余额导入与核对纳入ERP工作台现有页面，不以已有演示数据代替建档。精确对象、类型和API字段见本册附录A和本版本FOUNDATION-CONTRACT/API-CONTRACT。</w:t>
      </w:r>
    </w:p>
    <w:p>
      <w:pPr>
        <w:pStyle w:val="Heading2"/>
      </w:pPr>
      <w:bookmarkStart w:id="9" w:name="epm_9"/>
      <w:r>
        <w:rPr>
          <w:rFonts w:ascii="Arial" w:hAnsi="Arial" w:eastAsia="宋体"/>
          <w:b w:val="0"/>
          <w:i w:val="0"/>
        </w:rPr>
        <w:t>P01 · 集团经营总览</w:t>
      </w:r>
      <w:bookmarkEnd w:id="9"/>
    </w:p>
    <w:p>
      <w:r>
        <w:rPr>
          <w:rFonts w:ascii="Arial" w:hAnsi="Arial" w:eastAsia="宋体"/>
          <w:b w:val="0"/>
          <w:i w:val="0"/>
        </w:rPr>
        <w:t>页面路由：overview。职责：同范围、同期间、同币种的已保存合并结果与月度趋势。</w:t>
      </w:r>
    </w:p>
    <w:tbl>
      <w:tblPr>
        <w:tblStyle w:val="TableGrid"/>
        <w:tblW w:type="auto" w:w="0"/>
        <w:jc w:val="center"/>
        <w:tblLayout w:type="fixed"/>
        <w:tblLook w:firstColumn="1" w:firstRow="1" w:lastColumn="0" w:lastRow="0" w:noHBand="0" w:noVBand="1" w:val="04A0"/>
      </w:tblPr>
      <w:tblGrid>
        <w:gridCol w:w="2130"/>
        <w:gridCol w:w="7276"/>
      </w:tblGrid>
      <w:tr>
        <w:trPr>
          <w:cantSplit/>
          <w:tblHeader w:val="true"/>
        </w:trPr>
        <w:tc>
          <w:tcPr>
            <w:tcW w:type="dxa" w:w="21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2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130"/>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276"/>
            <w:vAlign w:val="top"/>
            <w:tcMar>
              <w:top w:w="65" w:type="dxa"/>
              <w:bottom w:w="65" w:type="dxa"/>
              <w:left w:w="65" w:type="dxa"/>
              <w:right w:w="65" w:type="dxa"/>
            </w:tcMar>
          </w:tcPr>
          <w:p>
            <w:pPr>
              <w:spacing w:before="30" w:after="30" w:line="252" w:lineRule="auto"/>
            </w:pPr>
            <w:r>
              <w:rPr>
                <w:rFonts w:ascii="Arial" w:hAnsi="Arial" w:eastAsia="宋体"/>
                <w:b w:val="0"/>
                <w:i w:val="0"/>
                <w:sz w:val="19"/>
              </w:rPr>
              <w:t>结果状态、单元/期间/币种、收入/净利/现金/CTA、直接输入、结果版本</w:t>
            </w:r>
          </w:p>
        </w:tc>
      </w:tr>
      <w:tr>
        <w:trPr>
          <w:cantSplit/>
        </w:trPr>
        <w:tc>
          <w:tcPr>
            <w:tcW w:type="dxa" w:w="21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2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切换上下文；进入合并工作台；查看版本来源；导出摘要</w:t>
            </w:r>
          </w:p>
        </w:tc>
      </w:tr>
      <w:tr>
        <w:trPr>
          <w:cantSplit/>
        </w:trPr>
        <w:tc>
          <w:tcPr>
            <w:tcW w:type="dxa" w:w="2130"/>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276"/>
            <w:vAlign w:val="top"/>
            <w:tcMar>
              <w:top w:w="65" w:type="dxa"/>
              <w:bottom w:w="65" w:type="dxa"/>
              <w:left w:w="65" w:type="dxa"/>
              <w:right w:w="65" w:type="dxa"/>
            </w:tcMar>
          </w:tcPr>
          <w:p>
            <w:pPr>
              <w:spacing w:before="30" w:after="30" w:line="252" w:lineRule="auto"/>
            </w:pPr>
            <w:r>
              <w:rPr>
                <w:rFonts w:ascii="Arial" w:hAnsi="Arial" w:eastAsia="宋体"/>
                <w:b w:val="0"/>
                <w:i w:val="0"/>
                <w:sz w:val="19"/>
              </w:rPr>
              <w:t>空框架显示暂无业务/待配置，不把零值当已计算；实际只取当前有效或明确标识的历史快照。预算比较仅已编制集团CNY口径。</w:t>
            </w:r>
          </w:p>
        </w:tc>
      </w:tr>
      <w:tr>
        <w:trPr>
          <w:cantSplit/>
        </w:trPr>
        <w:tc>
          <w:tcPr>
            <w:tcW w:type="dxa" w:w="21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2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完成小合并后卡片取该结果；换到集团只显示集团结果，不平移小合并金额。</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0" w:name="epm_10"/>
      <w:r>
        <w:rPr>
          <w:rFonts w:ascii="Arial" w:hAnsi="Arial" w:eastAsia="宋体"/>
          <w:b w:val="0"/>
          <w:i w:val="0"/>
        </w:rPr>
        <w:t>P02 · 集团组织与持股</w:t>
      </w:r>
      <w:bookmarkEnd w:id="10"/>
    </w:p>
    <w:p>
      <w:r>
        <w:rPr>
          <w:rFonts w:ascii="Arial" w:hAnsi="Arial" w:eastAsia="宋体"/>
          <w:b w:val="0"/>
          <w:i w:val="0"/>
        </w:rPr>
        <w:t>页面路由：org。职责：创建和维护独立法人及管理合并范围。</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法人ID/CSV编码/全称/简称/负责人/本位币，单元ID/名称/币种/直接成员</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新增法人；编辑法人；新增管理合并单元；维护成员</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先建集团本部，再建三家独立法人；ID大写字母开头、仅A-Z0-9_-；CSV编码唯一。管理成员不得环、自引用或重复叶子。已有账务的本位币不直接改。</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空初始无企业档案；通过表单逐个建四法人，再建HW_GROUP及配置TY_GROUP可通过树校验。</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1" w:name="epm_11"/>
      <w:r>
        <w:rPr>
          <w:rFonts w:ascii="Arial" w:hAnsi="Arial" w:eastAsia="宋体"/>
          <w:b w:val="0"/>
          <w:i w:val="0"/>
        </w:rPr>
        <w:t>P03 · 科目与维度</w:t>
      </w:r>
      <w:bookmarkEnd w:id="11"/>
    </w:p>
    <w:p>
      <w:r>
        <w:rPr>
          <w:rFonts w:ascii="Arial" w:hAnsi="Arial" w:eastAsia="宋体"/>
          <w:b w:val="0"/>
          <w:i w:val="0"/>
        </w:rPr>
        <w:t>页面路由：master。职责：维护集团科目档案及内置报表字段映射。</w:t>
      </w:r>
    </w:p>
    <w:tbl>
      <w:tblPr>
        <w:tblStyle w:val="TableGrid"/>
        <w:tblW w:type="auto" w:w="0"/>
        <w:jc w:val="center"/>
        <w:tblLayout w:type="fixed"/>
        <w:tblLook w:firstColumn="1" w:firstRow="1" w:lastColumn="0" w:lastRow="0" w:noHBand="0" w:noVBand="1" w:val="04A0"/>
      </w:tblPr>
      <w:tblGrid>
        <w:gridCol w:w="2063"/>
        <w:gridCol w:w="7343"/>
      </w:tblGrid>
      <w:tr>
        <w:trPr>
          <w:cantSplit/>
          <w:tblHeader w:val="true"/>
        </w:trPr>
        <w:tc>
          <w:tcPr>
            <w:tcW w:type="dxa" w:w="20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63"/>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43"/>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科目编码/名称/类别/借贷方向/报表字段；后续ERP科目映射按法人独立</w:t>
            </w:r>
          </w:p>
        </w:tc>
      </w:tr>
      <w:tr>
        <w:trPr>
          <w:cantSplit/>
        </w:trPr>
        <w:tc>
          <w:tcPr>
            <w:tcW w:type="dxa" w:w="20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新增集团科目；编辑科目；查看字段字典</w:t>
            </w:r>
          </w:p>
        </w:tc>
      </w:tr>
      <w:tr>
        <w:trPr>
          <w:cantSplit/>
        </w:trPr>
        <w:tc>
          <w:tcPr>
            <w:tcW w:type="dxa" w:w="2063"/>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43"/>
            <w:vAlign w:val="top"/>
            <w:tcMar>
              <w:top w:w="65" w:type="dxa"/>
              <w:bottom w:w="65" w:type="dxa"/>
              <w:left w:w="65" w:type="dxa"/>
              <w:right w:w="65" w:type="dxa"/>
            </w:tcMar>
          </w:tcPr>
          <w:p>
            <w:pPr>
              <w:spacing w:before="30" w:after="30" w:line="252" w:lineRule="auto"/>
            </w:pPr>
            <w:r>
              <w:rPr>
                <w:rFonts w:ascii="Arial" w:hAnsi="Arial" w:eastAsia="宋体"/>
                <w:b w:val="0"/>
                <w:i w:val="0"/>
                <w:sz w:val="19"/>
              </w:rPr>
              <w:t>基础科目是全局报表口径；不能替代每法人ERP科目映射。编码唯一，字段来自内置BS/PL，明确借/贷方向；空初始没有企业科目。</w:t>
            </w:r>
          </w:p>
        </w:tc>
      </w:tr>
      <w:tr>
        <w:trPr>
          <w:cantSplit/>
        </w:trPr>
        <w:tc>
          <w:tcPr>
            <w:tcW w:type="dxa" w:w="20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同一ERP科目号可在不同法人各自映射；未知映射凭证不得生成源。</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2" w:name="epm_12"/>
      <w:r>
        <w:rPr>
          <w:rFonts w:ascii="Arial" w:hAnsi="Arial" w:eastAsia="宋体"/>
          <w:b w:val="0"/>
          <w:i w:val="0"/>
        </w:rPr>
        <w:t>P04 · 数据接入</w:t>
      </w:r>
      <w:bookmarkEnd w:id="12"/>
    </w:p>
    <w:p>
      <w:r>
        <w:rPr>
          <w:rFonts w:ascii="Arial" w:hAnsi="Arial" w:eastAsia="宋体"/>
          <w:b w:val="0"/>
          <w:i w:val="0"/>
        </w:rPr>
        <w:t>页面路由：sources。职责：查看当前文件接入方式及凭证生成源，跳转ERP账务工作台。</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接入状态、源文件名称、法人、源版本、六区CSV</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查看原凭证生成源；打开源明细；跳转ERP账务导入</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本版企业NC在线接口未连接；手工汇总报表CSV没有原凭证血缘，不能冒充凭证接入。本次主流程使用ERP工作台。</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空业务不导出虚构财务数；Foundation每个正式叶子必须有有效ERP源和当前余额核对；手工汇总源只保留历史只读解释，Foundation外部保存/导入403，不可替代正式合并输入。</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3" w:name="epm_13"/>
      <w:r>
        <w:rPr>
          <w:rFonts w:ascii="Arial" w:hAnsi="Arial" w:eastAsia="宋体"/>
          <w:b w:val="0"/>
          <w:i w:val="0"/>
        </w:rPr>
        <w:t>P05 · 财务三表报送</w:t>
      </w:r>
      <w:bookmarkEnd w:id="13"/>
    </w:p>
    <w:p>
      <w:r>
        <w:rPr>
          <w:rFonts w:ascii="Arial" w:hAnsi="Arial" w:eastAsia="宋体"/>
          <w:b w:val="0"/>
          <w:i w:val="0"/>
        </w:rPr>
        <w:t>页面路由：submissions。职责：只读查看法人凭证生成的完整六区源版本。</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期初BS、期末BS、累计PL/CF、1至本月逐月PL/CF、资本变动、历史权益</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查看已生成ERP源；按字段追原凭证；回ERP修正，不提供手工保存/导入</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人民币源万元六位；期末留存已含损益；资本变动/分红等超本轮口径拒绝。ERP生成源的账务修正回原账，不能直接手填报表改金额；普通手工汇总源不是Foundation正式合并捷径。</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ERP源重新生成后关联本期结果失效；历史结果保留原源，不能用最新源替代旧快照。</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4" w:name="epm_14"/>
      <w:r>
        <w:rPr>
          <w:rFonts w:ascii="Arial" w:hAnsi="Arial" w:eastAsia="宋体"/>
          <w:b w:val="0"/>
          <w:i w:val="0"/>
        </w:rPr>
        <w:t>P06 · 集团分类汇率</w:t>
      </w:r>
      <w:bookmarkEnd w:id="14"/>
    </w:p>
    <w:p>
      <w:r>
        <w:rPr>
          <w:rFonts w:ascii="Arial" w:hAnsi="Arial" w:eastAsia="宋体"/>
          <w:b w:val="0"/>
          <w:i w:val="0"/>
        </w:rPr>
        <w:t>页面路由：rates。职责：维护USD小合并上卷CNY所需分类汇率。</w:t>
      </w:r>
    </w:p>
    <w:tbl>
      <w:tblPr>
        <w:tblStyle w:val="TableGrid"/>
        <w:tblW w:type="auto" w:w="0"/>
        <w:jc w:val="center"/>
        <w:tblLayout w:type="fixed"/>
        <w:tblLook w:firstColumn="1" w:firstRow="1" w:lastColumn="0" w:lastRow="0" w:noHBand="0" w:noVBand="1" w:val="04A0"/>
      </w:tblPr>
      <w:tblGrid>
        <w:gridCol w:w="2031"/>
        <w:gridCol w:w="7374"/>
      </w:tblGrid>
      <w:tr>
        <w:trPr>
          <w:cantSplit/>
          <w:tblHeader w:val="true"/>
        </w:trPr>
        <w:tc>
          <w:tcPr>
            <w:tcW w:type="dxa" w:w="20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31"/>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74"/>
            <w:vAlign w:val="top"/>
            <w:tcMar>
              <w:top w:w="65" w:type="dxa"/>
              <w:bottom w:w="65" w:type="dxa"/>
              <w:left w:w="65" w:type="dxa"/>
              <w:right w:w="65" w:type="dxa"/>
            </w:tcMar>
          </w:tcPr>
          <w:p>
            <w:pPr>
              <w:spacing w:before="30" w:after="30" w:line="252" w:lineRule="auto"/>
            </w:pPr>
            <w:r>
              <w:rPr>
                <w:rFonts w:ascii="Arial" w:hAnsi="Arial" w:eastAsia="宋体"/>
                <w:b w:val="0"/>
                <w:i w:val="0"/>
                <w:sz w:val="19"/>
              </w:rPr>
              <w:t>期初率、期末率、历史资本率、各月平均/流量率、版本与生效状态</w:t>
            </w:r>
          </w:p>
        </w:tc>
      </w:tr>
      <w:tr>
        <w:trPr>
          <w:cantSplit/>
        </w:trPr>
        <w:tc>
          <w:tcPr>
            <w:tcW w:type="dxa" w:w="20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新增汇率版本；查看历史；发布适用本期汇率</w:t>
            </w:r>
          </w:p>
        </w:tc>
      </w:tr>
      <w:tr>
        <w:trPr>
          <w:cantSplit/>
        </w:trPr>
        <w:tc>
          <w:tcPr>
            <w:tcW w:type="dxa" w:w="2031"/>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74"/>
            <w:vAlign w:val="top"/>
            <w:tcMar>
              <w:top w:w="65" w:type="dxa"/>
              <w:bottom w:w="65" w:type="dxa"/>
              <w:left w:w="65" w:type="dxa"/>
              <w:right w:w="65" w:type="dxa"/>
            </w:tcMar>
          </w:tcPr>
          <w:p>
            <w:pPr>
              <w:spacing w:before="30" w:after="30" w:line="252" w:lineRule="auto"/>
            </w:pPr>
            <w:r>
              <w:rPr>
                <w:rFonts w:ascii="Arial" w:hAnsi="Arial" w:eastAsia="宋体"/>
                <w:b w:val="0"/>
                <w:i w:val="0"/>
                <w:sz w:val="19"/>
              </w:rPr>
              <w:t>报价1USD=X CNY，正数最多六位小数。人民币小合并不需要USD率；空初始无演示率。不同项目按适用率折算，不用一个率换整表。</w:t>
            </w:r>
          </w:p>
        </w:tc>
      </w:tr>
      <w:tr>
        <w:trPr>
          <w:cantSplit/>
        </w:trPr>
        <w:tc>
          <w:tcPr>
            <w:tcW w:type="dxa" w:w="20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期末率单独改变不直接改变损益，CTA与现金汇率影响分别展示，相关结果失效后重算。</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5" w:name="epm_15"/>
      <w:r>
        <w:rPr>
          <w:rFonts w:ascii="Arial" w:hAnsi="Arial" w:eastAsia="宋体"/>
          <w:b w:val="0"/>
          <w:i w:val="0"/>
        </w:rPr>
        <w:t>P07 · 分级合并与结果</w:t>
      </w:r>
      <w:bookmarkEnd w:id="15"/>
    </w:p>
    <w:p>
      <w:r>
        <w:rPr>
          <w:rFonts w:ascii="Arial" w:hAnsi="Arial" w:eastAsia="宋体"/>
          <w:b w:val="0"/>
          <w:i w:val="0"/>
        </w:rPr>
        <w:t>页面路由：consolidation。职责：按直接输入逐层计算、签核与保留版本。</w:t>
      </w:r>
    </w:p>
    <w:tbl>
      <w:tblPr>
        <w:tblStyle w:val="TableGrid"/>
        <w:tblW w:type="auto" w:w="0"/>
        <w:jc w:val="center"/>
        <w:tblLayout w:type="fixed"/>
        <w:tblLook w:firstColumn="1" w:firstRow="1" w:lastColumn="0" w:lastRow="0" w:noHBand="0" w:noVBand="1" w:val="04A0"/>
      </w:tblPr>
      <w:tblGrid>
        <w:gridCol w:w="2047"/>
        <w:gridCol w:w="7359"/>
      </w:tblGrid>
      <w:tr>
        <w:trPr>
          <w:cantSplit/>
          <w:tblHeader w:val="true"/>
        </w:trPr>
        <w:tc>
          <w:tcPr>
            <w:tcW w:type="dxa" w:w="20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47"/>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59"/>
            <w:vAlign w:val="top"/>
            <w:tcMar>
              <w:top w:w="65" w:type="dxa"/>
              <w:bottom w:w="65" w:type="dxa"/>
              <w:left w:w="65" w:type="dxa"/>
              <w:right w:w="65" w:type="dxa"/>
            </w:tcMar>
          </w:tcPr>
          <w:p>
            <w:pPr>
              <w:spacing w:before="30" w:after="30" w:line="252" w:lineRule="auto"/>
            </w:pPr>
            <w:r>
              <w:rPr>
                <w:rFonts w:ascii="Arial" w:hAnsi="Arial" w:eastAsia="宋体"/>
                <w:b w:val="0"/>
                <w:i w:val="0"/>
                <w:sz w:val="19"/>
              </w:rPr>
              <w:t>单元状态、前置检查、直接源/已签下级、当前结果、历史、依赖</w:t>
            </w:r>
          </w:p>
        </w:tc>
      </w:tr>
      <w:tr>
        <w:trPr>
          <w:cantSplit/>
        </w:trPr>
        <w:tc>
          <w:tcPr>
            <w:tcW w:type="dxa" w:w="20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计算本层新版本；签核；重开本层及祖先；查看版本与来源</w:t>
            </w:r>
          </w:p>
        </w:tc>
      </w:tr>
      <w:tr>
        <w:trPr>
          <w:cantSplit/>
        </w:trPr>
        <w:tc>
          <w:tcPr>
            <w:tcW w:type="dxa" w:w="2047"/>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59"/>
            <w:vAlign w:val="top"/>
            <w:tcMar>
              <w:top w:w="65" w:type="dxa"/>
              <w:bottom w:w="65" w:type="dxa"/>
              <w:left w:w="65" w:type="dxa"/>
              <w:right w:w="65" w:type="dxa"/>
            </w:tcMar>
          </w:tcPr>
          <w:p>
            <w:pPr>
              <w:spacing w:before="30" w:after="30" w:line="252" w:lineRule="auto"/>
            </w:pPr>
            <w:r>
              <w:rPr>
                <w:rFonts w:ascii="Arial" w:hAnsi="Arial" w:eastAsia="宋体"/>
                <w:b w:val="0"/>
                <w:i w:val="0"/>
                <w:sz w:val="19"/>
              </w:rPr>
              <w:t>框架空容器不能计算；所有叶子为当前有效ERP源、余额核对、内部差异、草稿审批和子结果签核均须通过。上层只引用下层有效已签快照。</w:t>
            </w:r>
          </w:p>
        </w:tc>
      </w:tr>
      <w:tr>
        <w:trPr>
          <w:cantSplit/>
        </w:trPr>
        <w:tc>
          <w:tcPr>
            <w:tcW w:type="dxa" w:w="20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HW签核后集团引用该resultId；下层重开使祖先失效，但不改历史金额。</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6" w:name="epm_16"/>
      <w:r>
        <w:rPr>
          <w:rFonts w:ascii="Arial" w:hAnsi="Arial" w:eastAsia="宋体"/>
          <w:b w:val="0"/>
          <w:i w:val="0"/>
        </w:rPr>
        <w:t>P08 · 持股与企业合并</w:t>
      </w:r>
      <w:bookmarkEnd w:id="16"/>
    </w:p>
    <w:p>
      <w:r>
        <w:rPr>
          <w:rFonts w:ascii="Arial" w:hAnsi="Arial" w:eastAsia="宋体"/>
          <w:b w:val="0"/>
          <w:i w:val="0"/>
        </w:rPr>
        <w:t>页面路由：ownership。职责：维护真实法定母子持股及受限全资投资抵销依据。</w:t>
      </w:r>
    </w:p>
    <w:tbl>
      <w:tblPr>
        <w:tblStyle w:val="TableGrid"/>
        <w:tblW w:type="auto" w:w="0"/>
        <w:jc w:val="center"/>
        <w:tblLayout w:type="fixed"/>
        <w:tblLook w:firstColumn="1" w:firstRow="1" w:lastColumn="0" w:lastRow="0" w:noHBand="0" w:noVBand="1" w:val="04A0"/>
      </w:tblPr>
      <w:tblGrid>
        <w:gridCol w:w="2185"/>
        <w:gridCol w:w="7221"/>
      </w:tblGrid>
      <w:tr>
        <w:trPr>
          <w:cantSplit/>
          <w:tblHeader w:val="true"/>
        </w:trPr>
        <w:tc>
          <w:tcPr>
            <w:tcW w:type="dxa" w:w="21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2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185"/>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221"/>
            <w:vAlign w:val="top"/>
            <w:tcMar>
              <w:top w:w="65" w:type="dxa"/>
              <w:bottom w:w="65" w:type="dxa"/>
              <w:left w:w="65" w:type="dxa"/>
              <w:right w:w="65" w:type="dxa"/>
            </w:tcMar>
          </w:tcPr>
          <w:p>
            <w:pPr>
              <w:spacing w:before="30" w:after="30" w:line="252" w:lineRule="auto"/>
            </w:pPr>
            <w:r>
              <w:rPr>
                <w:rFonts w:ascii="Arial" w:hAnsi="Arial" w:eastAsia="宋体"/>
                <w:b w:val="0"/>
                <w:i w:val="0"/>
                <w:sz w:val="19"/>
              </w:rPr>
              <w:t>子法人、真实母公司、100%比例、全额合并、期初资本和投资金额</w:t>
            </w:r>
          </w:p>
        </w:tc>
      </w:tr>
      <w:tr>
        <w:trPr>
          <w:cantSplit/>
        </w:trPr>
        <w:tc>
          <w:tcPr>
            <w:tcW w:type="dxa" w:w="2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2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维护真实持股；查看投资资本匹配；到凭证维护投资权益抵销</w:t>
            </w:r>
          </w:p>
        </w:tc>
      </w:tr>
      <w:tr>
        <w:trPr>
          <w:cantSplit/>
        </w:trPr>
        <w:tc>
          <w:tcPr>
            <w:tcW w:type="dxa" w:w="2185"/>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221"/>
            <w:vAlign w:val="top"/>
            <w:tcMar>
              <w:top w:w="65" w:type="dxa"/>
              <w:bottom w:w="65" w:type="dxa"/>
              <w:left w:w="65" w:type="dxa"/>
              <w:right w:w="65" w:type="dxa"/>
            </w:tcMar>
          </w:tcPr>
          <w:p>
            <w:pPr>
              <w:spacing w:before="30" w:after="30" w:line="252" w:lineRule="auto"/>
            </w:pPr>
            <w:r>
              <w:rPr>
                <w:rFonts w:ascii="Arial" w:hAnsi="Arial" w:eastAsia="宋体"/>
                <w:b w:val="0"/>
                <w:i w:val="0"/>
                <w:sz w:val="19"/>
              </w:rPr>
              <w:t>三家可都由天元100%持有，不能因为在HW_GROUP就虚构鸿旺持有另两家。当前不支持NCI/商誉/收购差额。</w:t>
            </w:r>
          </w:p>
        </w:tc>
      </w:tr>
      <w:tr>
        <w:trPr>
          <w:cantSplit/>
        </w:trPr>
        <w:tc>
          <w:tcPr>
            <w:tcW w:type="dxa" w:w="21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2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本例本部投资200与三家资本合计200对应；集团抵销200，鸿旺本层不虚构投资抵销。</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7" w:name="epm_17"/>
      <w:r>
        <w:rPr>
          <w:rFonts w:ascii="Arial" w:hAnsi="Arial" w:eastAsia="宋体"/>
          <w:b w:val="0"/>
          <w:i w:val="0"/>
        </w:rPr>
        <w:t>P09 · 内部往来核对</w:t>
      </w:r>
      <w:bookmarkEnd w:id="17"/>
    </w:p>
    <w:p>
      <w:r>
        <w:rPr>
          <w:rFonts w:ascii="Arial" w:hAnsi="Arial" w:eastAsia="宋体"/>
          <w:b w:val="0"/>
          <w:i w:val="0"/>
        </w:rPr>
        <w:t>页面路由：intercompany。职责：展示本层内部事项的双方、来源、层级与处理状态。</w:t>
      </w:r>
    </w:p>
    <w:tbl>
      <w:tblPr>
        <w:tblStyle w:val="TableGrid"/>
        <w:tblW w:type="auto" w:w="0"/>
        <w:jc w:val="center"/>
        <w:tblLayout w:type="fixed"/>
        <w:tblLook w:firstColumn="1" w:firstRow="1" w:lastColumn="0" w:lastRow="0" w:noHBand="0" w:noVBand="1" w:val="04A0"/>
      </w:tblPr>
      <w:tblGrid>
        <w:gridCol w:w="2353"/>
        <w:gridCol w:w="7053"/>
      </w:tblGrid>
      <w:tr>
        <w:trPr>
          <w:cantSplit/>
          <w:tblHeader w:val="true"/>
        </w:trPr>
        <w:tc>
          <w:tcPr>
            <w:tcW w:type="dxa" w:w="23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0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353"/>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053"/>
            <w:vAlign w:val="top"/>
            <w:tcMar>
              <w:top w:w="65" w:type="dxa"/>
              <w:bottom w:w="65" w:type="dxa"/>
              <w:left w:w="65" w:type="dxa"/>
              <w:right w:w="65" w:type="dxa"/>
            </w:tcMar>
          </w:tcPr>
          <w:p>
            <w:pPr>
              <w:spacing w:before="30" w:after="30" w:line="252" w:lineRule="auto"/>
            </w:pPr>
            <w:r>
              <w:rPr>
                <w:rFonts w:ascii="Arial" w:hAnsi="Arial" w:eastAsia="宋体"/>
                <w:b w:val="0"/>
                <w:i w:val="0"/>
                <w:sz w:val="19"/>
              </w:rPr>
              <w:t>交易来源ID、双方、币种、类型、金额、所属层、审批状态</w:t>
            </w:r>
          </w:p>
        </w:tc>
      </w:tr>
      <w:tr>
        <w:trPr>
          <w:cantSplit/>
        </w:trPr>
        <w:tc>
          <w:tcPr>
            <w:tcW w:type="dxa" w:w="23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查看对账/抵销来源；跳转内部交易匹配与差异</w:t>
            </w:r>
          </w:p>
        </w:tc>
      </w:tr>
      <w:tr>
        <w:trPr>
          <w:cantSplit/>
        </w:trPr>
        <w:tc>
          <w:tcPr>
            <w:tcW w:type="dxa" w:w="2353"/>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053"/>
            <w:vAlign w:val="top"/>
            <w:tcMar>
              <w:top w:w="65" w:type="dxa"/>
              <w:bottom w:w="65" w:type="dxa"/>
              <w:left w:w="65" w:type="dxa"/>
              <w:right w:w="65" w:type="dxa"/>
            </w:tcMar>
          </w:tcPr>
          <w:p>
            <w:pPr>
              <w:spacing w:before="30" w:after="30" w:line="252" w:lineRule="auto"/>
            </w:pPr>
            <w:r>
              <w:rPr>
                <w:rFonts w:ascii="Arial" w:hAnsi="Arial" w:eastAsia="宋体"/>
                <w:b w:val="0"/>
                <w:i w:val="0"/>
                <w:sz w:val="19"/>
              </w:rPr>
              <w:t>汇总报表不能猜对方；凭证匹配在P24执行。交易在双方最低共同单元处理，下级事项上卷不重复生成。</w:t>
            </w:r>
          </w:p>
        </w:tc>
      </w:tr>
      <w:tr>
        <w:trPr>
          <w:cantSplit/>
        </w:trPr>
        <w:tc>
          <w:tcPr>
            <w:tcW w:type="dxa" w:w="23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HW对CAT/ELEC在HW_GROUP处理；跨范围事项留到最低共同上层。</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8" w:name="epm_18"/>
      <w:r>
        <w:rPr>
          <w:rFonts w:ascii="Arial" w:hAnsi="Arial" w:eastAsia="宋体"/>
          <w:b w:val="0"/>
          <w:i w:val="0"/>
        </w:rPr>
        <w:t>P10 · 抵销与调整凭证</w:t>
      </w:r>
      <w:bookmarkEnd w:id="18"/>
    </w:p>
    <w:p>
      <w:r>
        <w:rPr>
          <w:rFonts w:ascii="Arial" w:hAnsi="Arial" w:eastAsia="宋体"/>
          <w:b w:val="0"/>
          <w:i w:val="0"/>
        </w:rPr>
        <w:t>页面路由：journals。职责：维护分层草稿、审批及会计影响。</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sourceId、unitId、类别、双方、金额/币种、月度分配、状态、原凭证引用</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新增受限投资权益草稿；查看自动销售/往来草稿；审批；填原因停用</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销售/往来仅由当前凭证匹配生成，不能手工新增销售绕过异常；自动销售借收入贷成本，自动AR/AP借应付贷应收；投资权益核实际母子资本及投资。未审批不参与正式计算；不写回NC。</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同一匹配重复生成不能双抵；停用/源失效后不可继续当有效审批。</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19" w:name="epm_19"/>
      <w:r>
        <w:rPr>
          <w:rFonts w:ascii="Arial" w:hAnsi="Arial" w:eastAsia="宋体"/>
          <w:b w:val="0"/>
          <w:i w:val="0"/>
        </w:rPr>
        <w:t>P11 · 关账校验与签核</w:t>
      </w:r>
      <w:bookmarkEnd w:id="19"/>
    </w:p>
    <w:p>
      <w:r>
        <w:rPr>
          <w:rFonts w:ascii="Arial" w:hAnsi="Arial" w:eastAsia="宋体"/>
          <w:b w:val="0"/>
          <w:i w:val="0"/>
        </w:rPr>
        <w:t>页面路由：closing。职责：核财务勾稽、余额核对及流程前置。</w:t>
      </w:r>
    </w:p>
    <w:tbl>
      <w:tblPr>
        <w:tblStyle w:val="TableGrid"/>
        <w:tblW w:type="auto" w:w="0"/>
        <w:jc w:val="center"/>
        <w:tblLayout w:type="fixed"/>
        <w:tblLook w:firstColumn="1" w:firstRow="1" w:lastColumn="0" w:lastRow="0" w:noHBand="0" w:noVBand="1" w:val="04A0"/>
      </w:tblPr>
      <w:tblGrid>
        <w:gridCol w:w="2308"/>
        <w:gridCol w:w="7098"/>
      </w:tblGrid>
      <w:tr>
        <w:trPr>
          <w:cantSplit/>
          <w:tblHeader w:val="true"/>
        </w:trPr>
        <w:tc>
          <w:tcPr>
            <w:tcW w:type="dxa" w:w="23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0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308"/>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098"/>
            <w:vAlign w:val="top"/>
            <w:tcMar>
              <w:top w:w="65" w:type="dxa"/>
              <w:bottom w:w="65" w:type="dxa"/>
              <w:left w:w="65" w:type="dxa"/>
              <w:right w:w="65" w:type="dxa"/>
            </w:tcMar>
          </w:tcPr>
          <w:p>
            <w:pPr>
              <w:spacing w:before="30" w:after="30" w:line="252" w:lineRule="auto"/>
            </w:pPr>
            <w:r>
              <w:rPr>
                <w:rFonts w:ascii="Arial" w:hAnsi="Arial" w:eastAsia="宋体"/>
                <w:b w:val="0"/>
                <w:i w:val="0"/>
                <w:sz w:val="19"/>
              </w:rPr>
              <w:t>BS平衡、净利留存、月累一致、现金勾稽、差异、签核锁</w:t>
            </w:r>
          </w:p>
        </w:tc>
      </w:tr>
      <w:tr>
        <w:trPr>
          <w:cantSplit/>
        </w:trPr>
        <w:tc>
          <w:tcPr>
            <w:tcW w:type="dxa" w:w="23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查看检查；计算；签核；按依赖重开</w:t>
            </w:r>
          </w:p>
        </w:tc>
      </w:tr>
      <w:tr>
        <w:trPr>
          <w:cantSplit/>
        </w:trPr>
        <w:tc>
          <w:tcPr>
            <w:tcW w:type="dxa" w:w="2308"/>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098"/>
            <w:vAlign w:val="top"/>
            <w:tcMar>
              <w:top w:w="65" w:type="dxa"/>
              <w:bottom w:w="65" w:type="dxa"/>
              <w:left w:w="65" w:type="dxa"/>
              <w:right w:w="65" w:type="dxa"/>
            </w:tcMar>
          </w:tcPr>
          <w:p>
            <w:pPr>
              <w:spacing w:before="30" w:after="30" w:line="252" w:lineRule="auto"/>
            </w:pPr>
            <w:r>
              <w:rPr>
                <w:rFonts w:ascii="Arial" w:hAnsi="Arial" w:eastAsia="宋体"/>
                <w:b w:val="0"/>
                <w:i w:val="0"/>
                <w:sz w:val="19"/>
              </w:rPr>
              <w:t>检查通过不是业务真实性审计；内部依据、余额文件完整性和授权仍须人工核实。正式结果不可绕过失败检查。</w:t>
            </w:r>
          </w:p>
        </w:tc>
      </w:tr>
      <w:tr>
        <w:trPr>
          <w:cantSplit/>
        </w:trPr>
        <w:tc>
          <w:tcPr>
            <w:tcW w:type="dxa" w:w="23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余额差/未匹配/草稿/失效任一存在即阻断正式合并，错误整笔不落库。</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0" w:name="epm_20"/>
      <w:r>
        <w:rPr>
          <w:rFonts w:ascii="Arial" w:hAnsi="Arial" w:eastAsia="宋体"/>
          <w:b w:val="0"/>
          <w:i w:val="0"/>
        </w:rPr>
        <w:t>P12 · 集团三张报表</w:t>
      </w:r>
      <w:bookmarkEnd w:id="20"/>
    </w:p>
    <w:p>
      <w:r>
        <w:rPr>
          <w:rFonts w:ascii="Arial" w:hAnsi="Arial" w:eastAsia="宋体"/>
          <w:b w:val="0"/>
          <w:i w:val="0"/>
        </w:rPr>
        <w:t>页面路由：statements。职责：展示顶部当前范围的财务三表和来源。</w:t>
      </w:r>
    </w:p>
    <w:tbl>
      <w:tblPr>
        <w:tblStyle w:val="TableGrid"/>
        <w:tblW w:type="auto" w:w="0"/>
        <w:jc w:val="center"/>
        <w:tblLayout w:type="fixed"/>
        <w:tblLook w:firstColumn="1" w:firstRow="1" w:lastColumn="0" w:lastRow="0" w:noHBand="0" w:noVBand="1" w:val="04A0"/>
      </w:tblPr>
      <w:tblGrid>
        <w:gridCol w:w="2330"/>
        <w:gridCol w:w="7076"/>
      </w:tblGrid>
      <w:tr>
        <w:trPr>
          <w:cantSplit/>
          <w:tblHeader w:val="true"/>
        </w:trPr>
        <w:tc>
          <w:tcPr>
            <w:tcW w:type="dxa" w:w="23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0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330"/>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076"/>
            <w:vAlign w:val="top"/>
            <w:tcMar>
              <w:top w:w="65" w:type="dxa"/>
              <w:bottom w:w="65" w:type="dxa"/>
              <w:left w:w="65" w:type="dxa"/>
              <w:right w:w="65" w:type="dxa"/>
            </w:tcMar>
          </w:tcPr>
          <w:p>
            <w:pPr>
              <w:spacing w:before="30" w:after="30" w:line="252" w:lineRule="auto"/>
            </w:pPr>
            <w:r>
              <w:rPr>
                <w:rFonts w:ascii="Arial" w:hAnsi="Arial" w:eastAsia="宋体"/>
                <w:b w:val="0"/>
                <w:i w:val="0"/>
                <w:sz w:val="19"/>
              </w:rPr>
              <w:t>利润、资产负债、现金流、币种/单位/期间/结果状态</w:t>
            </w:r>
          </w:p>
        </w:tc>
      </w:tr>
      <w:tr>
        <w:trPr>
          <w:cantSplit/>
        </w:trPr>
        <w:tc>
          <w:tcPr>
            <w:tcW w:type="dxa" w:w="2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0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切换三表；查看来源；导出当前证据</w:t>
            </w:r>
          </w:p>
        </w:tc>
      </w:tr>
      <w:tr>
        <w:trPr>
          <w:cantSplit/>
        </w:trPr>
        <w:tc>
          <w:tcPr>
            <w:tcW w:type="dxa" w:w="2330"/>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076"/>
            <w:vAlign w:val="top"/>
            <w:tcMar>
              <w:top w:w="65" w:type="dxa"/>
              <w:bottom w:w="65" w:type="dxa"/>
              <w:left w:w="65" w:type="dxa"/>
              <w:right w:w="65" w:type="dxa"/>
            </w:tcMar>
          </w:tcPr>
          <w:p>
            <w:pPr>
              <w:spacing w:before="30" w:after="30" w:line="252" w:lineRule="auto"/>
            </w:pPr>
            <w:r>
              <w:rPr>
                <w:rFonts w:ascii="Arial" w:hAnsi="Arial" w:eastAsia="宋体"/>
                <w:b w:val="0"/>
                <w:i w:val="0"/>
                <w:sz w:val="19"/>
              </w:rPr>
              <w:t>菜单虽叫集团，当前选择HW_GROUP即鸿旺小合并。累计和单月明确；源元两位与报表万元六位区分。</w:t>
            </w:r>
          </w:p>
        </w:tc>
      </w:tr>
      <w:tr>
        <w:trPr>
          <w:cantSplit/>
        </w:trPr>
        <w:tc>
          <w:tcPr>
            <w:tcW w:type="dxa" w:w="2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0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本例HW累计收入840/净270/资产470；集团投资抵后资产仍470，不错写270。</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1" w:name="epm_21"/>
      <w:r>
        <w:rPr>
          <w:rFonts w:ascii="Arial" w:hAnsi="Arial" w:eastAsia="宋体"/>
          <w:b w:val="0"/>
          <w:i w:val="0"/>
        </w:rPr>
        <w:t>P13 · 预算周期与审批</w:t>
      </w:r>
      <w:bookmarkEnd w:id="21"/>
    </w:p>
    <w:p>
      <w:r>
        <w:rPr>
          <w:rFonts w:ascii="Arial" w:hAnsi="Arial" w:eastAsia="宋体"/>
          <w:b w:val="0"/>
          <w:i w:val="0"/>
        </w:rPr>
        <w:t>页面路由：budget-cycle。职责：维护从零编制的年度预算状态流。</w:t>
      </w:r>
    </w:p>
    <w:tbl>
      <w:tblPr>
        <w:tblStyle w:val="TableGrid"/>
        <w:tblW w:type="auto" w:w="0"/>
        <w:jc w:val="center"/>
        <w:tblLayout w:type="fixed"/>
        <w:tblLook w:firstColumn="1" w:firstRow="1" w:lastColumn="0" w:lastRow="0" w:noHBand="0" w:noVBand="1" w:val="04A0"/>
      </w:tblPr>
      <w:tblGrid>
        <w:gridCol w:w="2330"/>
        <w:gridCol w:w="7076"/>
      </w:tblGrid>
      <w:tr>
        <w:trPr>
          <w:cantSplit/>
          <w:tblHeader w:val="true"/>
        </w:trPr>
        <w:tc>
          <w:tcPr>
            <w:tcW w:type="dxa" w:w="23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0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330"/>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076"/>
            <w:vAlign w:val="top"/>
            <w:tcMar>
              <w:top w:w="65" w:type="dxa"/>
              <w:bottom w:w="65" w:type="dxa"/>
              <w:left w:w="65" w:type="dxa"/>
              <w:right w:w="65" w:type="dxa"/>
            </w:tcMar>
          </w:tcPr>
          <w:p>
            <w:pPr>
              <w:spacing w:before="30" w:after="30" w:line="252" w:lineRule="auto"/>
            </w:pPr>
            <w:r>
              <w:rPr>
                <w:rFonts w:ascii="Arial" w:hAnsi="Arial" w:eastAsia="宋体"/>
                <w:b w:val="0"/>
                <w:i w:val="0"/>
                <w:sz w:val="19"/>
              </w:rPr>
              <w:t>年度、活跃版本、情景、目标层、编制/审核/审批/锁定状态</w:t>
            </w:r>
          </w:p>
        </w:tc>
      </w:tr>
      <w:tr>
        <w:trPr>
          <w:cantSplit/>
        </w:trPr>
        <w:tc>
          <w:tcPr>
            <w:tcW w:type="dxa" w:w="2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0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创建或复制编制版本；提交；集团审批；锁定</w:t>
            </w:r>
          </w:p>
        </w:tc>
      </w:tr>
      <w:tr>
        <w:trPr>
          <w:cantSplit/>
        </w:trPr>
        <w:tc>
          <w:tcPr>
            <w:tcW w:type="dxa" w:w="2330"/>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076"/>
            <w:vAlign w:val="top"/>
            <w:tcMar>
              <w:top w:w="65" w:type="dxa"/>
              <w:bottom w:w="65" w:type="dxa"/>
              <w:left w:w="65" w:type="dxa"/>
              <w:right w:w="65" w:type="dxa"/>
            </w:tcMar>
          </w:tcPr>
          <w:p>
            <w:pPr>
              <w:spacing w:before="30" w:after="30" w:line="252" w:lineRule="auto"/>
            </w:pPr>
            <w:r>
              <w:rPr>
                <w:rFonts w:ascii="Arial" w:hAnsi="Arial" w:eastAsia="宋体"/>
                <w:b w:val="0"/>
                <w:i w:val="0"/>
                <w:sz w:val="19"/>
              </w:rPr>
              <w:t>无默认4000目标或虚构批准版本。预算与财务合并锁不同；只有编制状态可写，审批与锁由负责人执行。</w:t>
            </w:r>
          </w:p>
        </w:tc>
      </w:tr>
      <w:tr>
        <w:trPr>
          <w:cantSplit/>
        </w:trPr>
        <w:tc>
          <w:tcPr>
            <w:tcW w:type="dxa" w:w="23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0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用户输入目标后持久化；提交后不能直接改，锁后通过新版本或调整保留历史。</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2" w:name="epm_22"/>
      <w:r>
        <w:rPr>
          <w:rFonts w:ascii="Arial" w:hAnsi="Arial" w:eastAsia="宋体"/>
          <w:b w:val="0"/>
          <w:i w:val="0"/>
        </w:rPr>
        <w:t>P14 · 预算编制与分摊</w:t>
      </w:r>
      <w:bookmarkEnd w:id="22"/>
    </w:p>
    <w:p>
      <w:r>
        <w:rPr>
          <w:rFonts w:ascii="Arial" w:hAnsi="Arial" w:eastAsia="宋体"/>
          <w:b w:val="0"/>
          <w:i w:val="0"/>
        </w:rPr>
        <w:t>页面路由：budget-sheet。职责：编制四层收入目标与业务预算明细。</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基础/挑战/管理/董事会层金额、量价、分摊方案、七类明细</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编辑分层；量价；逐月分摊；新增/修改明细；导出</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框架可保留四层技术栏但无真实预算数字。预算人民币万元两位，quantity×price核金额；不会自动生成生产排程、订单或资金指令。</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输入年度目标分摊月合计一致；业务明细按当前版本保存，不假驱动全套财务预算。</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3" w:name="epm_23"/>
      <w:r>
        <w:rPr>
          <w:rFonts w:ascii="Arial" w:hAnsi="Arial" w:eastAsia="宋体"/>
          <w:b w:val="0"/>
          <w:i w:val="0"/>
        </w:rPr>
        <w:t>P15 · 预算调整与滚动预测</w:t>
      </w:r>
      <w:bookmarkEnd w:id="23"/>
    </w:p>
    <w:p>
      <w:r>
        <w:rPr>
          <w:rFonts w:ascii="Arial" w:hAnsi="Arial" w:eastAsia="宋体"/>
          <w:b w:val="0"/>
          <w:i w:val="0"/>
        </w:rPr>
        <w:t>页面路由：budget-adjust。职责：从当前完整预算快照发起调整或预测。</w:t>
      </w:r>
    </w:p>
    <w:tbl>
      <w:tblPr>
        <w:tblStyle w:val="TableGrid"/>
        <w:tblW w:type="auto" w:w="0"/>
        <w:jc w:val="center"/>
        <w:tblLayout w:type="fixed"/>
        <w:tblLook w:firstColumn="1" w:firstRow="1" w:lastColumn="0" w:lastRow="0" w:noHBand="0" w:noVBand="1" w:val="04A0"/>
      </w:tblPr>
      <w:tblGrid>
        <w:gridCol w:w="2505"/>
        <w:gridCol w:w="6901"/>
      </w:tblGrid>
      <w:tr>
        <w:trPr>
          <w:cantSplit/>
          <w:tblHeader w:val="true"/>
        </w:trPr>
        <w:tc>
          <w:tcPr>
            <w:tcW w:type="dxa" w:w="250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69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505"/>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6901"/>
            <w:vAlign w:val="top"/>
            <w:tcMar>
              <w:top w:w="65" w:type="dxa"/>
              <w:bottom w:w="65" w:type="dxa"/>
              <w:left w:w="65" w:type="dxa"/>
              <w:right w:w="65" w:type="dxa"/>
            </w:tcMar>
          </w:tcPr>
          <w:p>
            <w:pPr>
              <w:spacing w:before="30" w:after="30" w:line="252" w:lineRule="auto"/>
            </w:pPr>
            <w:r>
              <w:rPr>
                <w:rFonts w:ascii="Arial" w:hAnsi="Arial" w:eastAsia="宋体"/>
                <w:b w:val="0"/>
                <w:i w:val="0"/>
                <w:sz w:val="19"/>
              </w:rPr>
              <w:t>来源版本/快照、增量、原因、审批状态、新版本</w:t>
            </w:r>
          </w:p>
        </w:tc>
      </w:tr>
      <w:tr>
        <w:trPr>
          <w:cantSplit/>
        </w:trPr>
        <w:tc>
          <w:tcPr>
            <w:tcW w:type="dxa" w:w="25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69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发起调整；查看；批准/退回；创建滚动预测</w:t>
            </w:r>
          </w:p>
        </w:tc>
      </w:tr>
      <w:tr>
        <w:trPr>
          <w:cantSplit/>
        </w:trPr>
        <w:tc>
          <w:tcPr>
            <w:tcW w:type="dxa" w:w="2505"/>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6901"/>
            <w:vAlign w:val="top"/>
            <w:tcMar>
              <w:top w:w="65" w:type="dxa"/>
              <w:bottom w:w="65" w:type="dxa"/>
              <w:left w:w="65" w:type="dxa"/>
              <w:right w:w="65" w:type="dxa"/>
            </w:tcMar>
          </w:tcPr>
          <w:p>
            <w:pPr>
              <w:spacing w:before="30" w:after="30" w:line="252" w:lineRule="auto"/>
            </w:pPr>
            <w:r>
              <w:rPr>
                <w:rFonts w:ascii="Arial" w:hAnsi="Arial" w:eastAsia="宋体"/>
                <w:b w:val="0"/>
                <w:i w:val="0"/>
                <w:sz w:val="19"/>
              </w:rPr>
              <w:t>先有已编制数据；批准从申请时快照生成独立版本，不用审批时切换的新版本替代申请来源。</w:t>
            </w:r>
          </w:p>
        </w:tc>
      </w:tr>
      <w:tr>
        <w:trPr>
          <w:cantSplit/>
        </w:trPr>
        <w:tc>
          <w:tcPr>
            <w:tcW w:type="dxa" w:w="25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69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调整原版本金额及状态保留，重复审批拒绝；预测是独立情景而非自动预测真实订单。</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4" w:name="epm_24"/>
      <w:r>
        <w:rPr>
          <w:rFonts w:ascii="Arial" w:hAnsi="Arial" w:eastAsia="宋体"/>
          <w:b w:val="0"/>
          <w:i w:val="0"/>
        </w:rPr>
        <w:t>P16 · 版本与多情景</w:t>
      </w:r>
      <w:bookmarkEnd w:id="24"/>
    </w:p>
    <w:p>
      <w:r>
        <w:rPr>
          <w:rFonts w:ascii="Arial" w:hAnsi="Arial" w:eastAsia="宋体"/>
          <w:b w:val="0"/>
          <w:i w:val="0"/>
        </w:rPr>
        <w:t>页面路由：budget-version。职责：管理预算完整版本复制、切换和收入目标比较。</w:t>
      </w:r>
    </w:p>
    <w:tbl>
      <w:tblPr>
        <w:tblStyle w:val="TableGrid"/>
        <w:tblW w:type="auto" w:w="0"/>
        <w:jc w:val="center"/>
        <w:tblLayout w:type="fixed"/>
        <w:tblLook w:firstColumn="1" w:firstRow="1" w:lastColumn="0" w:lastRow="0" w:noHBand="0" w:noVBand="1" w:val="04A0"/>
      </w:tblPr>
      <w:tblGrid>
        <w:gridCol w:w="2426"/>
        <w:gridCol w:w="6980"/>
      </w:tblGrid>
      <w:tr>
        <w:trPr>
          <w:cantSplit/>
          <w:tblHeader w:val="true"/>
        </w:trPr>
        <w:tc>
          <w:tcPr>
            <w:tcW w:type="dxa" w:w="24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69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6980"/>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版本名、情景、分层、分摊、量价、业务明细、状态</w:t>
            </w:r>
          </w:p>
        </w:tc>
      </w:tr>
      <w:tr>
        <w:trPr>
          <w:cantSplit/>
        </w:trPr>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69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复制；切换；比较</w:t>
            </w:r>
          </w:p>
        </w:tc>
      </w:tr>
      <w:tr>
        <w:trPr>
          <w:cantSplit/>
        </w:trPr>
        <w:tc>
          <w:tcPr>
            <w:tcW w:type="dxa" w:w="242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6980"/>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版本名唯一；复制带完整业务明细，原审批/锁状态不被重置。空框架不显示虚构V1/V2金样。</w:t>
            </w:r>
          </w:p>
        </w:tc>
      </w:tr>
      <w:tr>
        <w:trPr>
          <w:cantSplit/>
        </w:trPr>
        <w:tc>
          <w:tcPr>
            <w:tcW w:type="dxa" w:w="24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69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切换后页面与保存均对所选版本，重启保持；比较明确指标范围。</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5" w:name="epm_25"/>
      <w:r>
        <w:rPr>
          <w:rFonts w:ascii="Arial" w:hAnsi="Arial" w:eastAsia="宋体"/>
          <w:b w:val="0"/>
          <w:i w:val="0"/>
        </w:rPr>
        <w:t>P17 · 经营差异与钻取</w:t>
      </w:r>
      <w:bookmarkEnd w:id="25"/>
    </w:p>
    <w:p>
      <w:r>
        <w:rPr>
          <w:rFonts w:ascii="Arial" w:hAnsi="Arial" w:eastAsia="宋体"/>
          <w:b w:val="0"/>
          <w:i w:val="0"/>
        </w:rPr>
        <w:t>页面路由：analysis。职责：分析已保存实际和已编制可比预算。</w:t>
      </w:r>
    </w:p>
    <w:tbl>
      <w:tblPr>
        <w:tblStyle w:val="TableGrid"/>
        <w:tblW w:type="auto" w:w="0"/>
        <w:jc w:val="center"/>
        <w:tblLayout w:type="fixed"/>
        <w:tblLook w:firstColumn="1" w:firstRow="1" w:lastColumn="0" w:lastRow="0" w:noHBand="0" w:noVBand="1" w:val="04A0"/>
      </w:tblPr>
      <w:tblGrid>
        <w:gridCol w:w="2308"/>
        <w:gridCol w:w="7098"/>
      </w:tblGrid>
      <w:tr>
        <w:trPr>
          <w:cantSplit/>
          <w:tblHeader w:val="true"/>
        </w:trPr>
        <w:tc>
          <w:tcPr>
            <w:tcW w:type="dxa" w:w="23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0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308"/>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098"/>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实际来源版本、预算版本、差额/差额率、法人贡献、经营说明</w:t>
            </w:r>
          </w:p>
        </w:tc>
      </w:tr>
      <w:tr>
        <w:trPr>
          <w:cantSplit/>
        </w:trPr>
        <w:tc>
          <w:tcPr>
            <w:tcW w:type="dxa" w:w="23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按范围切换；钻取源/结果；保存经营说明；导出</w:t>
            </w:r>
          </w:p>
        </w:tc>
      </w:tr>
      <w:tr>
        <w:trPr>
          <w:cantSplit/>
        </w:trPr>
        <w:tc>
          <w:tcPr>
            <w:tcW w:type="dxa" w:w="2308"/>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098"/>
            <w:vAlign w:val="top"/>
            <w:tcMar>
              <w:top w:w="65" w:type="dxa"/>
              <w:bottom w:w="65" w:type="dxa"/>
              <w:left w:w="65" w:type="dxa"/>
              <w:right w:w="65" w:type="dxa"/>
            </w:tcMar>
          </w:tcPr>
          <w:p>
            <w:pPr>
              <w:spacing w:before="30" w:after="30" w:line="252" w:lineRule="auto"/>
            </w:pPr>
            <w:r>
              <w:rPr>
                <w:rFonts w:ascii="Arial" w:hAnsi="Arial" w:eastAsia="宋体"/>
                <w:b w:val="0"/>
                <w:i w:val="0"/>
                <w:sz w:val="19"/>
              </w:rPr>
              <w:t>只有同范围同币种数据才比较；暂无结果/预算不算差异率。法人贡献为抵销前，不能当已抵销合并结果求和。</w:t>
            </w:r>
          </w:p>
        </w:tc>
      </w:tr>
      <w:tr>
        <w:trPr>
          <w:cantSplit/>
        </w:trPr>
        <w:tc>
          <w:tcPr>
            <w:tcW w:type="dxa" w:w="23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变更上下文同步金额/单位/版本，零分母不显示虚构百分比。</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6" w:name="epm_26"/>
      <w:r>
        <w:rPr>
          <w:rFonts w:ascii="Arial" w:hAnsi="Arial" w:eastAsia="宋体"/>
          <w:b w:val="0"/>
          <w:i w:val="0"/>
        </w:rPr>
        <w:t>P18 · 管理报表中心</w:t>
      </w:r>
      <w:bookmarkEnd w:id="26"/>
    </w:p>
    <w:p>
      <w:r>
        <w:rPr>
          <w:rFonts w:ascii="Arial" w:hAnsi="Arial" w:eastAsia="宋体"/>
          <w:b w:val="0"/>
          <w:i w:val="0"/>
        </w:rPr>
        <w:t>页面路由：reports。职责：提供当前合并报表、证据和源报送入口。</w:t>
      </w:r>
    </w:p>
    <w:tbl>
      <w:tblPr>
        <w:tblStyle w:val="TableGrid"/>
        <w:tblW w:type="auto" w:w="0"/>
        <w:jc w:val="center"/>
        <w:tblLayout w:type="fixed"/>
        <w:tblLook w:firstColumn="1" w:firstRow="1" w:lastColumn="0" w:lastRow="0" w:noHBand="0" w:noVBand="1" w:val="04A0"/>
      </w:tblPr>
      <w:tblGrid>
        <w:gridCol w:w="2308"/>
        <w:gridCol w:w="7098"/>
      </w:tblGrid>
      <w:tr>
        <w:trPr>
          <w:cantSplit/>
          <w:tblHeader w:val="true"/>
        </w:trPr>
        <w:tc>
          <w:tcPr>
            <w:tcW w:type="dxa" w:w="23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09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308"/>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098"/>
            <w:vAlign w:val="top"/>
            <w:tcMar>
              <w:top w:w="65" w:type="dxa"/>
              <w:bottom w:w="65" w:type="dxa"/>
              <w:left w:w="65" w:type="dxa"/>
              <w:right w:w="65" w:type="dxa"/>
            </w:tcMar>
          </w:tcPr>
          <w:p>
            <w:pPr>
              <w:spacing w:before="30" w:after="30" w:line="252" w:lineRule="auto"/>
            </w:pPr>
            <w:r>
              <w:rPr>
                <w:rFonts w:ascii="Arial" w:hAnsi="Arial" w:eastAsia="宋体"/>
                <w:b w:val="0"/>
                <w:i w:val="0"/>
                <w:sz w:val="19"/>
              </w:rPr>
              <w:t>报表种类、结果状态、版本、期间、来源及文件</w:t>
            </w:r>
          </w:p>
        </w:tc>
      </w:tr>
      <w:tr>
        <w:trPr>
          <w:cantSplit/>
        </w:trPr>
        <w:tc>
          <w:tcPr>
            <w:tcW w:type="dxa" w:w="23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打开三表；导出结果证据；进入来源</w:t>
            </w:r>
          </w:p>
        </w:tc>
      </w:tr>
      <w:tr>
        <w:trPr>
          <w:cantSplit/>
        </w:trPr>
        <w:tc>
          <w:tcPr>
            <w:tcW w:type="dxa" w:w="2308"/>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098"/>
            <w:vAlign w:val="top"/>
            <w:tcMar>
              <w:top w:w="65" w:type="dxa"/>
              <w:bottom w:w="65" w:type="dxa"/>
              <w:left w:w="65" w:type="dxa"/>
              <w:right w:w="65" w:type="dxa"/>
            </w:tcMar>
          </w:tcPr>
          <w:p>
            <w:pPr>
              <w:spacing w:before="30" w:after="30" w:line="252" w:lineRule="auto"/>
            </w:pPr>
            <w:r>
              <w:rPr>
                <w:rFonts w:ascii="Arial" w:hAnsi="Arial" w:eastAsia="宋体"/>
                <w:b w:val="0"/>
                <w:i w:val="0"/>
                <w:sz w:val="19"/>
              </w:rPr>
              <w:t>导出包含范围/币种/版本，历史数据来自指定快照。不存在结果时提示先完成配置与合并，不能导出假报表。</w:t>
            </w:r>
          </w:p>
        </w:tc>
      </w:tr>
      <w:tr>
        <w:trPr>
          <w:cantSplit/>
        </w:trPr>
        <w:tc>
          <w:tcPr>
            <w:tcW w:type="dxa" w:w="23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09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用户可从管理报表回到原法人源或凭证证据。</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7" w:name="epm_27"/>
      <w:r>
        <w:rPr>
          <w:rFonts w:ascii="Arial" w:hAnsi="Arial" w:eastAsia="宋体"/>
          <w:b w:val="0"/>
          <w:i w:val="0"/>
        </w:rPr>
        <w:t>P19 · 组织权限</w:t>
      </w:r>
      <w:bookmarkEnd w:id="27"/>
    </w:p>
    <w:p>
      <w:r>
        <w:rPr>
          <w:rFonts w:ascii="Arial" w:hAnsi="Arial" w:eastAsia="宋体"/>
          <w:b w:val="0"/>
          <w:i w:val="0"/>
        </w:rPr>
        <w:t>页面路由：permissions。职责：展示本机演示角色及可操作范围。</w:t>
      </w:r>
    </w:p>
    <w:tbl>
      <w:tblPr>
        <w:tblStyle w:val="TableGrid"/>
        <w:tblW w:type="auto" w:w="0"/>
        <w:jc w:val="center"/>
        <w:tblLayout w:type="fixed"/>
        <w:tblLook w:firstColumn="1" w:firstRow="1" w:lastColumn="0" w:lastRow="0" w:noHBand="0" w:noVBand="1" w:val="04A0"/>
      </w:tblPr>
      <w:tblGrid>
        <w:gridCol w:w="2224"/>
        <w:gridCol w:w="7182"/>
      </w:tblGrid>
      <w:tr>
        <w:trPr>
          <w:cantSplit/>
          <w:tblHeader w:val="true"/>
        </w:trPr>
        <w:tc>
          <w:tcPr>
            <w:tcW w:type="dxa" w:w="22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1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182"/>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集团财务负责人、法人会计、审计只读，动作矩阵</w:t>
            </w:r>
          </w:p>
        </w:tc>
      </w:tr>
      <w:tr>
        <w:trPr>
          <w:cantSplit/>
        </w:trPr>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1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切换演示角色；查看职责</w:t>
            </w:r>
          </w:p>
        </w:tc>
      </w:tr>
      <w:tr>
        <w:trPr>
          <w:cantSplit/>
        </w:trPr>
        <w:tc>
          <w:tcPr>
            <w:tcW w:type="dxa" w:w="2224"/>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182"/>
            <w:vAlign w:val="top"/>
            <w:tcMar>
              <w:top w:w="65" w:type="dxa"/>
              <w:bottom w:w="65" w:type="dxa"/>
              <w:left w:w="65" w:type="dxa"/>
              <w:right w:w="65" w:type="dxa"/>
            </w:tcMar>
          </w:tcPr>
          <w:p>
            <w:pPr>
              <w:spacing w:before="30" w:after="30" w:line="252" w:lineRule="auto"/>
            </w:pPr>
            <w:r>
              <w:rPr>
                <w:rFonts w:ascii="Arial" w:hAnsi="Arial" w:eastAsia="宋体"/>
                <w:b w:val="0"/>
                <w:i w:val="0"/>
                <w:sz w:val="19"/>
              </w:rPr>
              <w:t>这是本机流程体验，不是企业生产登录/多租户隔离。只读直接POST也403；负责人审批/配置由服务端强校验。</w:t>
            </w:r>
          </w:p>
        </w:tc>
      </w:tr>
      <w:tr>
        <w:trPr>
          <w:cantSplit/>
        </w:trPr>
        <w:tc>
          <w:tcPr>
            <w:tcW w:type="dxa" w:w="22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1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会计能导凭证但不能审批抵销/签核等负责人动作，不能靠前端隐藏替代API权限。</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8" w:name="epm_28"/>
      <w:r>
        <w:rPr>
          <w:rFonts w:ascii="Arial" w:hAnsi="Arial" w:eastAsia="宋体"/>
          <w:b w:val="0"/>
          <w:i w:val="0"/>
        </w:rPr>
        <w:t>P20 · 审计轨迹</w:t>
      </w:r>
      <w:bookmarkEnd w:id="28"/>
    </w:p>
    <w:p>
      <w:r>
        <w:rPr>
          <w:rFonts w:ascii="Arial" w:hAnsi="Arial" w:eastAsia="宋体"/>
          <w:b w:val="0"/>
          <w:i w:val="0"/>
        </w:rPr>
        <w:t>页面路由：audit。职责：记录真实成功事务与版本。</w:t>
      </w:r>
    </w:p>
    <w:tbl>
      <w:tblPr>
        <w:tblStyle w:val="TableGrid"/>
        <w:tblW w:type="auto" w:w="0"/>
        <w:jc w:val="center"/>
        <w:tblLayout w:type="fixed"/>
        <w:tblLook w:firstColumn="1" w:firstRow="1" w:lastColumn="0" w:lastRow="0" w:noHBand="0" w:noVBand="1" w:val="04A0"/>
      </w:tblPr>
      <w:tblGrid>
        <w:gridCol w:w="2244"/>
        <w:gridCol w:w="7162"/>
      </w:tblGrid>
      <w:tr>
        <w:trPr>
          <w:cantSplit/>
          <w:tblHeader w:val="true"/>
        </w:trPr>
        <w:tc>
          <w:tcPr>
            <w:tcW w:type="dxa" w:w="22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1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244"/>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162"/>
            <w:vAlign w:val="top"/>
            <w:tcMar>
              <w:top w:w="65" w:type="dxa"/>
              <w:bottom w:w="65" w:type="dxa"/>
              <w:left w:w="65" w:type="dxa"/>
              <w:right w:w="65" w:type="dxa"/>
            </w:tcMar>
          </w:tcPr>
          <w:p>
            <w:pPr>
              <w:spacing w:before="30" w:after="30" w:line="252" w:lineRule="auto"/>
            </w:pPr>
            <w:r>
              <w:rPr>
                <w:rFonts w:ascii="Arial" w:hAnsi="Arial" w:eastAsia="宋体"/>
                <w:b w:val="0"/>
                <w:i w:val="0"/>
                <w:sz w:val="19"/>
              </w:rPr>
              <w:t>time、role、action、detail、revision及当前会话</w:t>
            </w:r>
          </w:p>
        </w:tc>
      </w:tr>
      <w:tr>
        <w:trPr>
          <w:cantSplit/>
        </w:trPr>
        <w:tc>
          <w:tcPr>
            <w:tcW w:type="dxa" w:w="22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1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筛选；查看；导出</w:t>
            </w:r>
          </w:p>
        </w:tc>
      </w:tr>
      <w:tr>
        <w:trPr>
          <w:cantSplit/>
        </w:trPr>
        <w:tc>
          <w:tcPr>
            <w:tcW w:type="dxa" w:w="2244"/>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162"/>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业务成功增加revision且写audit，错误整批回滚；不把点击按钮当成功记录，不导出启动token。</w:t>
            </w:r>
          </w:p>
        </w:tc>
      </w:tr>
      <w:tr>
        <w:trPr>
          <w:cantSplit/>
        </w:trPr>
        <w:tc>
          <w:tcPr>
            <w:tcW w:type="dxa" w:w="22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1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导入、停批、核对、补注、审批、签核与重开均可查操作摘要。</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29" w:name="epm_29"/>
      <w:r>
        <w:rPr>
          <w:rFonts w:ascii="Arial" w:hAnsi="Arial" w:eastAsia="宋体"/>
          <w:b w:val="0"/>
          <w:i w:val="0"/>
        </w:rPr>
        <w:t>P21 · 系统配置</w:t>
      </w:r>
      <w:bookmarkEnd w:id="29"/>
    </w:p>
    <w:p>
      <w:r>
        <w:rPr>
          <w:rFonts w:ascii="Arial" w:hAnsi="Arial" w:eastAsia="宋体"/>
          <w:b w:val="0"/>
          <w:i w:val="0"/>
        </w:rPr>
        <w:t>页面路由：settings。职责：维护抬头、固定年度/语言及本机运行工具。</w:t>
      </w:r>
    </w:p>
    <w:tbl>
      <w:tblPr>
        <w:tblStyle w:val="TableGrid"/>
        <w:tblW w:type="auto" w:w="0"/>
        <w:jc w:val="center"/>
        <w:tblLayout w:type="fixed"/>
        <w:tblLook w:firstColumn="1" w:firstRow="1" w:lastColumn="0" w:lastRow="0" w:noHBand="0" w:noVBand="1" w:val="04A0"/>
      </w:tblPr>
      <w:tblGrid>
        <w:gridCol w:w="2265"/>
        <w:gridCol w:w="7141"/>
      </w:tblGrid>
      <w:tr>
        <w:trPr>
          <w:cantSplit/>
          <w:tblHeader w:val="true"/>
        </w:trPr>
        <w:tc>
          <w:tcPr>
            <w:tcW w:type="dxa" w:w="22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1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141"/>
            <w:vAlign w:val="top"/>
            <w:tcMar>
              <w:top w:w="65" w:type="dxa"/>
              <w:bottom w:w="65" w:type="dxa"/>
              <w:left w:w="65" w:type="dxa"/>
              <w:right w:w="65" w:type="dxa"/>
            </w:tcMar>
          </w:tcPr>
          <w:p>
            <w:pPr>
              <w:spacing w:before="30" w:after="30" w:line="252" w:lineRule="auto"/>
            </w:pPr>
            <w:r>
              <w:rPr>
                <w:rFonts w:ascii="Arial" w:hAnsi="Arial" w:eastAsia="宋体"/>
                <w:b w:val="0"/>
                <w:i w:val="0"/>
                <w:sz w:val="19"/>
              </w:rPr>
              <w:t>companyName、fiscalYear2026、简体中文、金额口径、实际数据目录</w:t>
            </w:r>
          </w:p>
        </w:tc>
      </w:tr>
      <w:tr>
        <w:trPr>
          <w:cantSplit/>
        </w:trPr>
        <w:tc>
          <w:tcPr>
            <w:tcW w:type="dxa" w:w="2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1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保存配置；本机环境；打开数据位置；安全退出</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141"/>
            <w:vAlign w:val="top"/>
            <w:tcMar>
              <w:top w:w="65" w:type="dxa"/>
              <w:bottom w:w="65" w:type="dxa"/>
              <w:left w:w="65" w:type="dxa"/>
              <w:right w:w="65" w:type="dxa"/>
            </w:tcMar>
          </w:tcPr>
          <w:p>
            <w:pPr>
              <w:spacing w:before="30" w:after="30" w:line="252" w:lineRule="auto"/>
            </w:pPr>
            <w:r>
              <w:rPr>
                <w:rFonts w:ascii="Arial" w:hAnsi="Arial" w:eastAsia="宋体"/>
                <w:b w:val="0"/>
                <w:i w:val="0"/>
                <w:sz w:val="19"/>
              </w:rPr>
              <w:t>修改抬头不等于创建集团法人；本版年度固定2026。关闭浏览器不停止服务，备份前停止再复制整个数据目录。</w:t>
            </w:r>
          </w:p>
        </w:tc>
      </w:tr>
      <w:tr>
        <w:trPr>
          <w:cantSplit/>
        </w:trPr>
        <w:tc>
          <w:tcPr>
            <w:tcW w:type="dxa" w:w="2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1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默认新目录与旧产品隔离；旧或未知库拒改，重启持久化已配置数据。</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30" w:name="epm_30"/>
      <w:r>
        <w:rPr>
          <w:rFonts w:ascii="Arial" w:hAnsi="Arial" w:eastAsia="宋体"/>
          <w:b w:val="0"/>
          <w:i w:val="0"/>
        </w:rPr>
        <w:t>P22 · ERP凭证与期初</w:t>
      </w:r>
      <w:bookmarkEnd w:id="30"/>
    </w:p>
    <w:p>
      <w:r>
        <w:rPr>
          <w:rFonts w:ascii="Arial" w:hAnsi="Arial" w:eastAsia="宋体"/>
          <w:b w:val="0"/>
          <w:i w:val="0"/>
        </w:rPr>
        <w:t>页面路由：erp-import。职责：从空维护NC解释和导入法人科目/期初/凭证/科目余额核对文件。</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bookMappings、counterpartyMappings、aux列/ref列、mappings/openings/vouchers/balanceReports/batches</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维护NC适配；导科目；导年初余额；导NC或通用凭证；导余额表；批次原行/停用</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原NC48列全部留存，仅本币借贷入账。科目余额表只是独立核对不追加账务；NC与通用对同业务二选一；错误整批回滚。</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无默认样例载入；用户明确配置后，输入可追批次和源行；余额更新旧检查失效。</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31" w:name="epm_31"/>
      <w:r>
        <w:rPr>
          <w:rFonts w:ascii="Arial" w:hAnsi="Arial" w:eastAsia="宋体"/>
          <w:b w:val="0"/>
          <w:i w:val="0"/>
        </w:rPr>
        <w:t>P23 · 法人凭证与三表</w:t>
      </w:r>
      <w:bookmarkEnd w:id="31"/>
    </w:p>
    <w:p>
      <w:r>
        <w:rPr>
          <w:rFonts w:ascii="Arial" w:hAnsi="Arial" w:eastAsia="宋体"/>
          <w:b w:val="0"/>
          <w:i w:val="0"/>
        </w:rPr>
        <w:t>页面路由：erp-reports。职责：从期初加凭证生成单体试算和三表，完成余额核对及字段追溯。</w:t>
      </w:r>
    </w:p>
    <w:tbl>
      <w:tblPr>
        <w:tblStyle w:val="TableGrid"/>
        <w:tblW w:type="auto" w:w="0"/>
        <w:jc w:val="center"/>
        <w:tblLayout w:type="fixed"/>
        <w:tblLook w:firstColumn="1" w:firstRow="1" w:lastColumn="0" w:lastRow="0" w:noHBand="0" w:noVBand="1" w:val="04A0"/>
      </w:tblPr>
      <w:tblGrid>
        <w:gridCol w:w="2166"/>
        <w:gridCol w:w="7240"/>
      </w:tblGrid>
      <w:tr>
        <w:trPr>
          <w:cantSplit/>
          <w:tblHeader w:val="true"/>
        </w:trPr>
        <w:tc>
          <w:tcPr>
            <w:tcW w:type="dxa" w:w="21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2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166"/>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240"/>
            <w:vAlign w:val="top"/>
            <w:tcMar>
              <w:top w:w="65" w:type="dxa"/>
              <w:bottom w:w="65" w:type="dxa"/>
              <w:left w:w="65" w:type="dxa"/>
              <w:right w:w="65" w:type="dxa"/>
            </w:tcMar>
          </w:tcPr>
          <w:p>
            <w:pPr>
              <w:spacing w:before="30" w:after="30" w:line="252" w:lineRule="auto"/>
            </w:pPr>
            <w:r>
              <w:rPr>
                <w:rFonts w:ascii="Arial" w:hAnsi="Arial" w:eastAsia="宋体"/>
                <w:b w:val="0"/>
                <w:i w:val="0"/>
                <w:sz w:val="19"/>
              </w:rPr>
              <w:t>trialBalance、source、ledgerTrace、ledgerSnapshot、余额核对状态/差异</w:t>
            </w:r>
          </w:p>
        </w:tc>
      </w:tr>
      <w:tr>
        <w:trPr>
          <w:cantSplit/>
        </w:trPr>
        <w:tc>
          <w:tcPr>
            <w:tcW w:type="dxa" w:w="21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2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生成当前/全部已导入法人；余额核对；查看科目/字段凭证；补现金类别</w:t>
            </w:r>
          </w:p>
        </w:tc>
      </w:tr>
      <w:tr>
        <w:trPr>
          <w:cantSplit/>
        </w:trPr>
        <w:tc>
          <w:tcPr>
            <w:tcW w:type="dxa" w:w="2166"/>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240"/>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不能用余额表替代凭证造发生额；现金混合缺分类拒绝。对账含原账损益结转，管理PL按受限规则排除后另有证据。</w:t>
            </w:r>
          </w:p>
        </w:tc>
      </w:tr>
      <w:tr>
        <w:trPr>
          <w:cantSplit/>
        </w:trPr>
        <w:tc>
          <w:tcPr>
            <w:tcW w:type="dxa" w:w="21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2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科目余额差连导入行与相关原凭证；通过后合并前置认可当前账务版本。</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2"/>
      </w:pPr>
      <w:bookmarkStart w:id="32" w:name="epm_32"/>
      <w:r>
        <w:rPr>
          <w:rFonts w:ascii="Arial" w:hAnsi="Arial" w:eastAsia="宋体"/>
          <w:b w:val="0"/>
          <w:i w:val="0"/>
        </w:rPr>
        <w:t>P24 · 内部交易匹配与差异</w:t>
      </w:r>
      <w:bookmarkEnd w:id="32"/>
    </w:p>
    <w:p>
      <w:r>
        <w:rPr>
          <w:rFonts w:ascii="Arial" w:hAnsi="Arial" w:eastAsia="宋体"/>
          <w:b w:val="0"/>
          <w:i w:val="0"/>
        </w:rPr>
        <w:t>页面路由：erp-matching。职责：逐原凭证匹配本层IC并处理可追溯差异。</w:t>
      </w:r>
    </w:p>
    <w:tbl>
      <w:tblPr>
        <w:tblStyle w:val="TableGrid"/>
        <w:tblW w:type="auto" w:w="0"/>
        <w:jc w:val="center"/>
        <w:tblLayout w:type="fixed"/>
        <w:tblLook w:firstColumn="1" w:firstRow="1" w:lastColumn="0" w:lastRow="0" w:noHBand="0" w:noVBand="1" w:val="04A0"/>
      </w:tblPr>
      <w:tblGrid>
        <w:gridCol w:w="2047"/>
        <w:gridCol w:w="7359"/>
      </w:tblGrid>
      <w:tr>
        <w:trPr>
          <w:cantSplit/>
          <w:tblHeader w:val="true"/>
        </w:trPr>
        <w:tc>
          <w:tcPr>
            <w:tcW w:type="dxa" w:w="20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73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当前要求</w:t>
            </w:r>
          </w:p>
        </w:tc>
      </w:tr>
      <w:tr>
        <w:trPr>
          <w:cantSplit/>
        </w:trPr>
        <w:tc>
          <w:tcPr>
            <w:tcW w:type="dxa" w:w="2047"/>
            <w:vAlign w:val="top"/>
            <w:tcMar>
              <w:top w:w="65" w:type="dxa"/>
              <w:bottom w:w="65" w:type="dxa"/>
              <w:left w:w="65" w:type="dxa"/>
              <w:right w:w="65" w:type="dxa"/>
            </w:tcMar>
          </w:tcPr>
          <w:p>
            <w:pPr>
              <w:spacing w:before="30" w:after="30" w:line="252" w:lineRule="auto"/>
            </w:pPr>
            <w:r>
              <w:rPr>
                <w:rFonts w:ascii="Arial" w:hAnsi="Arial" w:eastAsia="宋体"/>
                <w:b w:val="0"/>
                <w:i w:val="0"/>
                <w:sz w:val="19"/>
              </w:rPr>
              <w:t>主要字段</w:t>
            </w:r>
          </w:p>
        </w:tc>
        <w:tc>
          <w:tcPr>
            <w:tcW w:type="dxa" w:w="7359"/>
            <w:vAlign w:val="top"/>
            <w:tcMar>
              <w:top w:w="65" w:type="dxa"/>
              <w:bottom w:w="65" w:type="dxa"/>
              <w:left w:w="65" w:type="dxa"/>
              <w:right w:w="65" w:type="dxa"/>
            </w:tcMar>
          </w:tcPr>
          <w:p>
            <w:pPr>
              <w:spacing w:before="30" w:after="30" w:line="252" w:lineRule="auto"/>
            </w:pPr>
            <w:r>
              <w:rPr>
                <w:rFonts w:ascii="Arial" w:hAnsi="Arial" w:eastAsia="宋体"/>
                <w:b w:val="0"/>
                <w:i w:val="0"/>
                <w:sz w:val="19"/>
              </w:rPr>
              <w:t>scope/month、matches/differences、双方/ref/类型/币种/金额、sourceRefs、有效版本</w:t>
            </w:r>
          </w:p>
        </w:tc>
      </w:tr>
      <w:tr>
        <w:trPr>
          <w:cantSplit/>
        </w:trPr>
        <w:tc>
          <w:tcPr>
            <w:tcW w:type="dxa" w:w="20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按钮与交互</w:t>
            </w:r>
          </w:p>
        </w:tc>
        <w:tc>
          <w:tcPr>
            <w:tcW w:type="dxa" w:w="73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扫描；追原凭证；规范化补注；准确项生成草稿；负责人批审</w:t>
            </w:r>
          </w:p>
        </w:tc>
      </w:tr>
      <w:tr>
        <w:trPr>
          <w:cantSplit/>
        </w:trPr>
        <w:tc>
          <w:tcPr>
            <w:tcW w:type="dxa" w:w="2047"/>
            <w:vAlign w:val="top"/>
            <w:tcMar>
              <w:top w:w="65" w:type="dxa"/>
              <w:bottom w:w="65" w:type="dxa"/>
              <w:left w:w="65" w:type="dxa"/>
              <w:right w:w="65" w:type="dxa"/>
            </w:tcMar>
          </w:tcPr>
          <w:p>
            <w:pPr>
              <w:spacing w:before="30" w:after="30" w:line="252" w:lineRule="auto"/>
            </w:pPr>
            <w:r>
              <w:rPr>
                <w:rFonts w:ascii="Arial" w:hAnsi="Arial" w:eastAsia="宋体"/>
                <w:b w:val="0"/>
                <w:i w:val="0"/>
                <w:sz w:val="19"/>
              </w:rPr>
              <w:t>前置、状态与校验</w:t>
            </w:r>
          </w:p>
        </w:tc>
        <w:tc>
          <w:tcPr>
            <w:tcW w:type="dxa" w:w="7359"/>
            <w:vAlign w:val="top"/>
            <w:tcMar>
              <w:top w:w="65" w:type="dxa"/>
              <w:bottom w:w="65" w:type="dxa"/>
              <w:left w:w="65" w:type="dxa"/>
              <w:right w:w="65" w:type="dxa"/>
            </w:tcMar>
          </w:tcPr>
          <w:p>
            <w:pPr>
              <w:spacing w:before="30" w:after="30" w:line="252" w:lineRule="auto"/>
            </w:pPr>
            <w:r>
              <w:rPr>
                <w:rFonts w:ascii="Arial" w:hAnsi="Arial" w:eastAsia="宋体"/>
                <w:b w:val="0"/>
                <w:i w:val="0"/>
                <w:sz w:val="19"/>
              </w:rPr>
              <w:t>缺号/客商/单边/金额或币种不符不自动补差。补注仅识别/共同号/现金类别，原金额需ERP更正停批重导。</w:t>
            </w:r>
          </w:p>
        </w:tc>
      </w:tr>
      <w:tr>
        <w:trPr>
          <w:cantSplit/>
        </w:trPr>
        <w:tc>
          <w:tcPr>
            <w:tcW w:type="dxa" w:w="20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产出与验收</w:t>
            </w:r>
          </w:p>
        </w:tc>
        <w:tc>
          <w:tcPr>
            <w:tcW w:type="dxa" w:w="73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同ID重导时按batchId/sourceRow辨旧新；旧批和历史快照只读，当前有效行可修正识别。</w:t>
            </w:r>
          </w:p>
        </w:tc>
      </w:tr>
    </w:tbl>
    <w:p>
      <w:pPr>
        <w:spacing w:after="40"/>
      </w:pPr>
    </w:p>
    <w:p>
      <w:r>
        <w:rPr>
          <w:rFonts w:ascii="Arial" w:hAnsi="Arial" w:eastAsia="宋体"/>
          <w:b w:val="0"/>
          <w:i w:val="0"/>
        </w:rPr>
        <w:t>保存反馈必须来自真实事务；该页面涉及金额时同时标识期间、范围、币种、单位和版本。只读角色只有查看/导出能力。失败保留实际中文原因，不将空框架或预览冒充已入账/已审批/已签核。</w:t>
      </w:r>
    </w:p>
    <w:p>
      <w:pPr>
        <w:pStyle w:val="Heading1"/>
      </w:pPr>
      <w:bookmarkStart w:id="33" w:name="epm_33"/>
      <w:r>
        <w:rPr>
          <w:rFonts w:ascii="Arial" w:hAnsi="Arial" w:eastAsia="宋体"/>
          <w:b w:val="0"/>
          <w:i w:val="0"/>
        </w:rPr>
        <w:t>三、端到端核心业务规则</w:t>
      </w:r>
      <w:bookmarkEnd w:id="33"/>
    </w:p>
    <w:p>
      <w:pPr>
        <w:pStyle w:val="Heading2"/>
      </w:pPr>
      <w:bookmarkStart w:id="34" w:name="epm_34"/>
      <w:r>
        <w:rPr>
          <w:rFonts w:ascii="Arial" w:hAnsi="Arial" w:eastAsia="宋体"/>
          <w:b w:val="0"/>
          <w:i w:val="0"/>
        </w:rPr>
        <w:t>3.1 年初、凭证与科目余额不能重复计量</w:t>
      </w:r>
      <w:bookmarkEnd w:id="34"/>
    </w:p>
    <w:p>
      <w:r>
        <w:rPr>
          <w:rFonts w:ascii="Arial" w:hAnsi="Arial" w:eastAsia="宋体"/>
          <w:b w:val="0"/>
          <w:i w:val="0"/>
        </w:rPr>
        <w:t>年初余额作为2026年1月1日资产负债基础；凭证作为1月至当前期的已记账业务发生；外部科目余额表提供期初/本年累计借贷/期末借贷作为独立核对对象。导入科目余额不会新增另一份发生额或改写原账。凭证与余额若相差，先定位原凭证/漏批/错科目/币种/期间/单位，不能倒挤。</w:t>
      </w:r>
    </w:p>
    <w:p>
      <w:r>
        <w:rPr>
          <w:rFonts w:ascii="Arial" w:hAnsi="Arial" w:eastAsia="宋体"/>
          <w:b w:val="0"/>
          <w:i w:val="0"/>
        </w:rPr>
        <w:t>余额表10列固定：法人编码,期间,科目编码,币种,年初借方余额,年初贷方余额,本年累计借方发生额,本年累计贷方发生额,期末借方余额,期末贷方余额。金额元两位。核对范围是本法人1月至所选期原账试算，包含已导损益结转原账；管理报表口径排除的受限结转另留原行和排除原因，不混成两种余额口径。</w:t>
      </w:r>
    </w:p>
    <w:p>
      <w:r>
        <w:rPr>
          <w:rFonts w:ascii="Arial" w:hAnsi="Arial" w:eastAsia="宋体"/>
          <w:b w:val="0"/>
          <w:i w:val="0"/>
        </w:rPr>
        <w:t>已启用ERP账务的法人必须有当前期间、当前账务指纹的余额核对通过记录才能正式合并。漏掉非零/有发生科目不可算完整；完全零且无发生的未报科目不假报差。已报零行仍可核对。核对差异需给外部源file/batch/sourceRow和相关openingRefs/voucherRefs，不虚构某张未导凭证。</w:t>
      </w:r>
    </w:p>
    <w:p>
      <w:pPr>
        <w:pStyle w:val="Heading2"/>
      </w:pPr>
      <w:bookmarkStart w:id="35" w:name="epm_35"/>
      <w:r>
        <w:rPr>
          <w:rFonts w:ascii="Arial" w:hAnsi="Arial" w:eastAsia="宋体"/>
          <w:b w:val="0"/>
          <w:i w:val="0"/>
        </w:rPr>
        <w:t>3.2 NC48列与辅助识别</w:t>
      </w:r>
      <w:bookmarkEnd w:id="35"/>
    </w:p>
    <w:p>
      <w:r>
        <w:rPr>
          <w:rFonts w:ascii="Arial" w:hAnsi="Arial" w:eastAsia="宋体"/>
          <w:b w:val="0"/>
          <w:i w:val="0"/>
        </w:rPr>
        <w:t>首建核算账簿→法人/本位币；辅助列只选择确实代表客商的列，复制完整原值映射内部法人或EXTERNAL。共同号选择结算号或核销号；双方没有可靠共同号时列差异，不能仅凭摘要、金额或各自凭证号强配。跨币种内部匹配不是本轮已验收能力。</w:t>
      </w:r>
    </w:p>
    <w:p>
      <w:r>
        <w:rPr>
          <w:rFonts w:ascii="Arial" w:hAnsi="Arial" w:eastAsia="宋体"/>
          <w:b w:val="0"/>
          <w:i w:val="0"/>
        </w:rPr>
        <w:t>同一凭证内仅有一个明确已解析客商和一个关联号、且没有未映射/冲突时，可向相关原值空的损益/往来行安全承接，保存依据行。多个客商/多个关联号不任取。原始48列不因推导或补注改写。</w:t>
      </w:r>
    </w:p>
    <w:p>
      <w:pPr>
        <w:pStyle w:val="Heading2"/>
      </w:pPr>
      <w:bookmarkStart w:id="36" w:name="epm_36"/>
      <w:r>
        <w:rPr>
          <w:rFonts w:ascii="Arial" w:hAnsi="Arial" w:eastAsia="宋体"/>
          <w:b w:val="0"/>
          <w:i w:val="0"/>
        </w:rPr>
        <w:t>3.3 异常修复、审批与版本</w:t>
      </w:r>
      <w:bookmarkEnd w:id="36"/>
    </w:p>
    <w:p>
      <w:r>
        <w:rPr>
          <w:rFonts w:ascii="Arial" w:hAnsi="Arial" w:eastAsia="宋体"/>
          <w:b w:val="0"/>
          <w:i w:val="0"/>
        </w:rPr>
        <w:t>识别信息缺失：在当前有效原行补客商/共同号/现金类别与原因→重生单体→重新余额核对→重新匹配→重新生成草稿→审批→合并。金额错误：回ERP核对更正→负责人填原因停用错误批→重导完整正确凭证→按同顺序重算。补注API拒金额、科目、日期、rawFields。</w:t>
      </w:r>
    </w:p>
    <w:p>
      <w:r>
        <w:rPr>
          <w:rFonts w:ascii="Arial" w:hAnsi="Arial" w:eastAsia="宋体"/>
          <w:b w:val="0"/>
          <w:i w:val="0"/>
        </w:rPr>
        <w:t>凭证canonical ID在停批重导后可复用；当前明细/补注定位须含batchId/sourceRow，旧批只读，当前有效批可补注。历史结果源、ledgerSnapshot、balanceSnapshots及抵销快照不换成新批。当前差异清单重跑更新，需要当次差异证据时主动导出，不将它宣传为独立永久历史差异库。</w:t>
      </w:r>
    </w:p>
    <w:p>
      <w:pPr>
        <w:pStyle w:val="Heading2"/>
      </w:pPr>
      <w:bookmarkStart w:id="37" w:name="epm_37"/>
      <w:r>
        <w:rPr>
          <w:rFonts w:ascii="Arial" w:hAnsi="Arial" w:eastAsia="宋体"/>
          <w:b w:val="0"/>
          <w:i w:val="0"/>
        </w:rPr>
        <w:t>3.4 现金流与权益限制</w:t>
      </w:r>
      <w:bookmarkEnd w:id="37"/>
    </w:p>
    <w:p>
      <w:r>
        <w:rPr>
          <w:rFonts w:ascii="Arial" w:hAnsi="Arial" w:eastAsia="宋体"/>
          <w:b w:val="0"/>
          <w:i w:val="0"/>
        </w:rPr>
        <w:t>现金行明确经营/投资/筹资类别，或由无歧义对方科目推导；复合混类须明确现金分录，不将一个现金行金额任意分摊到多类。期末现金差额和净利润不是自动倒挤经营现金流的来源。普通资本变动、分红、少数股东、商誉与复杂收购不靠改名或塞CTA绕过。</w:t>
      </w:r>
    </w:p>
    <w:p>
      <w:pPr>
        <w:pStyle w:val="Heading2"/>
      </w:pPr>
      <w:bookmarkStart w:id="38" w:name="epm_38"/>
      <w:r>
        <w:rPr>
          <w:rFonts w:ascii="Arial" w:hAnsi="Arial" w:eastAsia="宋体"/>
          <w:b w:val="0"/>
          <w:i w:val="0"/>
        </w:rPr>
        <w:t>3.5 本版独立从零示例的验收金样</w:t>
      </w:r>
      <w:bookmarkEnd w:id="38"/>
    </w:p>
    <w:p>
      <w:r>
        <w:rPr>
          <w:rFonts w:ascii="Arial" w:hAnsi="Arial" w:eastAsia="宋体"/>
          <w:b w:val="0"/>
          <w:i w:val="0"/>
        </w:rPr>
        <w:t>所有金额和业务均为虚构，默认启动绝不装入本例。资料单独放入交付演示文件，用户自己创建档案并导入。法人ID建议TY、HW、HW_CAT、HW_ELEC；真实三家均由TY100%持有。</w:t>
      </w:r>
    </w:p>
    <w:tbl>
      <w:tblPr>
        <w:tblStyle w:val="TableGrid"/>
        <w:tblW w:type="auto" w:w="0"/>
        <w:jc w:val="center"/>
        <w:tblLayout w:type="fixed"/>
        <w:tblLook w:firstColumn="1" w:firstRow="1" w:lastColumn="0" w:lastRow="0" w:noHBand="0" w:noVBand="1" w:val="04A0"/>
      </w:tblPr>
      <w:tblGrid>
        <w:gridCol w:w="1678"/>
        <w:gridCol w:w="2221"/>
        <w:gridCol w:w="2094"/>
        <w:gridCol w:w="3413"/>
      </w:tblGrid>
      <w:tr>
        <w:trPr>
          <w:cantSplit/>
          <w:tblHeader w:val="true"/>
        </w:trPr>
        <w:tc>
          <w:tcPr>
            <w:tcW w:type="dxa" w:w="16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主体</w:t>
            </w:r>
          </w:p>
        </w:tc>
        <w:tc>
          <w:tcPr>
            <w:tcW w:type="dxa" w:w="22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年初借方/贷方</w:t>
            </w:r>
          </w:p>
        </w:tc>
        <w:tc>
          <w:tcPr>
            <w:tcW w:type="dxa" w:w="20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累计收入/成本/费用</w:t>
            </w:r>
          </w:p>
        </w:tc>
        <w:tc>
          <w:tcPr>
            <w:tcW w:type="dxa" w:w="34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6月末关键余额</w:t>
            </w:r>
          </w:p>
        </w:tc>
      </w:tr>
      <w:tr>
        <w:trPr>
          <w:cantSplit/>
        </w:trPr>
        <w:tc>
          <w:tcPr>
            <w:tcW w:type="dxa" w:w="1678"/>
            <w:vAlign w:val="top"/>
            <w:tcMar>
              <w:top w:w="65" w:type="dxa"/>
              <w:bottom w:w="65" w:type="dxa"/>
              <w:left w:w="65" w:type="dxa"/>
              <w:right w:w="65" w:type="dxa"/>
            </w:tcMar>
          </w:tcPr>
          <w:p>
            <w:pPr>
              <w:spacing w:before="30" w:after="30" w:line="252" w:lineRule="auto"/>
            </w:pPr>
            <w:r>
              <w:rPr>
                <w:rFonts w:ascii="Arial" w:hAnsi="Arial" w:eastAsia="宋体"/>
                <w:b w:val="0"/>
                <w:i w:val="0"/>
                <w:sz w:val="18"/>
              </w:rPr>
              <w:t>TY本部</w:t>
            </w:r>
          </w:p>
        </w:tc>
        <w:tc>
          <w:tcPr>
            <w:tcW w:type="dxa" w:w="2221"/>
            <w:vAlign w:val="top"/>
            <w:tcMar>
              <w:top w:w="65" w:type="dxa"/>
              <w:bottom w:w="65" w:type="dxa"/>
              <w:left w:w="65" w:type="dxa"/>
              <w:right w:w="65" w:type="dxa"/>
            </w:tcMar>
          </w:tcPr>
          <w:p>
            <w:pPr>
              <w:spacing w:before="30" w:after="30" w:line="252" w:lineRule="auto"/>
            </w:pPr>
            <w:r>
              <w:rPr>
                <w:rFonts w:ascii="Arial" w:hAnsi="Arial" w:eastAsia="宋体"/>
                <w:b w:val="0"/>
                <w:i w:val="0"/>
                <w:sz w:val="18"/>
              </w:rPr>
              <w:t>投资200／资本200</w:t>
            </w:r>
          </w:p>
        </w:tc>
        <w:tc>
          <w:tcPr>
            <w:tcW w:type="dxa" w:w="2094"/>
            <w:vAlign w:val="top"/>
            <w:tcMar>
              <w:top w:w="65" w:type="dxa"/>
              <w:bottom w:w="65" w:type="dxa"/>
              <w:left w:w="65" w:type="dxa"/>
              <w:right w:w="65" w:type="dxa"/>
            </w:tcMar>
          </w:tcPr>
          <w:p>
            <w:pPr>
              <w:spacing w:before="30" w:after="30" w:line="252" w:lineRule="auto"/>
            </w:pPr>
            <w:r>
              <w:rPr>
                <w:rFonts w:ascii="Arial" w:hAnsi="Arial" w:eastAsia="宋体"/>
                <w:b w:val="0"/>
                <w:i w:val="0"/>
                <w:sz w:val="18"/>
              </w:rPr>
              <w:t>0／0／0</w:t>
            </w:r>
          </w:p>
        </w:tc>
        <w:tc>
          <w:tcPr>
            <w:tcW w:type="dxa" w:w="3413"/>
            <w:vAlign w:val="top"/>
            <w:tcMar>
              <w:top w:w="65" w:type="dxa"/>
              <w:bottom w:w="65" w:type="dxa"/>
              <w:left w:w="65" w:type="dxa"/>
              <w:right w:w="65" w:type="dxa"/>
            </w:tcMar>
          </w:tcPr>
          <w:p>
            <w:pPr>
              <w:spacing w:before="30" w:after="30" w:line="252" w:lineRule="auto"/>
            </w:pPr>
            <w:r>
              <w:rPr>
                <w:rFonts w:ascii="Arial" w:hAnsi="Arial" w:eastAsia="宋体"/>
                <w:b w:val="0"/>
                <w:i w:val="0"/>
                <w:sz w:val="18"/>
              </w:rPr>
              <w:t>投资200、资本200</w:t>
            </w:r>
          </w:p>
        </w:tc>
      </w:tr>
      <w:tr>
        <w:trPr>
          <w:cantSplit/>
        </w:trPr>
        <w:tc>
          <w:tcPr>
            <w:tcW w:type="dxa" w:w="16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w:t>
            </w:r>
          </w:p>
        </w:tc>
        <w:tc>
          <w:tcPr>
            <w:tcW w:type="dxa" w:w="22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现金100／资本100</w:t>
            </w:r>
          </w:p>
        </w:tc>
        <w:tc>
          <w:tcPr>
            <w:tcW w:type="dxa" w:w="2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600／360／60</w:t>
            </w:r>
          </w:p>
        </w:tc>
        <w:tc>
          <w:tcPr>
            <w:tcW w:type="dxa" w:w="34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现金260、应收20；净利180，资产280</w:t>
            </w:r>
          </w:p>
        </w:tc>
      </w:tr>
      <w:tr>
        <w:trPr>
          <w:cantSplit/>
        </w:trPr>
        <w:tc>
          <w:tcPr>
            <w:tcW w:type="dxa" w:w="1678"/>
            <w:vAlign w:val="top"/>
            <w:tcMar>
              <w:top w:w="65" w:type="dxa"/>
              <w:bottom w:w="65" w:type="dxa"/>
              <w:left w:w="65" w:type="dxa"/>
              <w:right w:w="65" w:type="dxa"/>
            </w:tcMar>
          </w:tcPr>
          <w:p>
            <w:pPr>
              <w:spacing w:before="30" w:after="30" w:line="252" w:lineRule="auto"/>
            </w:pPr>
            <w:r>
              <w:rPr>
                <w:rFonts w:ascii="Arial" w:hAnsi="Arial" w:eastAsia="宋体"/>
                <w:b w:val="0"/>
                <w:i w:val="0"/>
                <w:sz w:val="18"/>
              </w:rPr>
              <w:t>HW_CAT</w:t>
            </w:r>
          </w:p>
        </w:tc>
        <w:tc>
          <w:tcPr>
            <w:tcW w:type="dxa" w:w="2221"/>
            <w:vAlign w:val="top"/>
            <w:tcMar>
              <w:top w:w="65" w:type="dxa"/>
              <w:bottom w:w="65" w:type="dxa"/>
              <w:left w:w="65" w:type="dxa"/>
              <w:right w:w="65" w:type="dxa"/>
            </w:tcMar>
          </w:tcPr>
          <w:p>
            <w:pPr>
              <w:spacing w:before="30" w:after="30" w:line="252" w:lineRule="auto"/>
            </w:pPr>
            <w:r>
              <w:rPr>
                <w:rFonts w:ascii="Arial" w:hAnsi="Arial" w:eastAsia="宋体"/>
                <w:b w:val="0"/>
                <w:i w:val="0"/>
                <w:sz w:val="18"/>
              </w:rPr>
              <w:t>现金50／资本50</w:t>
            </w:r>
          </w:p>
        </w:tc>
        <w:tc>
          <w:tcPr>
            <w:tcW w:type="dxa" w:w="2094"/>
            <w:vAlign w:val="top"/>
            <w:tcMar>
              <w:top w:w="65" w:type="dxa"/>
              <w:bottom w:w="65" w:type="dxa"/>
              <w:left w:w="65" w:type="dxa"/>
              <w:right w:w="65" w:type="dxa"/>
            </w:tcMar>
          </w:tcPr>
          <w:p>
            <w:pPr>
              <w:spacing w:before="30" w:after="30" w:line="252" w:lineRule="auto"/>
            </w:pPr>
            <w:r>
              <w:rPr>
                <w:rFonts w:ascii="Arial" w:hAnsi="Arial" w:eastAsia="宋体"/>
                <w:b w:val="0"/>
                <w:i w:val="0"/>
                <w:sz w:val="18"/>
              </w:rPr>
              <w:t>200／120／20</w:t>
            </w:r>
          </w:p>
        </w:tc>
        <w:tc>
          <w:tcPr>
            <w:tcW w:type="dxa" w:w="3413"/>
            <w:vAlign w:val="top"/>
            <w:tcMar>
              <w:top w:w="65" w:type="dxa"/>
              <w:bottom w:w="65" w:type="dxa"/>
              <w:left w:w="65" w:type="dxa"/>
              <w:right w:w="65" w:type="dxa"/>
            </w:tcMar>
          </w:tcPr>
          <w:p>
            <w:pPr>
              <w:spacing w:before="30" w:after="30" w:line="252" w:lineRule="auto"/>
            </w:pPr>
            <w:r>
              <w:rPr>
                <w:rFonts w:ascii="Arial" w:hAnsi="Arial" w:eastAsia="宋体"/>
                <w:b w:val="0"/>
                <w:i w:val="0"/>
                <w:sz w:val="18"/>
              </w:rPr>
              <w:t>现金110；净利60</w:t>
            </w:r>
          </w:p>
        </w:tc>
      </w:tr>
      <w:tr>
        <w:trPr>
          <w:cantSplit/>
        </w:trPr>
        <w:tc>
          <w:tcPr>
            <w:tcW w:type="dxa" w:w="16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HW_ELEC</w:t>
            </w:r>
          </w:p>
        </w:tc>
        <w:tc>
          <w:tcPr>
            <w:tcW w:type="dxa" w:w="22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现金50／资本50</w:t>
            </w:r>
          </w:p>
        </w:tc>
        <w:tc>
          <w:tcPr>
            <w:tcW w:type="dxa" w:w="20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100／60／10</w:t>
            </w:r>
          </w:p>
        </w:tc>
        <w:tc>
          <w:tcPr>
            <w:tcW w:type="dxa" w:w="34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现金100、应付20；净利30</w:t>
            </w:r>
          </w:p>
        </w:tc>
      </w:tr>
    </w:tbl>
    <w:p>
      <w:pPr>
        <w:spacing w:after="40"/>
      </w:pPr>
    </w:p>
    <w:p>
      <w:r>
        <w:rPr>
          <w:rFonts w:ascii="Arial" w:hAnsi="Arial" w:eastAsia="宋体"/>
          <w:b w:val="0"/>
          <w:i w:val="0"/>
        </w:rPr>
        <w:t>HW对CAT已结内部销售40，对ELEC未结销售20及AR/AP20。小合并三项准确匹配：销售40、销售20、余额20。抵销后收入840、成本480、费用90、净利270、资产/现金470、负债0、资本200、留存270。集团本部＋小合并资产670，按投资资本200抵后仍470，资本200、留存270；不能错写集团资产270。</w:t>
      </w:r>
    </w:p>
    <w:p>
      <w:r>
        <w:rPr>
          <w:rFonts w:ascii="Arial" w:hAnsi="Arial" w:eastAsia="宋体"/>
          <w:b w:val="0"/>
          <w:i w:val="0"/>
        </w:rPr>
        <w:t>本例凭证集中2026年6月15日，明确假设1—5月无业务，因此6月发生等于1—6累计；不沿用此前仅报表CSV样例的月度分布或默认9期1400/2650。</w:t>
      </w:r>
    </w:p>
    <w:p>
      <w:pPr>
        <w:pStyle w:val="Heading1"/>
      </w:pPr>
      <w:bookmarkStart w:id="39" w:name="epm_39"/>
      <w:r>
        <w:rPr>
          <w:rFonts w:ascii="Arial" w:hAnsi="Arial" w:eastAsia="宋体"/>
          <w:b w:val="0"/>
          <w:i w:val="0"/>
        </w:rPr>
        <w:t>四、权限、接口与持久化</w:t>
      </w:r>
      <w:bookmarkEnd w:id="39"/>
    </w:p>
    <w:p>
      <w:r>
        <w:rPr>
          <w:rFonts w:ascii="Arial" w:hAnsi="Arial" w:eastAsia="宋体"/>
          <w:b w:val="0"/>
          <w:i w:val="0"/>
        </w:rPr>
        <w:t>集团财务负责人维护集团/法人/范围/持股/科目/NC适配、停用批次、审批抵销和签核；法人会计可按当前受限流程导账、生成单体、核对和匹配；审计只读不能写。精确动作归属以正式API表及接口403为准，演示角色切换不等于生产登录权限。</w:t>
      </w:r>
    </w:p>
    <w:p>
      <w:r>
        <w:rPr>
          <w:rFonts w:ascii="Arial" w:hAnsi="Arial" w:eastAsia="宋体"/>
          <w:b w:val="0"/>
          <w:i w:val="0"/>
        </w:rPr>
        <w:t>HTTP请求由/api/bootstrap读取，/api/action提交命令，/api/erp/trace读取当前或指定历史结果的精确报表字段归因，/api/runtime显示本机环境。所有业务JSON统一落SQLite state；每次成功同事务写audit及revision。不是已拆成企业生产独立余额、凭证和组织SQL表；后续拆表属于规划，应单独迁移及验收。</w:t>
      </w:r>
    </w:p>
    <w:p>
      <w:r>
        <w:rPr>
          <w:rFonts w:ascii="Arial" w:hAnsi="Arial" w:eastAsia="宋体"/>
          <w:b w:val="0"/>
          <w:i w:val="0"/>
        </w:rPr>
        <w:t>实际核对规则不从客户端状态快照信任读取。错误不得修改state、audit或revision；历史快照与当前有效性分离，变更需保留旧金额和证据。</w:t>
      </w:r>
    </w:p>
    <w:p>
      <w:pPr>
        <w:pStyle w:val="Heading1"/>
      </w:pPr>
      <w:bookmarkStart w:id="40" w:name="epm_40"/>
      <w:r>
        <w:rPr>
          <w:rFonts w:ascii="Arial" w:hAnsi="Arial" w:eastAsia="宋体"/>
          <w:b w:val="0"/>
          <w:i w:val="0"/>
        </w:rPr>
        <w:t>五、验收、开放项与交付门禁</w:t>
      </w:r>
      <w:bookmarkEnd w:id="40"/>
    </w:p>
    <w:tbl>
      <w:tblPr>
        <w:tblStyle w:val="TableGrid"/>
        <w:tblW w:type="auto" w:w="0"/>
        <w:jc w:val="center"/>
        <w:tblLayout w:type="fixed"/>
        <w:tblLook w:firstColumn="1" w:firstRow="1" w:lastColumn="0" w:lastRow="0" w:noHBand="0" w:noVBand="1" w:val="04A0"/>
      </w:tblPr>
      <w:tblGrid>
        <w:gridCol w:w="1559"/>
        <w:gridCol w:w="2562"/>
        <w:gridCol w:w="5285"/>
      </w:tblGrid>
      <w:tr>
        <w:trPr>
          <w:cantSplit/>
          <w:tblHeader w:val="true"/>
        </w:trPr>
        <w:tc>
          <w:tcPr>
            <w:tcW w:type="dxa" w:w="15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编号</w:t>
            </w:r>
          </w:p>
        </w:tc>
        <w:tc>
          <w:tcPr>
            <w:tcW w:type="dxa" w:w="25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必须实际执行的场景</w:t>
            </w:r>
          </w:p>
        </w:tc>
        <w:tc>
          <w:tcPr>
            <w:tcW w:type="dxa" w:w="52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通过标准</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AC01</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完全新数据目录初启及24菜单</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零企业业务、无财报/预算金样、无JS异常；技术容器不能计算</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AC02</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通过公开表单建本部及三法人</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ID/编码唯一；无默认不存在母公司；真实100%关系保存</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AC03</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创建HW及根管理树</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本部+子结果无叶子重复；环、自引用、重叶整笔拒绝</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AC04</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科目与NC解释从空维护</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真实代码映射/本位币一致，未知列/对方不静默当外部</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AC05</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导入期初和凭证</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整凭证平衡，前导0和元分保留，原NC48列可读取</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AC06</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外部余额只核对</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导入不改账务；本期完整正确核对通过；差异连原行/凭证</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AC07</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缺余额或余额差</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不能正式合并；变账使旧检查失效；不能补差通过</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AC08</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内部缺号/单边/金额差</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差异保留真实引用，未解决不能正式计算</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AC09</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规范化补注和金额重导</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原金额/raw不改；旧新batch准确定位；旧历史不变</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AC10</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草稿审批及小合并</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无默认预置抵销；准确项生成一次；未审阻断；HW840/270/470</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AC11</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集团引用及投资资本</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下级有效签核；集团投资200抵后资产470、资本200、留存270</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AC12</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期间、重开及历史</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本期锁有保护，变动影响正确依赖，旧账和历史快照保留</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AC13</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预算完整生命周期</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从用户录入开始；提交审批锁/复制/调整状态真实保存，无默认虚构目标</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AC14</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角色与事务</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只读写403、会计负责人动作403、缺CSRF/错Origin拒绝、失败零写</w:t>
            </w:r>
          </w:p>
        </w:tc>
      </w:tr>
      <w:tr>
        <w:trPr>
          <w:cantSplit/>
        </w:trPr>
        <w:tc>
          <w:tcPr>
            <w:tcW w:type="dxa" w:w="1559"/>
            <w:vAlign w:val="top"/>
            <w:tcMar>
              <w:top w:w="65" w:type="dxa"/>
              <w:bottom w:w="65" w:type="dxa"/>
              <w:left w:w="65" w:type="dxa"/>
              <w:right w:w="65" w:type="dxa"/>
            </w:tcMar>
          </w:tcPr>
          <w:p>
            <w:pPr>
              <w:spacing w:before="30" w:after="30" w:line="252" w:lineRule="auto"/>
            </w:pPr>
            <w:r>
              <w:rPr>
                <w:rFonts w:ascii="Arial" w:hAnsi="Arial" w:eastAsia="宋体"/>
                <w:b w:val="0"/>
                <w:i w:val="0"/>
                <w:sz w:val="19"/>
              </w:rPr>
              <w:t>AC15</w:t>
            </w:r>
          </w:p>
        </w:tc>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9"/>
              </w:rPr>
              <w:t>原生及软件隔离</w:t>
            </w:r>
          </w:p>
        </w:tc>
        <w:tc>
          <w:tcPr>
            <w:tcW w:type="dxa" w:w="5285"/>
            <w:vAlign w:val="top"/>
            <w:tcMar>
              <w:top w:w="65" w:type="dxa"/>
              <w:bottom w:w="65" w:type="dxa"/>
              <w:left w:w="65" w:type="dxa"/>
              <w:right w:w="65" w:type="dxa"/>
            </w:tcMar>
          </w:tcPr>
          <w:p>
            <w:pPr>
              <w:spacing w:before="30" w:after="30" w:line="252" w:lineRule="auto"/>
            </w:pPr>
            <w:r>
              <w:rPr>
                <w:rFonts w:ascii="Arial" w:hAnsi="Arial" w:eastAsia="宋体"/>
                <w:b w:val="0"/>
                <w:i w:val="0"/>
                <w:sz w:val="19"/>
              </w:rPr>
              <w:t>内置Windows运行时实际启动/退出/重启；旧库只读拒绝；真实客户Windows仍须验收</w:t>
            </w:r>
          </w:p>
        </w:tc>
      </w:tr>
      <w:tr>
        <w:trPr>
          <w:cantSplit/>
        </w:trPr>
        <w:tc>
          <w:tcPr>
            <w:tcW w:type="dxa" w:w="15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AC16</w:t>
            </w:r>
          </w:p>
        </w:tc>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四册及发布</w:t>
            </w:r>
          </w:p>
        </w:tc>
        <w:tc>
          <w:tcPr>
            <w:tcW w:type="dxa" w:w="5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全24模块、字段层、真实图、Word/PDF/源码/制品摘要及公开下载验证同版交付</w:t>
            </w:r>
          </w:p>
        </w:tc>
      </w:tr>
    </w:tbl>
    <w:p>
      <w:pPr>
        <w:spacing w:after="40"/>
      </w:pPr>
    </w:p>
    <w:p>
      <w:r>
        <w:rPr>
          <w:rFonts w:ascii="Arial" w:hAnsi="Arial" w:eastAsia="宋体"/>
          <w:b w:val="0"/>
          <w:i w:val="0"/>
        </w:rPr>
        <w:t>业务会计政策、真实NC代码/辅助组合、共同号及凭证已记账范围由企业确认。尚未配置企业NC在线地址和凭据，当前是CSV/XLSX文件模式，不读取真实NC数据库、不向NC写回抵销。复杂权益、NCI/商誉、未实现存货利润/税及生产多用户认证等列待正式研发，不以本例通过当生产完备证明。</w:t>
      </w:r>
    </w:p>
    <w:p>
      <w:r>
        <w:rPr>
          <w:rFonts w:ascii="Arial" w:hAnsi="Arial" w:eastAsia="宋体"/>
          <w:b w:val="0"/>
          <w:i w:val="0"/>
        </w:rPr>
        <w:t>发布前保留本版源SHA、独立真实API/浏览器和原生验证、全四册语义核对及Word/PDF排版记录。外层ZIP最终SHA放包外，避免制品包含自身哈希；master不改，旧版包及旧数据保留。后续每个软件版本仍完整重发四册及变更、范围和验证记录。</w:t>
      </w:r>
    </w:p>
    <w:p>
      <w:pPr>
        <w:spacing w:after="60"/>
      </w:pPr>
    </w:p>
    <w:p>
      <w:pPr>
        <w:pStyle w:val="Heading1"/>
      </w:pPr>
      <w:bookmarkStart w:id="41" w:name="epm_41"/>
      <w:r>
        <w:rPr>
          <w:rFonts w:ascii="Arial" w:hAnsi="Arial" w:eastAsia="宋体"/>
          <w:b w:val="0"/>
          <w:i w:val="0"/>
        </w:rPr>
        <w:t>附录A 字段、接口与存储数据字典</w:t>
      </w:r>
      <w:bookmarkEnd w:id="41"/>
    </w:p>
    <w:p>
      <w:r>
        <w:rPr>
          <w:rFonts w:ascii="Arial" w:hAnsi="Arial" w:eastAsia="宋体"/>
          <w:b w:val="0"/>
          <w:i w:val="0"/>
        </w:rPr>
        <w:t>公司：杭州天元宠物用品有限公司。软件基线：FOUNDATION-20261028（从空建档、原凭证、科目余额核对及自动抵销版）。文档版本：D1.0，2026-10-28。本附录对应FOUNDATION-20261028独立中文Demo的当前实现，作为全模块PRD的字段级实施依据。</w:t>
      </w:r>
    </w:p>
    <w:p>
      <w:pPr>
        <w:pStyle w:val="Heading2"/>
      </w:pPr>
      <w:bookmarkStart w:id="42" w:name="epm_42"/>
      <w:r>
        <w:rPr>
          <w:rFonts w:ascii="Arial" w:hAnsi="Arial" w:eastAsia="宋体"/>
          <w:b w:val="0"/>
          <w:i w:val="0"/>
        </w:rPr>
        <w:t>A.1 阅读约定和实现边界</w:t>
      </w:r>
      <w:bookmarkEnd w:id="42"/>
    </w:p>
    <w:p>
      <w:r>
        <w:rPr>
          <w:rFonts w:ascii="Arial" w:hAnsi="Arial" w:eastAsia="宋体"/>
          <w:b w:val="0"/>
          <w:i w:val="0"/>
        </w:rPr>
        <w:t xml:space="preserve">本附录的路径以服务端业务文档为根，例如 </w:t>
      </w:r>
      <w:r>
        <w:rPr>
          <w:rFonts w:ascii="Consolas" w:hAnsi="Consolas" w:eastAsia="宋体"/>
          <w:b w:val="0"/>
          <w:i w:val="0"/>
          <w:sz w:val="18"/>
        </w:rPr>
        <w:t>sources["9"]["HW_CAT"].profit.revenue</w:t>
      </w:r>
      <w:r>
        <w:rPr>
          <w:rFonts w:ascii="Arial" w:hAnsi="Arial" w:eastAsia="宋体"/>
          <w:b w:val="0"/>
          <w:i w:val="0"/>
        </w:rPr>
        <w:t xml:space="preserve">。GET返回的 </w:t>
      </w:r>
      <w:r>
        <w:rPr>
          <w:rFonts w:ascii="Consolas" w:hAnsi="Consolas" w:eastAsia="宋体"/>
          <w:b w:val="0"/>
          <w:i w:val="0"/>
          <w:sz w:val="18"/>
        </w:rPr>
        <w:t>sources</w:t>
      </w:r>
      <w:r>
        <w:rPr>
          <w:rFonts w:ascii="Arial" w:hAnsi="Arial" w:eastAsia="宋体"/>
          <w:b w:val="0"/>
          <w:i w:val="0"/>
        </w:rPr>
        <w:t xml:space="preserve"> 已投影到所选月，前端读取时省略月份一层。</w:t>
      </w:r>
      <w:r>
        <w:rPr>
          <w:rFonts w:ascii="Consolas" w:hAnsi="Consolas" w:eastAsia="宋体"/>
          <w:b w:val="0"/>
          <w:i w:val="0"/>
          <w:sz w:val="18"/>
        </w:rPr>
        <w:t>results[]</w:t>
      </w:r>
      <w:r>
        <w:rPr>
          <w:rFonts w:ascii="Arial" w:hAnsi="Arial" w:eastAsia="宋体"/>
          <w:b w:val="0"/>
          <w:i w:val="0"/>
        </w:rPr>
        <w:t>在数据库中含</w:t>
      </w:r>
      <w:r>
        <w:rPr>
          <w:rFonts w:ascii="Consolas" w:hAnsi="Consolas" w:eastAsia="宋体"/>
          <w:b w:val="0"/>
          <w:i w:val="0"/>
          <w:sz w:val="18"/>
        </w:rPr>
        <w:t>row.snapshot</w:t>
      </w:r>
      <w:r>
        <w:rPr>
          <w:rFonts w:ascii="Arial" w:hAnsi="Arial" w:eastAsia="宋体"/>
          <w:b w:val="0"/>
          <w:i w:val="0"/>
        </w:rPr>
        <w:t>，GET返回则将其展开为结果详情。不得把GET投影路径误作数据库中的真实路径。</w:t>
      </w:r>
    </w:p>
    <w:tbl>
      <w:tblPr>
        <w:tblStyle w:val="TableGrid"/>
        <w:tblW w:type="auto" w:w="0"/>
        <w:jc w:val="center"/>
        <w:tblLayout w:type="fixed"/>
        <w:tblLook w:firstColumn="1" w:firstRow="1" w:lastColumn="0" w:lastRow="0" w:noHBand="0" w:noVBand="1" w:val="04A0"/>
      </w:tblPr>
      <w:tblGrid>
        <w:gridCol w:w="2016"/>
        <w:gridCol w:w="7390"/>
      </w:tblGrid>
      <w:tr>
        <w:trPr>
          <w:cantSplit/>
          <w:tblHeader w:val="true"/>
        </w:trPr>
        <w:tc>
          <w:tcPr>
            <w:tcW w:type="dxa" w:w="20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约定</w:t>
            </w:r>
          </w:p>
        </w:tc>
        <w:tc>
          <w:tcPr>
            <w:tcW w:type="dxa" w:w="73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具体规则</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财务金额M</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源、合并结果和抵销为本位币万元，最多6位小数，一分=0.000001万元。内部Decimal，输出ROUND_HALF_UP至6位。单项财务输入绝对值≤10^12；拒绝NaN、Infinity、布尔、空值和对象。JSON输出还须往返无损保持原币分，无法保持时拒绝，不先转float丢分。</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原账金额Y</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法人本位币元，规范化保存两位小数的十进制字符串，例如“123.45”；支持红字负借/负贷。导入amountUnit必须明确元或万元，统一转为元两位保存；不以二进制float替代原账字符串。</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预算金额B</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集团人民币万元，最多2位小数；原预算量价、分层、计划、调整继续Decimal校验。预算不是原账元金额，也不因财务精度升级变成6位。</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金额单位</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所有财务源按各法人本位币的“万元”录入；USD即万美元。集团CNY结果和预算为人民币万元。币种转换不能再次乘或除10000。</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汇率类型R</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正数，最多6位小数，0＜汇率≤1000000；报价方向固定1 USD＝X CNY。</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文本类型S(n)</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先去首尾空格；要求为字符串，长度不超过n个字符；拒绝除换行、制表外的控制字符。标为必填者去空格后不得为空。ERP文件原文本使用纯解析器的长度/类型规则，rawFields不等于全部应用同样的文本清理；显示时仍必须转义。</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标识类型ID</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1—40位大写英文字母、数字、下划线、短横线，首位必须为大写字母。正则为</w:t>
            </w:r>
            <w:r>
              <w:rPr>
                <w:rFonts w:ascii="Consolas" w:hAnsi="Consolas" w:eastAsia="宋体"/>
                <w:b w:val="0"/>
                <w:i w:val="0"/>
                <w:sz w:val="19"/>
              </w:rPr>
              <w:t>[A-Z][A-Z0-9_-]{0,39}</w:t>
            </w:r>
            <w:r>
              <w:rPr>
                <w:rFonts w:ascii="Arial" w:hAnsi="Arial" w:eastAsia="宋体"/>
                <w:b w:val="0"/>
                <w:i w:val="0"/>
                <w:sz w:val="19"/>
              </w:rPr>
              <w:t>。</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期间P</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整数1—12；固定2026会计年度；源CSV期间为</w:t>
            </w:r>
            <w:r>
              <w:rPr>
                <w:rFonts w:ascii="Consolas" w:hAnsi="Consolas" w:eastAsia="宋体"/>
                <w:b w:val="0"/>
                <w:i w:val="0"/>
                <w:sz w:val="19"/>
              </w:rPr>
              <w:t>2026-MM</w:t>
            </w:r>
            <w:r>
              <w:rPr>
                <w:rFonts w:ascii="Arial" w:hAnsi="Arial" w:eastAsia="宋体"/>
                <w:b w:val="0"/>
                <w:i w:val="0"/>
                <w:sz w:val="19"/>
              </w:rPr>
              <w:t>。初始各期无业务；发生额由实际导入凭证形成，不自动产生9期样例或推填未来期。</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月份键m</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对象键为字符串</w:t>
            </w:r>
            <w:r>
              <w:rPr>
                <w:rFonts w:ascii="Consolas" w:hAnsi="Consolas" w:eastAsia="宋体"/>
                <w:b w:val="0"/>
                <w:i w:val="0"/>
                <w:sz w:val="19"/>
              </w:rPr>
              <w:t>"1"</w:t>
            </w:r>
            <w:r>
              <w:rPr>
                <w:rFonts w:ascii="Arial" w:hAnsi="Arial" w:eastAsia="宋体"/>
                <w:b w:val="0"/>
                <w:i w:val="0"/>
                <w:sz w:val="19"/>
              </w:rPr>
              <w:t>至所选P，例如6期必须完整提供1至6月，不能包含未来月。</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权限MGR</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集团财务负责人。</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权限WR</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集团财务负责人或法人会计；仍须满足受影响范围开放、版本和事务校验。</w:t>
            </w:r>
          </w:p>
        </w:tc>
      </w:tr>
      <w:tr>
        <w:trPr>
          <w:cantSplit/>
        </w:trPr>
        <w:tc>
          <w:tcPr>
            <w:tcW w:type="dxa" w:w="20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权限RO</w:t>
            </w:r>
          </w:p>
        </w:tc>
        <w:tc>
          <w:tcPr>
            <w:tcW w:type="dxa" w:w="73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服务端生成或计算，页面只读；审计只读角色能查看。</w:t>
            </w:r>
          </w:p>
        </w:tc>
      </w:tr>
      <w:tr>
        <w:trPr>
          <w:cantSplit/>
        </w:trPr>
        <w:tc>
          <w:tcPr>
            <w:tcW w:type="dxa" w:w="2016"/>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本机身份</w:t>
            </w:r>
          </w:p>
        </w:tc>
        <w:tc>
          <w:tcPr>
            <w:tcW w:type="dxa" w:w="7390"/>
            <w:vAlign w:val="top"/>
            <w:tcMar>
              <w:top w:w="65" w:type="dxa"/>
              <w:bottom w:w="65" w:type="dxa"/>
              <w:left w:w="65" w:type="dxa"/>
              <w:right w:w="65" w:type="dxa"/>
            </w:tcMar>
          </w:tcPr>
          <w:p>
            <w:pPr>
              <w:spacing w:before="30" w:after="30" w:line="252" w:lineRule="auto"/>
            </w:pPr>
            <w:r>
              <w:rPr>
                <w:rFonts w:ascii="Arial" w:hAnsi="Arial" w:eastAsia="宋体"/>
                <w:b w:val="0"/>
                <w:i w:val="0"/>
                <w:sz w:val="19"/>
              </w:rPr>
              <w:t>角色切换是单机流程演示；没有生产多用户登录、按法人数据隔离或正式账号授权。</w:t>
            </w:r>
          </w:p>
        </w:tc>
      </w:tr>
    </w:tbl>
    <w:p>
      <w:pPr>
        <w:spacing w:after="40"/>
      </w:pPr>
    </w:p>
    <w:p>
      <w:r>
        <w:rPr>
          <w:rFonts w:ascii="Arial" w:hAnsi="Arial" w:eastAsia="宋体"/>
          <w:b w:val="0"/>
          <w:i w:val="0"/>
        </w:rPr>
        <w:t>本版只支持全资全额合并、CNY/USD、普通非高通胀境外经营。源报表资本变动、分红、少数股东、收购差额和商誉等不在本版实现范围。公开汇率维护只提供统一资本历史率；逐法人历史投资明细账尚未实现。下文出现的模型字段不表示其所有理论会计用途均可输入。</w:t>
      </w:r>
    </w:p>
    <w:p>
      <w:r>
        <w:rPr>
          <w:rFonts w:ascii="Arial" w:hAnsi="Arial" w:eastAsia="宋体"/>
          <w:b w:val="0"/>
          <w:i w:val="0"/>
        </w:rPr>
        <w:t>本版首次初始化只创建运行结构与TY_GROUP空技术容器，无企业档案、科目、持股、源、凭证、科目余额、抵销、结果或已编制预算金额。后文出现的法人ID、金额或月份例子均为用户另行配置/导入的示例，不是开箱预置业务。当前新增字段及与既有字段的关系见A.22—A.23；所有有效字段表在本册全文保留。</w:t>
      </w:r>
    </w:p>
    <w:p>
      <w:pPr>
        <w:pStyle w:val="Heading2"/>
      </w:pPr>
      <w:bookmarkStart w:id="43" w:name="epm_43"/>
      <w:r>
        <w:rPr>
          <w:rFonts w:ascii="Arial" w:hAnsi="Arial" w:eastAsia="宋体"/>
          <w:b w:val="0"/>
          <w:i w:val="0"/>
        </w:rPr>
        <w:t>A.2 请求公共字段、会话和上下文</w:t>
      </w:r>
      <w:bookmarkEnd w:id="43"/>
    </w:p>
    <w:p>
      <w:r>
        <w:rPr>
          <w:rFonts w:ascii="Arial" w:hAnsi="Arial" w:eastAsia="宋体"/>
          <w:b w:val="0"/>
          <w:i w:val="0"/>
        </w:rPr>
        <w:t xml:space="preserve">所有业务写操作使用 </w:t>
      </w:r>
      <w:r>
        <w:rPr>
          <w:rFonts w:ascii="Consolas" w:hAnsi="Consolas" w:eastAsia="宋体"/>
          <w:b w:val="0"/>
          <w:i w:val="0"/>
          <w:sz w:val="18"/>
        </w:rPr>
        <w:t>POST /api/action</w:t>
      </w:r>
      <w:r>
        <w:rPr>
          <w:rFonts w:ascii="Arial" w:hAnsi="Arial" w:eastAsia="宋体"/>
          <w:b w:val="0"/>
          <w:i w:val="0"/>
        </w:rPr>
        <w:t>。本版共24个业务菜单，保留原21菜单并增加ERP凭证与期初、法人凭证与三表、内部交易匹配与差异。页面不能提交或覆盖整个state，也不能直接提交已签核结果快照。</w:t>
      </w:r>
    </w:p>
    <w:tbl>
      <w:tblPr>
        <w:tblStyle w:val="TableGrid"/>
        <w:tblW w:type="auto" w:w="0"/>
        <w:jc w:val="center"/>
        <w:tblLayout w:type="fixed"/>
        <w:tblLook w:firstColumn="1" w:firstRow="1" w:lastColumn="0" w:lastRow="0" w:noHBand="0" w:noVBand="1" w:val="04A0"/>
      </w:tblPr>
      <w:tblGrid>
        <w:gridCol w:w="2323"/>
        <w:gridCol w:w="1479"/>
        <w:gridCol w:w="1957"/>
        <w:gridCol w:w="3646"/>
      </w:tblGrid>
      <w:tr>
        <w:trPr>
          <w:cantSplit/>
          <w:tblHeader w:val="true"/>
        </w:trPr>
        <w:tc>
          <w:tcPr>
            <w:tcW w:type="dxa" w:w="23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字段/位置</w:t>
            </w:r>
          </w:p>
        </w:tc>
        <w:tc>
          <w:tcPr>
            <w:tcW w:type="dxa" w:w="14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9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必填、默认及编辑条件</w:t>
            </w:r>
          </w:p>
        </w:tc>
        <w:tc>
          <w:tcPr>
            <w:tcW w:type="dxa" w:w="36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校验、来源及用途</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请求头Content-Type</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正文类型，S</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r>
              <w:rPr>
                <w:rFonts w:ascii="Consolas" w:hAnsi="Consolas" w:eastAsia="宋体"/>
                <w:b w:val="0"/>
                <w:i w:val="0"/>
                <w:sz w:val="18"/>
              </w:rPr>
              <w:t>application/json</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其他类型415；服务端不接收分块正文。</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请求头Origin</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请求来源，S</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写请求必填</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必须与实际</w:t>
            </w:r>
            <w:r>
              <w:rPr>
                <w:rFonts w:ascii="Consolas" w:hAnsi="Consolas" w:eastAsia="宋体"/>
                <w:b w:val="0"/>
                <w:i w:val="0"/>
                <w:sz w:val="18"/>
              </w:rPr>
              <w:t>http://127.0.0.1:端口</w:t>
            </w:r>
            <w:r>
              <w:rPr>
                <w:rFonts w:ascii="Arial" w:hAnsi="Arial" w:eastAsia="宋体"/>
                <w:b w:val="0"/>
                <w:i w:val="0"/>
                <w:sz w:val="18"/>
              </w:rPr>
              <w:t>一致；不允许外站提交。</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请求头Host</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目标主机，S</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由浏览器生成</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必须是本机实际监听主机和端口。</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Cookie epm_foundation_session</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会话标识，S</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通过启动器建立的本机会话</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HttpOnly、SameSite=Strict；运行时私有，不写入财务state，不在公开文档提供示例值。</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请求头X-CSRF-Token</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会话安全校验，S</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除建会话等约定入口外，写请求必填</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必须与当前会话相符；页面从bootstrap读取，不能硬编码。</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action</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动作名称，S</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只能使用本附录动作表列出的名称；动作取值以本版正式API合同为准；增加独立科目余额导入和核对，原预置样例载入停用。</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payload</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动作参数，object</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w:t>
            </w:r>
            <w:r>
              <w:rPr>
                <w:rFonts w:ascii="Consolas" w:hAnsi="Consolas" w:eastAsia="宋体"/>
                <w:b w:val="0"/>
                <w:i w:val="0"/>
                <w:sz w:val="18"/>
              </w:rPr>
              <w:t>{}</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每个动作有专用字段，不能用前端假保存代替后端命令。</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revision</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账套数据版本，integer</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业务写入必填，来自最近一次bootstrap</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必须为非布尔整数并等于SQLite当前revision；冲突409且不提交。业务成功后加1。</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context.group</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管理合并单元，ID</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缺省TY_GROUP；UI始终提交所选单元</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单元必须存在；HW_GROUP为鸿旺，OS_GROUP为海外，TY_GROUP为集团；允许动态新建ID。</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context.month</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累计截止期间，P</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缺省9</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所选期间约束源、汇率、抵销、结果，不能把累计数当月发生。</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context.currency</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操作口径币种，enum</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可不传；传入只能CNY/USD</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必须与所选单元报表币种或所选法人本位币一致；不提供任意展示币换算。</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context.entity</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法人筛选，S</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缺省all；当前页面业务操作使用all</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接口允许当前单元叶子法人ID；法人必须属于所选范围。保存单元配置成功后响应重置为all并重新确定币种。</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bootstrap.csrfToken</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会话校验值，S</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RO，每次状态返回</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仅本机会话用途；公开证据和结果JSON不包含其值。</w:t>
            </w:r>
          </w:p>
        </w:tc>
      </w:tr>
      <w:tr>
        <w:trPr>
          <w:cantSplit/>
        </w:trPr>
        <w:tc>
          <w:tcPr>
            <w:tcW w:type="dxa" w:w="23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bootstrap.sessionRole</w:t>
            </w:r>
          </w:p>
        </w:tc>
        <w:tc>
          <w:tcPr>
            <w:tcW w:type="dxa" w:w="14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演示角色，enum</w:t>
            </w:r>
          </w:p>
        </w:tc>
        <w:tc>
          <w:tcPr>
            <w:tcW w:type="dxa" w:w="19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集团财务负责人、法人会计、审计只读。</w:t>
            </w:r>
          </w:p>
        </w:tc>
      </w:tr>
      <w:tr>
        <w:trPr>
          <w:cantSplit/>
        </w:trPr>
        <w:tc>
          <w:tcPr>
            <w:tcW w:type="dxa" w:w="2323"/>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bootstrap.capabilities</w:t>
            </w:r>
          </w:p>
        </w:tc>
        <w:tc>
          <w:tcPr>
            <w:tcW w:type="dxa" w:w="1479"/>
            <w:vAlign w:val="top"/>
            <w:tcMar>
              <w:top w:w="65" w:type="dxa"/>
              <w:bottom w:w="65" w:type="dxa"/>
              <w:left w:w="65" w:type="dxa"/>
              <w:right w:w="65" w:type="dxa"/>
            </w:tcMar>
          </w:tcPr>
          <w:p>
            <w:pPr>
              <w:spacing w:before="30" w:after="30" w:line="252" w:lineRule="auto"/>
            </w:pPr>
            <w:r>
              <w:rPr>
                <w:rFonts w:ascii="Arial" w:hAnsi="Arial" w:eastAsia="宋体"/>
                <w:b w:val="0"/>
                <w:i w:val="0"/>
                <w:sz w:val="18"/>
              </w:rPr>
              <w:t>角色能力，object</w:t>
            </w:r>
          </w:p>
        </w:tc>
        <w:tc>
          <w:tcPr>
            <w:tcW w:type="dxa" w:w="1957"/>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646"/>
            <w:vAlign w:val="top"/>
            <w:tcMar>
              <w:top w:w="65" w:type="dxa"/>
              <w:bottom w:w="65" w:type="dxa"/>
              <w:left w:w="65" w:type="dxa"/>
              <w:right w:w="65" w:type="dxa"/>
            </w:tcMar>
          </w:tcPr>
          <w:p>
            <w:pPr>
              <w:spacing w:before="30" w:after="30" w:line="252" w:lineRule="auto"/>
            </w:pPr>
            <w:r>
              <w:rPr>
                <w:rFonts w:ascii="Arial" w:hAnsi="Arial" w:eastAsia="宋体"/>
                <w:b w:val="0"/>
                <w:i w:val="0"/>
                <w:sz w:val="18"/>
              </w:rPr>
              <w:t>canWrite/canApprove/canSignoff/canConfigure布尔值；最终以服务端权限判断为准。</w:t>
            </w:r>
          </w:p>
        </w:tc>
      </w:tr>
    </w:tbl>
    <w:p>
      <w:pPr>
        <w:spacing w:after="40"/>
      </w:pPr>
    </w:p>
    <w:p>
      <w:pPr>
        <w:pStyle w:val="Heading3"/>
      </w:pPr>
      <w:bookmarkStart w:id="44" w:name="epm_44"/>
      <w:r>
        <w:rPr>
          <w:rFonts w:ascii="Arial" w:hAnsi="Arial" w:eastAsia="宋体"/>
          <w:b w:val="0"/>
          <w:i w:val="0"/>
        </w:rPr>
        <w:t>A.2.1 非业务接口字段</w:t>
      </w:r>
      <w:bookmarkEnd w:id="44"/>
    </w:p>
    <w:tbl>
      <w:tblPr>
        <w:tblStyle w:val="TableGrid"/>
        <w:tblW w:type="auto" w:w="0"/>
        <w:jc w:val="center"/>
        <w:tblLayout w:type="fixed"/>
        <w:tblLook w:firstColumn="1" w:firstRow="1" w:lastColumn="0" w:lastRow="0" w:noHBand="0" w:noVBand="1" w:val="04A0"/>
      </w:tblPr>
      <w:tblGrid>
        <w:gridCol w:w="1959"/>
        <w:gridCol w:w="2169"/>
        <w:gridCol w:w="2169"/>
        <w:gridCol w:w="3109"/>
      </w:tblGrid>
      <w:tr>
        <w:trPr>
          <w:cantSplit/>
          <w:tblHeader w:val="true"/>
        </w:trPr>
        <w:tc>
          <w:tcPr>
            <w:tcW w:type="dxa" w:w="19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接口</w:t>
            </w:r>
          </w:p>
        </w:tc>
        <w:tc>
          <w:tcPr>
            <w:tcW w:type="dxa" w:w="21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w:t>
            </w:r>
          </w:p>
        </w:tc>
        <w:tc>
          <w:tcPr>
            <w:tcW w:type="dxa" w:w="21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输出及用途</w:t>
            </w:r>
          </w:p>
        </w:tc>
        <w:tc>
          <w:tcPr>
            <w:tcW w:type="dxa" w:w="31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持久化边界</w:t>
            </w:r>
          </w:p>
        </w:tc>
      </w:tr>
      <w:tr>
        <w:trPr>
          <w:cantSplit/>
        </w:trPr>
        <w:tc>
          <w:tcPr>
            <w:tcW w:type="dxa" w:w="195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/api/health</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无业务参数</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ready、instanceId、product</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8"/>
              </w:rPr>
              <w:t>产品标识固定SelfDevelopedEPM-Foundation-Demo；用于启动器识别，不能冒用旧产品健康服务。</w:t>
            </w:r>
          </w:p>
        </w:tc>
      </w:tr>
      <w:tr>
        <w:trPr>
          <w:cantSplit/>
        </w:trPr>
        <w:tc>
          <w:tcPr>
            <w:tcW w:type="dxa" w:w="1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/api/session</w:t>
            </w:r>
          </w:p>
        </w:tc>
        <w:tc>
          <w:tcPr>
            <w:tcW w:type="dxa" w:w="2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token：本机启动凭据，必填</w:t>
            </w:r>
          </w:p>
        </w:tc>
        <w:tc>
          <w:tcPr>
            <w:tcW w:type="dxa" w:w="2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csrfToken、sessionRole，并设置会话Cookie</w:t>
            </w:r>
          </w:p>
        </w:tc>
        <w:tc>
          <w:tcPr>
            <w:tcW w:type="dxa" w:w="3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只在内存会话表；不增加业务revision，不在公开包存凭据。</w:t>
            </w:r>
          </w:p>
        </w:tc>
      </w:tr>
      <w:tr>
        <w:trPr>
          <w:cantSplit/>
        </w:trPr>
        <w:tc>
          <w:tcPr>
            <w:tcW w:type="dxa" w:w="1959"/>
            <w:vAlign w:val="top"/>
            <w:tcMar>
              <w:top w:w="65" w:type="dxa"/>
              <w:bottom w:w="65" w:type="dxa"/>
              <w:left w:w="65" w:type="dxa"/>
              <w:right w:w="65" w:type="dxa"/>
            </w:tcMar>
          </w:tcPr>
          <w:p>
            <w:pPr>
              <w:spacing w:before="30" w:after="30" w:line="252" w:lineRule="auto"/>
            </w:pPr>
            <w:r>
              <w:rPr>
                <w:rFonts w:ascii="Arial" w:hAnsi="Arial" w:eastAsia="宋体"/>
                <w:b w:val="0"/>
                <w:i w:val="0"/>
                <w:sz w:val="18"/>
              </w:rPr>
              <w:t>GET /api/bootstrap</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上述group/month/currency/entity查询参数</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当前期间配置、状态、结果和报表</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8"/>
              </w:rPr>
              <w:t>读接口；不能把读取投影当作提交文档。</w:t>
            </w:r>
          </w:p>
        </w:tc>
      </w:tr>
      <w:tr>
        <w:trPr>
          <w:cantSplit/>
        </w:trPr>
        <w:tc>
          <w:tcPr>
            <w:tcW w:type="dxa" w:w="1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GET /api/runtime</w:t>
            </w:r>
          </w:p>
        </w:tc>
        <w:tc>
          <w:tcPr>
            <w:tcW w:type="dxa" w:w="2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有效会话</w:t>
            </w:r>
          </w:p>
        </w:tc>
        <w:tc>
          <w:tcPr>
            <w:tcW w:type="dxa" w:w="2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dataDir、logDir、platform</w:t>
            </w:r>
          </w:p>
        </w:tc>
        <w:tc>
          <w:tcPr>
            <w:tcW w:type="dxa" w:w="3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显示当前真实数据目录；不是服务器远程文件访问接口。</w:t>
            </w:r>
          </w:p>
        </w:tc>
      </w:tr>
      <w:tr>
        <w:trPr>
          <w:cantSplit/>
        </w:trPr>
        <w:tc>
          <w:tcPr>
            <w:tcW w:type="dxa" w:w="1959"/>
            <w:vAlign w:val="top"/>
            <w:tcMar>
              <w:top w:w="65" w:type="dxa"/>
              <w:bottom w:w="65" w:type="dxa"/>
              <w:left w:w="65" w:type="dxa"/>
              <w:right w:w="65" w:type="dxa"/>
            </w:tcMar>
          </w:tcPr>
          <w:p>
            <w:pPr>
              <w:spacing w:before="30" w:after="30" w:line="252" w:lineRule="auto"/>
            </w:pPr>
            <w:r>
              <w:rPr>
                <w:rFonts w:ascii="Arial" w:hAnsi="Arial" w:eastAsia="宋体"/>
                <w:b w:val="0"/>
                <w:i w:val="0"/>
                <w:sz w:val="18"/>
              </w:rPr>
              <w:t>POST /api/open-data-dir</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JSON对象、有效会话和CSRF</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opened、dataDir、message</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8"/>
              </w:rPr>
              <w:t>Windows打开当前目录；不改业务数据。</w:t>
            </w:r>
          </w:p>
        </w:tc>
      </w:tr>
      <w:tr>
        <w:trPr>
          <w:cantSplit/>
        </w:trPr>
        <w:tc>
          <w:tcPr>
            <w:tcW w:type="dxa" w:w="19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 /api/shutdown</w:t>
            </w:r>
          </w:p>
        </w:tc>
        <w:tc>
          <w:tcPr>
            <w:tcW w:type="dxa" w:w="2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UI会话+CSRF+JSON对象，或启动器专用请求头</w:t>
            </w:r>
          </w:p>
        </w:tc>
        <w:tc>
          <w:tcPr>
            <w:tcW w:type="dxa" w:w="2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stopped、中文message</w:t>
            </w:r>
          </w:p>
        </w:tc>
        <w:tc>
          <w:tcPr>
            <w:tcW w:type="dxa" w:w="31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安全退出进程，保留业务数据库。</w:t>
            </w:r>
          </w:p>
        </w:tc>
      </w:tr>
      <w:tr>
        <w:trPr>
          <w:cantSplit/>
        </w:trPr>
        <w:tc>
          <w:tcPr>
            <w:tcW w:type="dxa" w:w="1959"/>
            <w:vAlign w:val="top"/>
            <w:tcMar>
              <w:top w:w="65" w:type="dxa"/>
              <w:bottom w:w="65" w:type="dxa"/>
              <w:left w:w="65" w:type="dxa"/>
              <w:right w:w="65" w:type="dxa"/>
            </w:tcMar>
          </w:tcPr>
          <w:p>
            <w:pPr>
              <w:spacing w:before="30" w:after="30" w:line="252" w:lineRule="auto"/>
            </w:pPr>
            <w:r>
              <w:rPr>
                <w:rFonts w:ascii="Arial" w:hAnsi="Arial" w:eastAsia="宋体"/>
                <w:b w:val="0"/>
                <w:i w:val="0"/>
                <w:sz w:val="18"/>
              </w:rPr>
              <w:t>POST /api/action：role_switch</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role：三个角色之一，必填</w:t>
            </w:r>
          </w:p>
        </w:tc>
        <w:tc>
          <w:tcPr>
            <w:tcW w:type="dxa" w:w="2169"/>
            <w:vAlign w:val="top"/>
            <w:tcMar>
              <w:top w:w="65" w:type="dxa"/>
              <w:bottom w:w="65" w:type="dxa"/>
              <w:left w:w="65" w:type="dxa"/>
              <w:right w:w="65" w:type="dxa"/>
            </w:tcMar>
          </w:tcPr>
          <w:p>
            <w:pPr>
              <w:spacing w:before="30" w:after="30" w:line="252" w:lineRule="auto"/>
            </w:pPr>
            <w:r>
              <w:rPr>
                <w:rFonts w:ascii="Arial" w:hAnsi="Arial" w:eastAsia="宋体"/>
                <w:b w:val="0"/>
                <w:i w:val="0"/>
                <w:sz w:val="18"/>
              </w:rPr>
              <w:t>新的完整bootstrap</w:t>
            </w:r>
          </w:p>
        </w:tc>
        <w:tc>
          <w:tcPr>
            <w:tcW w:type="dxa" w:w="3109"/>
            <w:vAlign w:val="top"/>
            <w:tcMar>
              <w:top w:w="65" w:type="dxa"/>
              <w:bottom w:w="65" w:type="dxa"/>
              <w:left w:w="65" w:type="dxa"/>
              <w:right w:w="65" w:type="dxa"/>
            </w:tcMar>
          </w:tcPr>
          <w:p>
            <w:pPr>
              <w:spacing w:before="30" w:after="30" w:line="252" w:lineRule="auto"/>
            </w:pPr>
            <w:r>
              <w:rPr>
                <w:rFonts w:ascii="Arial" w:hAnsi="Arial" w:eastAsia="宋体"/>
                <w:b w:val="0"/>
                <w:i w:val="0"/>
                <w:sz w:val="18"/>
              </w:rPr>
              <w:t>仅切换本机会话角色，不作为财务业务审计变更，不增加业务revision。</w:t>
            </w:r>
          </w:p>
        </w:tc>
      </w:tr>
    </w:tbl>
    <w:p>
      <w:pPr>
        <w:spacing w:after="40"/>
      </w:pPr>
    </w:p>
    <w:p>
      <w:r>
        <w:rPr>
          <w:rFonts w:ascii="Arial" w:hAnsi="Arial" w:eastAsia="宋体"/>
          <w:b w:val="0"/>
          <w:i w:val="0"/>
        </w:rPr>
        <w:t>请求正文整体限制为12000000字节。ERP上传文件解码后最大8000000字节，ERP CSV文本UTF-8最大9000000字节；六列手工三表CSV仍有单独旧合同限制。NC6.5目前为文件导入，onlineConnected=false；没有NC在线API、SSO或生产身份授权。</w:t>
      </w:r>
    </w:p>
    <w:p>
      <w:pPr>
        <w:pStyle w:val="Heading2"/>
      </w:pPr>
      <w:bookmarkStart w:id="45" w:name="epm_45"/>
      <w:r>
        <w:rPr>
          <w:rFonts w:ascii="Arial" w:hAnsi="Arial" w:eastAsia="宋体"/>
          <w:b w:val="0"/>
          <w:i w:val="0"/>
        </w:rPr>
        <w:t>A.3 法人、管理合并范围和真实持股</w:t>
      </w:r>
      <w:bookmarkEnd w:id="45"/>
    </w:p>
    <w:p>
      <w:pPr>
        <w:pStyle w:val="Heading3"/>
      </w:pPr>
      <w:bookmarkStart w:id="46" w:name="epm_46"/>
      <w:r>
        <w:rPr>
          <w:rFonts w:ascii="Arial" w:hAnsi="Arial" w:eastAsia="宋体"/>
          <w:b w:val="0"/>
          <w:i w:val="0"/>
        </w:rPr>
        <w:t>A.3.1 法人档案 entities[]</w:t>
      </w:r>
      <w:bookmarkEnd w:id="46"/>
    </w:p>
    <w:p>
      <w:r>
        <w:rPr>
          <w:rFonts w:ascii="Arial" w:hAnsi="Arial" w:eastAsia="宋体"/>
          <w:b w:val="0"/>
          <w:i w:val="0"/>
        </w:rPr>
        <w:t>存储路径：</w:t>
      </w:r>
      <w:r>
        <w:rPr>
          <w:rFonts w:ascii="Consolas" w:hAnsi="Consolas" w:eastAsia="宋体"/>
          <w:b w:val="0"/>
          <w:i w:val="0"/>
          <w:sz w:val="18"/>
        </w:rPr>
        <w:t>state.document.entities[]</w:t>
      </w:r>
      <w:r>
        <w:rPr>
          <w:rFonts w:ascii="Arial" w:hAnsi="Arial" w:eastAsia="宋体"/>
          <w:b w:val="0"/>
          <w:i w:val="0"/>
        </w:rPr>
        <w:t>。写动作：entity_save；MGR。更改法人档案会使包含该法人的相关合并范围历史有效性失效，跨期间已签核依赖需先重开。新增法人不会自动生成真实报送；需要维护合并范围和三表源。</w:t>
      </w:r>
    </w:p>
    <w:tbl>
      <w:tblPr>
        <w:tblStyle w:val="TableGrid"/>
        <w:tblW w:type="auto" w:w="0"/>
        <w:jc w:val="center"/>
        <w:tblLayout w:type="fixed"/>
        <w:tblLook w:firstColumn="1" w:firstRow="1" w:lastColumn="0" w:lastRow="0" w:noHBand="0" w:noVBand="1" w:val="04A0"/>
      </w:tblPr>
      <w:tblGrid>
        <w:gridCol w:w="1896"/>
        <w:gridCol w:w="1969"/>
        <w:gridCol w:w="1746"/>
        <w:gridCol w:w="3795"/>
      </w:tblGrid>
      <w:tr>
        <w:trPr>
          <w:cantSplit/>
          <w:tblHeader w:val="true"/>
        </w:trPr>
        <w:tc>
          <w:tcPr>
            <w:tcW w:type="dxa" w:w="18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9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7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校验、来源及关联</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法人内部标识，ID</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新增必填；编辑以原ID定位</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存在则更新，不存在则新增；技术主键，例如HW_CAT，不能通过改ID实现无痕重命名。</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法人业务编码，S(30)</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新增必填；已有法人可沿用旧值</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全账套唯一；CSV既可识别code也可识别id。</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name</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独立法人名称，S(100)</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保持用户确认的完整名称；不能因名称有“事业部”“工厂”而把法人当内部部门。</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short</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法人简称，S(100)</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缺省name</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用于交易双方和表格短标签。</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报送负责人，S(100)</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缺省“演示财务负责人”</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仅文本责任人，不创建生产账号或审批代理关系。</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记账本位币，enum</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新增必填；编辑可沿用</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仅CNY/USD；已有任何期间报送，或ERP期初／凭证／余额行／账簿映射后不能直接修改本位币。</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currencyCode</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本位币兼容键，enum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RO，等于currency</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服务端同步生成，客户端不用单独维护。</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parentId</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实际直接母公司ID，ID/null</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可空；编辑缺省沿用旧值</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指向真实法人，不是管理合并单元；须无持股循环。页面通过独立持股维护入口设置。</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ownershipPercent</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实际持股比例，number</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RO，本版固定100</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entity_save/ownership_save的percent只允许100；非全资本版拒绝。</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percent</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兼容展示持股比例，number</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新建适用股比固定100</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不作为新的独立权益比例来源；正式判断使用真实ownership关系。</w:t>
            </w:r>
          </w:p>
        </w:tc>
      </w:tr>
      <w:tr>
        <w:trPr>
          <w:cantSplit/>
        </w:trPr>
        <w:tc>
          <w:tcPr>
            <w:tcW w:type="dxa" w:w="1896"/>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96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法人配置版本，integer</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RO；新增1、编辑加1</w:t>
            </w:r>
          </w:p>
        </w:tc>
        <w:tc>
          <w:tcPr>
            <w:tcW w:type="dxa" w:w="3795"/>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结果依赖及配置留档使用。</w:t>
            </w:r>
          </w:p>
        </w:tc>
      </w:tr>
      <w:tr>
        <w:trPr>
          <w:cantSplit/>
        </w:trPr>
        <w:tc>
          <w:tcPr>
            <w:tcW w:type="dxa" w:w="1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enabled</w:t>
            </w:r>
          </w:p>
        </w:tc>
        <w:tc>
          <w:tcPr>
            <w:tcW w:type="dxa" w:w="19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启用标记，boolean</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RO，本版保存为true</w:t>
            </w:r>
          </w:p>
        </w:tc>
        <w:tc>
          <w:tcPr>
            <w:tcW w:type="dxa" w:w="37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当前没有删除/停用法人动作，不得把此字段解释为已实现完整生效日期管理。</w:t>
            </w:r>
          </w:p>
        </w:tc>
      </w:tr>
    </w:tbl>
    <w:p>
      <w:pPr>
        <w:spacing w:after="40"/>
      </w:pPr>
    </w:p>
    <w:p>
      <w:pPr>
        <w:pStyle w:val="Heading3"/>
      </w:pPr>
      <w:bookmarkStart w:id="47" w:name="epm_47"/>
      <w:r>
        <w:rPr>
          <w:rFonts w:ascii="Arial" w:hAnsi="Arial" w:eastAsia="宋体"/>
          <w:b w:val="0"/>
          <w:i w:val="0"/>
        </w:rPr>
        <w:t>A.3.2 管理合并单元 units[]</w:t>
      </w:r>
      <w:bookmarkEnd w:id="47"/>
    </w:p>
    <w:p>
      <w:r>
        <w:rPr>
          <w:rFonts w:ascii="Arial" w:hAnsi="Arial" w:eastAsia="宋体"/>
          <w:b w:val="0"/>
          <w:i w:val="0"/>
        </w:rPr>
        <w:t>存储路径：</w:t>
      </w:r>
      <w:r>
        <w:rPr>
          <w:rFonts w:ascii="Consolas" w:hAnsi="Consolas" w:eastAsia="宋体"/>
          <w:b w:val="0"/>
          <w:i w:val="0"/>
          <w:sz w:val="18"/>
        </w:rPr>
        <w:t>units[]</w:t>
      </w:r>
      <w:r>
        <w:rPr>
          <w:rFonts w:ascii="Arial" w:hAnsi="Arial" w:eastAsia="宋体"/>
          <w:b w:val="0"/>
          <w:i w:val="0"/>
        </w:rPr>
        <w:t>。写动作：unit_save；MGR。单元配置为跨期间配置；有相关期间已签核时先重开受影响链。保存配置会对相关单元及祖先跨期间失效，原结果快照金额保留。</w:t>
      </w:r>
    </w:p>
    <w:tbl>
      <w:tblPr>
        <w:tblStyle w:val="TableGrid"/>
        <w:tblW w:type="auto" w:w="0"/>
        <w:jc w:val="center"/>
        <w:tblLayout w:type="fixed"/>
        <w:tblLook w:firstColumn="1" w:firstRow="1" w:lastColumn="0" w:lastRow="0" w:noHBand="0" w:noVBand="1" w:val="04A0"/>
      </w:tblPr>
      <w:tblGrid>
        <w:gridCol w:w="1688"/>
        <w:gridCol w:w="1688"/>
        <w:gridCol w:w="2358"/>
        <w:gridCol w:w="3671"/>
      </w:tblGrid>
      <w:tr>
        <w:trPr>
          <w:cantSplit/>
          <w:tblHeader w:val="true"/>
        </w:trPr>
        <w:tc>
          <w:tcPr>
            <w:tcW w:type="dxa" w:w="16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5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6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校验、来源及关联</w:t>
            </w:r>
          </w:p>
        </w:tc>
      </w:tr>
      <w:tr>
        <w:trPr>
          <w:cantSplit/>
        </w:trPr>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合并单元ID，ID</w:t>
            </w:r>
          </w:p>
        </w:tc>
        <w:tc>
          <w:tcPr>
            <w:tcW w:type="dxa" w:w="2358"/>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671"/>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新增或按原ID更新；例如HW_GROUP。</w:t>
            </w:r>
          </w:p>
        </w:tc>
      </w:tr>
      <w:tr>
        <w:trPr>
          <w:cantSplit/>
        </w:trPr>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w:t>
            </w:r>
          </w:p>
        </w:tc>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合并单元名称，S(100)</w:t>
            </w:r>
          </w:p>
        </w:tc>
        <w:tc>
          <w:tcPr>
            <w:tcW w:type="dxa" w:w="23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不等同独立法人名称或工商母公司。</w:t>
            </w:r>
          </w:p>
        </w:tc>
      </w:tr>
      <w:tr>
        <w:trPr>
          <w:cantSplit/>
        </w:trPr>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w:t>
            </w:r>
          </w:p>
        </w:tc>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报表币种，enum</w:t>
            </w:r>
          </w:p>
        </w:tc>
        <w:tc>
          <w:tcPr>
            <w:tcW w:type="dxa" w:w="2358"/>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必填CNY/USD</w:t>
            </w:r>
          </w:p>
        </w:tc>
        <w:tc>
          <w:tcPr>
            <w:tcW w:type="dxa" w:w="3671"/>
            <w:vAlign w:val="top"/>
            <w:tcMar>
              <w:top w:w="65" w:type="dxa"/>
              <w:bottom w:w="65" w:type="dxa"/>
              <w:left w:w="65" w:type="dxa"/>
              <w:right w:w="65" w:type="dxa"/>
            </w:tcMar>
          </w:tcPr>
          <w:p>
            <w:pPr>
              <w:spacing w:before="30" w:after="30" w:line="252" w:lineRule="auto"/>
            </w:pPr>
            <w:r>
              <w:rPr>
                <w:rFonts w:ascii="Arial" w:hAnsi="Arial" w:eastAsia="宋体"/>
                <w:b w:val="0"/>
                <w:i w:val="0"/>
                <w:sz w:val="18"/>
              </w:rPr>
              <w:t>只能同币种输入或USD→CNY；CNY→USD配置拒绝。历史结果继续按原快照币种展示。</w:t>
            </w:r>
          </w:p>
        </w:tc>
      </w:tr>
      <w:tr>
        <w:trPr>
          <w:cantSplit/>
        </w:trPr>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members</w:t>
            </w:r>
          </w:p>
        </w:tc>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直接成员，array</w:t>
            </w:r>
          </w:p>
        </w:tc>
        <w:tc>
          <w:tcPr>
            <w:tcW w:type="dxa" w:w="23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业务单元保存须1—200项；初始技术容器例外为空</w:t>
            </w:r>
          </w:p>
        </w:tc>
        <w:tc>
          <w:tcPr>
            <w:tcW w:type="dxa" w:w="3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成员必须真实存在；无重复成员、无循环、同一上级树内无重复叶子法人。</w:t>
            </w:r>
          </w:p>
        </w:tc>
      </w:tr>
      <w:tr>
        <w:trPr>
          <w:cantSplit/>
        </w:trPr>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members[].type</w:t>
            </w:r>
          </w:p>
        </w:tc>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成员类型，enum</w:t>
            </w:r>
          </w:p>
        </w:tc>
        <w:tc>
          <w:tcPr>
            <w:tcW w:type="dxa" w:w="2358"/>
            <w:vAlign w:val="top"/>
            <w:tcMar>
              <w:top w:w="65" w:type="dxa"/>
              <w:bottom w:w="65" w:type="dxa"/>
              <w:left w:w="65" w:type="dxa"/>
              <w:right w:w="65" w:type="dxa"/>
            </w:tcMar>
          </w:tcPr>
          <w:p>
            <w:pPr>
              <w:spacing w:before="30" w:after="30" w:line="252" w:lineRule="auto"/>
            </w:pPr>
            <w:r>
              <w:rPr>
                <w:rFonts w:ascii="Arial" w:hAnsi="Arial" w:eastAsia="宋体"/>
                <w:b w:val="0"/>
                <w:i w:val="0"/>
                <w:sz w:val="18"/>
              </w:rPr>
              <w:t>每项必填</w:t>
            </w:r>
          </w:p>
        </w:tc>
        <w:tc>
          <w:tcPr>
            <w:tcW w:type="dxa" w:w="3671"/>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entity为单体报送；unit为下级结果。每项只含type、id两键。</w:t>
            </w:r>
          </w:p>
        </w:tc>
      </w:tr>
      <w:tr>
        <w:trPr>
          <w:cantSplit/>
        </w:trPr>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members[].id</w:t>
            </w:r>
          </w:p>
        </w:tc>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成员引用ID，ID</w:t>
            </w:r>
          </w:p>
        </w:tc>
        <w:tc>
          <w:tcPr>
            <w:tcW w:type="dxa" w:w="23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每项必填</w:t>
            </w:r>
          </w:p>
        </w:tc>
        <w:tc>
          <w:tcPr>
            <w:tcW w:type="dxa" w:w="3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entity引用entities.id；unit引用units.id；下级unit只能有一个上级。</w:t>
            </w:r>
          </w:p>
        </w:tc>
      </w:tr>
      <w:tr>
        <w:trPr>
          <w:cantSplit/>
        </w:trPr>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688"/>
            <w:vAlign w:val="top"/>
            <w:tcMar>
              <w:top w:w="65" w:type="dxa"/>
              <w:bottom w:w="65" w:type="dxa"/>
              <w:left w:w="65" w:type="dxa"/>
              <w:right w:w="65" w:type="dxa"/>
            </w:tcMar>
          </w:tcPr>
          <w:p>
            <w:pPr>
              <w:spacing w:before="30" w:after="30" w:line="252" w:lineRule="auto"/>
            </w:pPr>
            <w:r>
              <w:rPr>
                <w:rFonts w:ascii="Arial" w:hAnsi="Arial" w:eastAsia="宋体"/>
                <w:b w:val="0"/>
                <w:i w:val="0"/>
                <w:sz w:val="18"/>
              </w:rPr>
              <w:t>范围配置版本，integer</w:t>
            </w:r>
          </w:p>
        </w:tc>
        <w:tc>
          <w:tcPr>
            <w:tcW w:type="dxa" w:w="2358"/>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RO；新增1，编辑加1</w:t>
            </w:r>
          </w:p>
        </w:tc>
        <w:tc>
          <w:tcPr>
            <w:tcW w:type="dxa" w:w="3671"/>
            <w:vAlign w:val="top"/>
            <w:tcMar>
              <w:top w:w="65" w:type="dxa"/>
              <w:bottom w:w="65" w:type="dxa"/>
              <w:left w:w="65" w:type="dxa"/>
              <w:right w:w="65" w:type="dxa"/>
            </w:tcMar>
          </w:tcPr>
          <w:p>
            <w:pPr>
              <w:spacing w:before="30" w:after="30" w:line="252" w:lineRule="auto"/>
            </w:pPr>
            <w:r>
              <w:rPr>
                <w:rFonts w:ascii="Arial" w:hAnsi="Arial" w:eastAsia="宋体"/>
                <w:b w:val="0"/>
                <w:i w:val="0"/>
                <w:sz w:val="18"/>
              </w:rPr>
              <w:t>写入结果依赖和unitSnapshots。</w:t>
            </w:r>
          </w:p>
        </w:tc>
      </w:tr>
      <w:tr>
        <w:trPr>
          <w:cantSplit/>
        </w:trPr>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isFramework</w:t>
            </w:r>
          </w:p>
        </w:tc>
        <w:tc>
          <w:tcPr>
            <w:tcW w:type="dxa" w:w="1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技术容器标记，boolean</w:t>
            </w:r>
          </w:p>
        </w:tc>
        <w:tc>
          <w:tcPr>
            <w:tcW w:type="dxa" w:w="23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仅初始TY_GROUP可为true</w:t>
            </w:r>
          </w:p>
        </w:tc>
        <w:tc>
          <w:tcPr>
            <w:tcW w:type="dxa" w:w="36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允许空容器供导航/建档；不放行无成员计算，配置真实成员后按业务单元判断。</w:t>
            </w:r>
          </w:p>
        </w:tc>
      </w:tr>
    </w:tbl>
    <w:p>
      <w:pPr>
        <w:spacing w:after="40"/>
      </w:pPr>
    </w:p>
    <w:p>
      <w:r>
        <w:rPr>
          <w:rFonts w:ascii="Arial" w:hAnsi="Arial" w:eastAsia="宋体"/>
          <w:b w:val="0"/>
          <w:i w:val="0"/>
        </w:rPr>
        <w:t>管理树中已经纳入一个小合并结果，不能同时加入它的任一单体。未挂到同一根的独立管理单元可以暂时引用相同法人，用于“先建新小合并、签核，再替换集团成员”的配置过程；最终根的每条路径仍须去重。成员变更不得使已有未停用内部销售抵销偏离双方最低共同合并层。</w:t>
      </w:r>
    </w:p>
    <w:p>
      <w:pPr>
        <w:pStyle w:val="Heading3"/>
      </w:pPr>
      <w:bookmarkStart w:id="48" w:name="epm_48"/>
      <w:r>
        <w:rPr>
          <w:rFonts w:ascii="Arial" w:hAnsi="Arial" w:eastAsia="宋体"/>
          <w:b w:val="0"/>
          <w:i w:val="0"/>
        </w:rPr>
        <w:t>A.3.3 真实持股 ownership[]</w:t>
      </w:r>
      <w:bookmarkEnd w:id="48"/>
    </w:p>
    <w:tbl>
      <w:tblPr>
        <w:tblStyle w:val="TableGrid"/>
        <w:tblW w:type="auto" w:w="0"/>
        <w:jc w:val="center"/>
        <w:tblLayout w:type="fixed"/>
        <w:tblLook w:firstColumn="1" w:firstRow="1" w:lastColumn="0" w:lastRow="0" w:noHBand="0" w:noVBand="1" w:val="04A0"/>
      </w:tblPr>
      <w:tblGrid>
        <w:gridCol w:w="1668"/>
        <w:gridCol w:w="1588"/>
        <w:gridCol w:w="1668"/>
        <w:gridCol w:w="4482"/>
      </w:tblGrid>
      <w:tr>
        <w:trPr>
          <w:cantSplit/>
          <w:tblHeader w:val="true"/>
        </w:trPr>
        <w:tc>
          <w:tcPr>
            <w:tcW w:type="dxa" w:w="16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6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44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校验与映射</w:t>
            </w:r>
          </w:p>
        </w:tc>
      </w:tr>
      <w:tr>
        <w:trPr>
          <w:cantSplit/>
        </w:trPr>
        <w:tc>
          <w:tcPr>
            <w:tcW w:type="dxa" w:w="1668"/>
            <w:vAlign w:val="top"/>
            <w:tcMar>
              <w:top w:w="65" w:type="dxa"/>
              <w:bottom w:w="65" w:type="dxa"/>
              <w:left w:w="65" w:type="dxa"/>
              <w:right w:w="65" w:type="dxa"/>
            </w:tcMar>
          </w:tcPr>
          <w:p>
            <w:pPr>
              <w:spacing w:before="30" w:after="30" w:line="252" w:lineRule="auto"/>
            </w:pPr>
            <w:r>
              <w:rPr>
                <w:rFonts w:ascii="Arial" w:hAnsi="Arial" w:eastAsia="宋体"/>
                <w:b w:val="0"/>
                <w:i w:val="0"/>
                <w:sz w:val="18"/>
              </w:rPr>
              <w:t>parent</w:t>
            </w:r>
          </w:p>
        </w:tc>
        <w:tc>
          <w:tcPr>
            <w:tcW w:type="dxa" w:w="1588"/>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直接母公司，ID</w:t>
            </w:r>
          </w:p>
        </w:tc>
        <w:tc>
          <w:tcPr>
            <w:tcW w:type="dxa" w:w="1668"/>
            <w:vAlign w:val="top"/>
            <w:tcMar>
              <w:top w:w="65" w:type="dxa"/>
              <w:bottom w:w="65" w:type="dxa"/>
              <w:left w:w="65" w:type="dxa"/>
              <w:right w:w="65" w:type="dxa"/>
            </w:tcMar>
          </w:tcPr>
          <w:p>
            <w:pPr>
              <w:spacing w:before="30" w:after="30" w:line="252" w:lineRule="auto"/>
            </w:pPr>
            <w:r>
              <w:rPr>
                <w:rFonts w:ascii="Arial" w:hAnsi="Arial" w:eastAsia="宋体"/>
                <w:b w:val="0"/>
                <w:i w:val="0"/>
                <w:sz w:val="18"/>
              </w:rPr>
              <w:t>有持股时必填</w:t>
            </w:r>
          </w:p>
        </w:tc>
        <w:tc>
          <w:tcPr>
            <w:tcW w:type="dxa" w:w="4482"/>
            <w:vAlign w:val="top"/>
            <w:tcMar>
              <w:top w:w="65" w:type="dxa"/>
              <w:bottom w:w="65" w:type="dxa"/>
              <w:left w:w="65" w:type="dxa"/>
              <w:right w:w="65" w:type="dxa"/>
            </w:tcMar>
          </w:tcPr>
          <w:p>
            <w:pPr>
              <w:spacing w:before="30" w:after="30" w:line="252" w:lineRule="auto"/>
            </w:pPr>
            <w:r>
              <w:rPr>
                <w:rFonts w:ascii="Arial" w:hAnsi="Arial" w:eastAsia="宋体"/>
                <w:b w:val="0"/>
                <w:i w:val="0"/>
                <w:sz w:val="18"/>
              </w:rPr>
              <w:t>存储键parent；写接口参数名parentId，引用entities.id；集团本部可传null清除母关系，不产生虚构母公司。</w:t>
            </w:r>
          </w:p>
        </w:tc>
      </w:tr>
      <w:tr>
        <w:trPr>
          <w:cantSplit/>
        </w:trPr>
        <w:tc>
          <w:tcPr>
            <w:tcW w:type="dxa" w:w="16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child</w:t>
            </w:r>
          </w:p>
        </w:tc>
        <w:tc>
          <w:tcPr>
            <w:tcW w:type="dxa" w:w="15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被持股法人，ID</w:t>
            </w:r>
          </w:p>
        </w:tc>
        <w:tc>
          <w:tcPr>
            <w:tcW w:type="dxa" w:w="16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44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存储键child；写接口参数名entityId。一个法人最多一个直接母公司。</w:t>
            </w:r>
          </w:p>
        </w:tc>
      </w:tr>
      <w:tr>
        <w:trPr>
          <w:cantSplit/>
        </w:trPr>
        <w:tc>
          <w:tcPr>
            <w:tcW w:type="dxa" w:w="1668"/>
            <w:vAlign w:val="top"/>
            <w:tcMar>
              <w:top w:w="65" w:type="dxa"/>
              <w:bottom w:w="65" w:type="dxa"/>
              <w:left w:w="65" w:type="dxa"/>
              <w:right w:w="65" w:type="dxa"/>
            </w:tcMar>
          </w:tcPr>
          <w:p>
            <w:pPr>
              <w:spacing w:before="30" w:after="30" w:line="252" w:lineRule="auto"/>
            </w:pPr>
            <w:r>
              <w:rPr>
                <w:rFonts w:ascii="Arial" w:hAnsi="Arial" w:eastAsia="宋体"/>
                <w:b w:val="0"/>
                <w:i w:val="0"/>
                <w:sz w:val="18"/>
              </w:rPr>
              <w:t>percent</w:t>
            </w:r>
          </w:p>
        </w:tc>
        <w:tc>
          <w:tcPr>
            <w:tcW w:type="dxa" w:w="1588"/>
            <w:vAlign w:val="top"/>
            <w:tcMar>
              <w:top w:w="65" w:type="dxa"/>
              <w:bottom w:w="65" w:type="dxa"/>
              <w:left w:w="65" w:type="dxa"/>
              <w:right w:w="65" w:type="dxa"/>
            </w:tcMar>
          </w:tcPr>
          <w:p>
            <w:pPr>
              <w:spacing w:before="30" w:after="30" w:line="252" w:lineRule="auto"/>
            </w:pPr>
            <w:r>
              <w:rPr>
                <w:rFonts w:ascii="Arial" w:hAnsi="Arial" w:eastAsia="宋体"/>
                <w:b w:val="0"/>
                <w:i w:val="0"/>
                <w:sz w:val="18"/>
              </w:rPr>
              <w:t>持股比例，number</w:t>
            </w:r>
          </w:p>
        </w:tc>
        <w:tc>
          <w:tcPr>
            <w:tcW w:type="dxa" w:w="1668"/>
            <w:vAlign w:val="top"/>
            <w:tcMar>
              <w:top w:w="65" w:type="dxa"/>
              <w:bottom w:w="65" w:type="dxa"/>
              <w:left w:w="65" w:type="dxa"/>
              <w:right w:w="65" w:type="dxa"/>
            </w:tcMar>
          </w:tcPr>
          <w:p>
            <w:pPr>
              <w:spacing w:before="30" w:after="30" w:line="252" w:lineRule="auto"/>
            </w:pPr>
            <w:r>
              <w:rPr>
                <w:rFonts w:ascii="Arial" w:hAnsi="Arial" w:eastAsia="宋体"/>
                <w:b w:val="0"/>
                <w:i w:val="0"/>
                <w:sz w:val="18"/>
              </w:rPr>
              <w:t>固定100</w:t>
            </w:r>
          </w:p>
        </w:tc>
        <w:tc>
          <w:tcPr>
            <w:tcW w:type="dxa" w:w="4482"/>
            <w:vAlign w:val="top"/>
            <w:tcMar>
              <w:top w:w="65" w:type="dxa"/>
              <w:bottom w:w="65" w:type="dxa"/>
              <w:left w:w="65" w:type="dxa"/>
              <w:right w:w="65" w:type="dxa"/>
            </w:tcMar>
          </w:tcPr>
          <w:p>
            <w:pPr>
              <w:spacing w:before="30" w:after="30" w:line="252" w:lineRule="auto"/>
            </w:pPr>
            <w:r>
              <w:rPr>
                <w:rFonts w:ascii="Arial" w:hAnsi="Arial" w:eastAsia="宋体"/>
                <w:b w:val="0"/>
                <w:i w:val="0"/>
                <w:sz w:val="18"/>
              </w:rPr>
              <w:t>非100拒绝；不能通过管理树推导持股比例。</w:t>
            </w:r>
          </w:p>
        </w:tc>
      </w:tr>
      <w:tr>
        <w:trPr>
          <w:cantSplit/>
        </w:trPr>
        <w:tc>
          <w:tcPr>
            <w:tcW w:type="dxa" w:w="16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method</w:t>
            </w:r>
          </w:p>
        </w:tc>
        <w:tc>
          <w:tcPr>
            <w:tcW w:type="dxa" w:w="15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合并方法，enum</w:t>
            </w:r>
          </w:p>
        </w:tc>
        <w:tc>
          <w:tcPr>
            <w:tcW w:type="dxa" w:w="16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固定全额合并</w:t>
            </w:r>
          </w:p>
        </w:tc>
        <w:tc>
          <w:tcPr>
            <w:tcW w:type="dxa" w:w="44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非全额合并拒绝。</w:t>
            </w:r>
          </w:p>
        </w:tc>
      </w:tr>
      <w:tr>
        <w:trPr>
          <w:cantSplit/>
        </w:trPr>
        <w:tc>
          <w:tcPr>
            <w:tcW w:type="dxa" w:w="1668"/>
            <w:vAlign w:val="top"/>
            <w:tcMar>
              <w:top w:w="65" w:type="dxa"/>
              <w:bottom w:w="65" w:type="dxa"/>
              <w:left w:w="65" w:type="dxa"/>
              <w:right w:w="65" w:type="dxa"/>
            </w:tcMar>
          </w:tcPr>
          <w:p>
            <w:pPr>
              <w:spacing w:before="30" w:after="30" w:line="252" w:lineRule="auto"/>
            </w:pPr>
            <w:r>
              <w:rPr>
                <w:rFonts w:ascii="Arial" w:hAnsi="Arial" w:eastAsia="宋体"/>
                <w:b w:val="0"/>
                <w:i w:val="0"/>
                <w:sz w:val="18"/>
              </w:rPr>
              <w:t>effectiveFrom</w:t>
            </w:r>
          </w:p>
        </w:tc>
        <w:tc>
          <w:tcPr>
            <w:tcW w:type="dxa" w:w="1588"/>
            <w:vAlign w:val="top"/>
            <w:tcMar>
              <w:top w:w="65" w:type="dxa"/>
              <w:bottom w:w="65" w:type="dxa"/>
              <w:left w:w="65" w:type="dxa"/>
              <w:right w:w="65" w:type="dxa"/>
            </w:tcMar>
          </w:tcPr>
          <w:p>
            <w:pPr>
              <w:spacing w:before="30" w:after="30" w:line="252" w:lineRule="auto"/>
            </w:pPr>
            <w:r>
              <w:rPr>
                <w:rFonts w:ascii="Arial" w:hAnsi="Arial" w:eastAsia="宋体"/>
                <w:b w:val="0"/>
                <w:i w:val="0"/>
                <w:sz w:val="18"/>
              </w:rPr>
              <w:t>样例生效日，date文本</w:t>
            </w:r>
          </w:p>
        </w:tc>
        <w:tc>
          <w:tcPr>
            <w:tcW w:type="dxa" w:w="1668"/>
            <w:vAlign w:val="top"/>
            <w:tcMar>
              <w:top w:w="65" w:type="dxa"/>
              <w:bottom w:w="65" w:type="dxa"/>
              <w:left w:w="65" w:type="dxa"/>
              <w:right w:w="65" w:type="dxa"/>
            </w:tcMar>
          </w:tcPr>
          <w:p>
            <w:pPr>
              <w:spacing w:before="30" w:after="30" w:line="252" w:lineRule="auto"/>
            </w:pPr>
            <w:r>
              <w:rPr>
                <w:rFonts w:ascii="Arial" w:hAnsi="Arial" w:eastAsia="宋体"/>
                <w:b w:val="0"/>
                <w:i w:val="0"/>
                <w:sz w:val="18"/>
              </w:rPr>
              <w:t>RO，2026-01-01</w:t>
            </w:r>
          </w:p>
        </w:tc>
        <w:tc>
          <w:tcPr>
            <w:tcW w:type="dxa" w:w="4482"/>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本版固定示例值，没有工商股权事件、收购日或跨期持股变化台账。</w:t>
            </w:r>
          </w:p>
        </w:tc>
      </w:tr>
    </w:tbl>
    <w:p>
      <w:pPr>
        <w:spacing w:after="40"/>
      </w:pPr>
    </w:p>
    <w:p>
      <w:r>
        <w:rPr>
          <w:rFonts w:ascii="Arial" w:hAnsi="Arial" w:eastAsia="宋体"/>
          <w:b w:val="0"/>
          <w:i w:val="0"/>
        </w:rPr>
        <w:t>初始没有任何真实持股。用户可在已建集团本部与三家独立法人后明确维护天元100%持股。投资权益抵销必须引用真实parent/child关系；把两家归入鸿旺管理范围不会生成鸿旺作为股东的虚构投资。</w:t>
      </w:r>
    </w:p>
    <w:p>
      <w:pPr>
        <w:pStyle w:val="Heading2"/>
      </w:pPr>
      <w:bookmarkStart w:id="49" w:name="epm_49"/>
      <w:r>
        <w:rPr>
          <w:rFonts w:ascii="Arial" w:hAnsi="Arial" w:eastAsia="宋体"/>
          <w:b w:val="0"/>
          <w:i w:val="0"/>
        </w:rPr>
        <w:t>A.4 法人完整财务源报送</w:t>
      </w:r>
      <w:bookmarkEnd w:id="49"/>
    </w:p>
    <w:p>
      <w:r>
        <w:rPr>
          <w:rFonts w:ascii="Arial" w:hAnsi="Arial" w:eastAsia="宋体"/>
          <w:b w:val="0"/>
          <w:i w:val="0"/>
        </w:rPr>
        <w:t>Foundation正式合并必须每个叶子都有当前有效的ERP凭证派生源及科目余额核对。下列六区字段用于解释凭证派生源与历史只读源。Foundation对外source_save/source_import/tb_import返回403 voucher_source_required，不能手工编辑或汇总CSV导入绕过凭证异常。</w:t>
      </w:r>
    </w:p>
    <w:p>
      <w:r>
        <w:rPr>
          <w:rFonts w:ascii="Arial" w:hAnsi="Arial" w:eastAsia="宋体"/>
          <w:b w:val="0"/>
          <w:i w:val="0"/>
        </w:rPr>
        <w:t>存储路径：</w:t>
      </w:r>
      <w:r>
        <w:rPr>
          <w:rFonts w:ascii="Consolas" w:hAnsi="Consolas" w:eastAsia="宋体"/>
          <w:b w:val="0"/>
          <w:i w:val="0"/>
          <w:sz w:val="18"/>
        </w:rPr>
        <w:t>sources[月份字符串][法人ID]</w:t>
      </w:r>
      <w:r>
        <w:rPr>
          <w:rFonts w:ascii="Arial" w:hAnsi="Arial" w:eastAsia="宋体"/>
          <w:b w:val="0"/>
          <w:i w:val="0"/>
        </w:rPr>
        <w:t>；当前版由WR通过erp_report_generate从有效账务生成。source_save及六列源CSV仅保留历史数据结构说明，外部调用均403，手工源不能伪造ERP血缘。生成前检查所有受影响范围当月开放；完整派生源通过全部校验后才整体替换该法人当月源，不能把缺字段当作保留旧值。</w:t>
      </w:r>
    </w:p>
    <w:p>
      <w:pPr>
        <w:pStyle w:val="Heading3"/>
      </w:pPr>
      <w:bookmarkStart w:id="50" w:name="epm_50"/>
      <w:r>
        <w:rPr>
          <w:rFonts w:ascii="Arial" w:hAnsi="Arial" w:eastAsia="宋体"/>
          <w:b w:val="0"/>
          <w:i w:val="0"/>
        </w:rPr>
        <w:t>A.4.1 源对象的结构与元数据</w:t>
      </w:r>
      <w:bookmarkEnd w:id="50"/>
    </w:p>
    <w:tbl>
      <w:tblPr>
        <w:tblStyle w:val="TableGrid"/>
        <w:tblW w:type="auto" w:w="0"/>
        <w:jc w:val="center"/>
        <w:tblLayout w:type="fixed"/>
        <w:tblLook w:firstColumn="1" w:firstRow="1" w:lastColumn="0" w:lastRow="0" w:noHBand="0" w:noVBand="1" w:val="04A0"/>
      </w:tblPr>
      <w:tblGrid>
        <w:gridCol w:w="1716"/>
        <w:gridCol w:w="1644"/>
        <w:gridCol w:w="1786"/>
        <w:gridCol w:w="4260"/>
      </w:tblGrid>
      <w:tr>
        <w:trPr>
          <w:cantSplit/>
          <w:tblHeader w:val="true"/>
        </w:trPr>
        <w:tc>
          <w:tcPr>
            <w:tcW w:type="dxa" w:w="17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42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规则与来源</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源数据版本，integer</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RO，旧版本+1；首次1</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请求即使带version也不能指定实际版本；历史结果保存当时源副本。</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本位币，enum</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可省略，由法人档案取得</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传入值必须等于法人本位币；不允许把已折算CNY金额重标成USD。</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源状态，enum</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RO，保存后已报送</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没有“客户端勾选报送即通过”的旁路。</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sourceName</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来源说明，S(150)</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由凭证生成器设置</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用于来源追溯；历史源可保留旧手工来源名称，不表示当前允许手工报送。</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期初资产负债，object</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18个BS键全部必填</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金额M可正负，必须期初资产=负债+权益。</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closing</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期末资产负债，object</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18个BS键全部必填</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期末数已经包含本期损益结转；不得再次往retained加净利润。</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profit</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本年累计损益，object</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5个PL键全部必填</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不提交net、gross等派生字段。</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cashflow</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本年累计现金流，object</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4个CF键全部必填</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是明确报送来源，不能由现金差额倒挤经营现金流。</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monthlyProfit</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逐月损益发生额，map</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1至当前月全部必填，每月5键齐全</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每字段月发生额之和必须等于profit对应累计数。</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monthlyCashflow</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逐月现金流发生额，map</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1至当前月全部必填，每月4键齐全</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每字段月发生额之和必须等于cashflow对应累计数。</w:t>
            </w:r>
          </w:p>
        </w:tc>
      </w:tr>
      <w:tr>
        <w:trPr>
          <w:cantSplit/>
        </w:trPr>
        <w:tc>
          <w:tcPr>
            <w:tcW w:type="dxa" w:w="1716"/>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capitalMovement</w:t>
            </w:r>
          </w:p>
        </w:tc>
        <w:tc>
          <w:tcPr>
            <w:tcW w:type="dxa" w:w="16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期间资本变动，M</w:t>
            </w:r>
          </w:p>
        </w:tc>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缺省0，本版必须0</w:t>
            </w:r>
          </w:p>
        </w:tc>
        <w:tc>
          <w:tcPr>
            <w:tcW w:type="dxa" w:w="4260"/>
            <w:vAlign w:val="top"/>
            <w:tcMar>
              <w:top w:w="65" w:type="dxa"/>
              <w:bottom w:w="65" w:type="dxa"/>
              <w:left w:w="65" w:type="dxa"/>
              <w:right w:w="65" w:type="dxa"/>
            </w:tcMar>
          </w:tcPr>
          <w:p>
            <w:pPr>
              <w:spacing w:before="30" w:after="30" w:line="252" w:lineRule="auto"/>
            </w:pPr>
            <w:r>
              <w:rPr>
                <w:rFonts w:ascii="Arial" w:hAnsi="Arial" w:eastAsia="宋体"/>
                <w:b w:val="0"/>
                <w:i w:val="0"/>
                <w:sz w:val="18"/>
              </w:rPr>
              <w:t>非零拒绝；不能借此支持注资、减资或分红。</w:t>
            </w:r>
          </w:p>
        </w:tc>
      </w:tr>
      <w:tr>
        <w:trPr>
          <w:cantSplit/>
        </w:trPr>
        <w:tc>
          <w:tcPr>
            <w:tcW w:type="dxa" w:w="17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equityHistory</w:t>
            </w:r>
          </w:p>
        </w:tc>
        <w:tc>
          <w:tcPr>
            <w:tcW w:type="dxa" w:w="1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历史权益资料，object</w:t>
            </w:r>
          </w:p>
        </w:tc>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可沿用旧源资料；首次按下表建立</w:t>
            </w:r>
          </w:p>
        </w:tc>
        <w:tc>
          <w:tcPr>
            <w:tcW w:type="dxa" w:w="42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只允许capitalByEntity、openingRetainedCny、dividendsByMonth。未知区域、未知财务键、缺字段均拒绝。</w:t>
            </w:r>
          </w:p>
        </w:tc>
      </w:tr>
    </w:tbl>
    <w:p>
      <w:pPr>
        <w:spacing w:after="40"/>
      </w:pPr>
    </w:p>
    <w:p>
      <w:pPr>
        <w:pStyle w:val="Heading3"/>
      </w:pPr>
      <w:bookmarkStart w:id="51" w:name="epm_51"/>
      <w:r>
        <w:rPr>
          <w:rFonts w:ascii="Arial" w:hAnsi="Arial" w:eastAsia="宋体"/>
          <w:b w:val="0"/>
          <w:i w:val="0"/>
        </w:rPr>
        <w:t>A.4.2 资产负债项目BS——opening和closing使用相同18键</w:t>
      </w:r>
      <w:bookmarkEnd w:id="51"/>
    </w:p>
    <w:p>
      <w:r>
        <w:rPr>
          <w:rFonts w:ascii="Arial" w:hAnsi="Arial" w:eastAsia="宋体"/>
          <w:b w:val="0"/>
          <w:i w:val="0"/>
        </w:rPr>
        <w:t>以下项目全部为M，源报送时均必填；无余额也必须填0。正负数均可输入，最终受整套三表勾稽和本版模型约束。不能以字段中文名称代替CSV中的技术键。</w:t>
      </w:r>
    </w:p>
    <w:tbl>
      <w:tblPr>
        <w:tblStyle w:val="TableGrid"/>
        <w:tblW w:type="auto" w:w="0"/>
        <w:jc w:val="center"/>
        <w:tblLayout w:type="fixed"/>
        <w:tblLook w:firstColumn="1" w:firstRow="1" w:lastColumn="0" w:lastRow="0" w:noHBand="0" w:noVBand="1" w:val="04A0"/>
      </w:tblPr>
      <w:tblGrid>
        <w:gridCol w:w="1740"/>
        <w:gridCol w:w="1422"/>
        <w:gridCol w:w="2388"/>
        <w:gridCol w:w="3857"/>
      </w:tblGrid>
      <w:tr>
        <w:trPr>
          <w:cantSplit/>
          <w:tblHeader w:val="true"/>
        </w:trPr>
        <w:tc>
          <w:tcPr>
            <w:tcW w:type="dxa" w:w="17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技术键</w:t>
            </w:r>
          </w:p>
        </w:tc>
        <w:tc>
          <w:tcPr>
            <w:tcW w:type="dxa" w:w="14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中文名称与类别</w:t>
            </w:r>
          </w:p>
        </w:tc>
        <w:tc>
          <w:tcPr>
            <w:tcW w:type="dxa" w:w="23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汇总及折算规则</w:t>
            </w:r>
          </w:p>
        </w:tc>
        <w:tc>
          <w:tcPr>
            <w:tcW w:type="dxa" w:w="38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源填写和特别约束</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cash</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货币资金；资产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纳入资产合计；期初按opening率、期末按closing率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源现金期初期末必须与明确现金流勾稽。</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receivable</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应收账款；资产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纳入资产；USD余额按对应时点率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非往来对账明细，仅汇总报表项目。</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inventory</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存货；资产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本版无存货未实现利润及税项抵销模型。</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prepaid</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预付款及其他流动资产；资产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集团标准汇总项目。</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investment</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长期股权投资；资产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纳入资产；时点率；本层投资抵销显式减少</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本版投资抵销母公司账面需与抵销层币种一致，并核期初/期末实报投资总额。</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fixed</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固定资产净额；资产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本版无资产卡片、折旧及内部资产交易模型。</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intangible</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无形及其他资产；资产</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不是商誉专用字段，不能用作未研发收购差额的自动容器。</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deferred_asset</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递延所得税资产；资产</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纳入资产；时点率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本版可报余额，尚无完整递延税自动计算。</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payable</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应付账款；负债</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纳入负债合计；时点率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初始无业务。用户另行导入的独立NC案例可包含未结算销售和应收/应付20，按明确客商和共同号分别匹配、生成余额抵销，不能从汇总余额猜对方。</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shortloan</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短期借款；负债</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现金筹资流需另行明确报送。</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taxpayable</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应交税费；负债</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源金额，非自动税引擎。</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otherliability</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其他流动负债；负债</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集团标准汇总项目。</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longloan</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长期借款；负债</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独立外币计算测试可使用期末80万美元；空框架没有该金额。</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deferred_liability</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递延所得税负债；负债</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纳入负债；时点率</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尚无自动税项推导。</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实收资本；权益</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纳入权益；USD按历史资本率</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本版closing必须等于opening，且等于本法人capitalByEntity金额。</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retained</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未分配利润/留存收益；权益</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纳入权益；折算时用已确认期初CNY留存+逐月折算净利润</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源closing−opening必须等于当期净利润；已包含本期损益。</w:t>
            </w:r>
          </w:p>
        </w:tc>
      </w:tr>
      <w:tr>
        <w:trPr>
          <w:cantSplit/>
        </w:trPr>
        <w:tc>
          <w:tcPr>
            <w:tcW w:type="dxa" w:w="1740"/>
            <w:vAlign w:val="top"/>
            <w:tcMar>
              <w:top w:w="65" w:type="dxa"/>
              <w:bottom w:w="65" w:type="dxa"/>
              <w:left w:w="65" w:type="dxa"/>
              <w:right w:w="65" w:type="dxa"/>
            </w:tcMar>
          </w:tcPr>
          <w:p>
            <w:pPr>
              <w:spacing w:before="30" w:after="30" w:line="252" w:lineRule="auto"/>
            </w:pPr>
            <w:r>
              <w:rPr>
                <w:rFonts w:ascii="Arial" w:hAnsi="Arial" w:eastAsia="宋体"/>
                <w:b w:val="0"/>
                <w:i w:val="0"/>
                <w:sz w:val="18"/>
              </w:rPr>
              <w:t>nci</w:t>
            </w:r>
          </w:p>
        </w:tc>
        <w:tc>
          <w:tcPr>
            <w:tcW w:type="dxa" w:w="1422"/>
            <w:vAlign w:val="top"/>
            <w:tcMar>
              <w:top w:w="65" w:type="dxa"/>
              <w:bottom w:w="65" w:type="dxa"/>
              <w:left w:w="65" w:type="dxa"/>
              <w:right w:w="65" w:type="dxa"/>
            </w:tcMar>
          </w:tcPr>
          <w:p>
            <w:pPr>
              <w:spacing w:before="30" w:after="30" w:line="252" w:lineRule="auto"/>
            </w:pPr>
            <w:r>
              <w:rPr>
                <w:rFonts w:ascii="Arial" w:hAnsi="Arial" w:eastAsia="宋体"/>
                <w:b w:val="0"/>
                <w:i w:val="0"/>
                <w:sz w:val="18"/>
              </w:rPr>
              <w:t>少数股东权益；权益</w:t>
            </w:r>
          </w:p>
        </w:tc>
        <w:tc>
          <w:tcPr>
            <w:tcW w:type="dxa" w:w="2388"/>
            <w:vAlign w:val="top"/>
            <w:tcMar>
              <w:top w:w="65" w:type="dxa"/>
              <w:bottom w:w="65" w:type="dxa"/>
              <w:left w:w="65" w:type="dxa"/>
              <w:right w:w="65" w:type="dxa"/>
            </w:tcMar>
          </w:tcPr>
          <w:p>
            <w:pPr>
              <w:spacing w:before="30" w:after="30" w:line="252" w:lineRule="auto"/>
            </w:pPr>
            <w:r>
              <w:rPr>
                <w:rFonts w:ascii="Arial" w:hAnsi="Arial" w:eastAsia="宋体"/>
                <w:b w:val="0"/>
                <w:i w:val="0"/>
                <w:sz w:val="18"/>
              </w:rPr>
              <w:t>纳入权益，但本版源必须为0</w:t>
            </w:r>
          </w:p>
        </w:tc>
        <w:tc>
          <w:tcPr>
            <w:tcW w:type="dxa" w:w="3857"/>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期初或期末非0均拒绝，不宣称支持少数股东。</w:t>
            </w:r>
          </w:p>
        </w:tc>
      </w:tr>
      <w:tr>
        <w:trPr>
          <w:cantSplit/>
        </w:trPr>
        <w:tc>
          <w:tcPr>
            <w:tcW w:type="dxa" w:w="17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cta</w:t>
            </w:r>
          </w:p>
        </w:tc>
        <w:tc>
          <w:tcPr>
            <w:tcW w:type="dxa" w:w="14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外币报表折算差额；权益</w:t>
            </w:r>
          </w:p>
        </w:tc>
        <w:tc>
          <w:tcPr>
            <w:tcW w:type="dxa" w:w="2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合并折算后单独列示，计入权益而非净利润</w:t>
            </w:r>
          </w:p>
        </w:tc>
        <w:tc>
          <w:tcPr>
            <w:tcW w:type="dxa" w:w="3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法人本位币源期初/期末必须0；由USD→CNY折算计算生成。</w:t>
            </w:r>
          </w:p>
        </w:tc>
      </w:tr>
    </w:tbl>
    <w:p>
      <w:pPr>
        <w:spacing w:after="40"/>
      </w:pPr>
    </w:p>
    <w:p>
      <w:r>
        <w:rPr>
          <w:rFonts w:ascii="Arial" w:hAnsi="Arial" w:eastAsia="宋体"/>
          <w:b w:val="0"/>
          <w:i w:val="0"/>
        </w:rPr>
        <w:t>BS汇总集合：资产为前8键；负债为随后6键；权益为最后4键。集团资产负债平衡不能靠改净利润、经营现金流或隐藏差额解决。</w:t>
      </w:r>
    </w:p>
    <w:p>
      <w:pPr>
        <w:pStyle w:val="Heading3"/>
      </w:pPr>
      <w:bookmarkStart w:id="52" w:name="epm_52"/>
      <w:r>
        <w:rPr>
          <w:rFonts w:ascii="Arial" w:hAnsi="Arial" w:eastAsia="宋体"/>
          <w:b w:val="0"/>
          <w:i w:val="0"/>
        </w:rPr>
        <w:t>A.4.3 损益项目PL——profit和每月monthlyProfit共用5键</w:t>
      </w:r>
      <w:bookmarkEnd w:id="52"/>
    </w:p>
    <w:tbl>
      <w:tblPr>
        <w:tblStyle w:val="TableGrid"/>
        <w:tblW w:type="auto" w:w="0"/>
        <w:jc w:val="center"/>
        <w:tblLayout w:type="fixed"/>
        <w:tblLook w:firstColumn="1" w:firstRow="1" w:lastColumn="0" w:lastRow="0" w:noHBand="0" w:noVBand="1" w:val="04A0"/>
      </w:tblPr>
      <w:tblGrid>
        <w:gridCol w:w="1401"/>
        <w:gridCol w:w="1401"/>
        <w:gridCol w:w="2603"/>
        <w:gridCol w:w="4000"/>
      </w:tblGrid>
      <w:tr>
        <w:trPr>
          <w:cantSplit/>
          <w:tblHeader w:val="true"/>
        </w:trPr>
        <w:tc>
          <w:tcPr>
            <w:tcW w:type="dxa" w:w="1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技术键</w:t>
            </w:r>
          </w:p>
        </w:tc>
        <w:tc>
          <w:tcPr>
            <w:tcW w:type="dxa" w:w="1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中文名称及类型</w:t>
            </w:r>
          </w:p>
        </w:tc>
        <w:tc>
          <w:tcPr>
            <w:tcW w:type="dxa" w:w="26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录入与符号约定</w:t>
            </w:r>
          </w:p>
        </w:tc>
        <w:tc>
          <w:tcPr>
            <w:tcW w:type="dxa" w:w="40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折算、映射及派生</w:t>
            </w:r>
          </w:p>
        </w:tc>
      </w:tr>
      <w:tr>
        <w:trPr>
          <w:cantSplit/>
        </w:trPr>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revenue</w:t>
            </w:r>
          </w:p>
        </w:tc>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营业收入，M</w:t>
            </w:r>
          </w:p>
        </w:tc>
        <w:tc>
          <w:tcPr>
            <w:tcW w:type="dxa" w:w="260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源必填；正数表示收入，负数表示收入冲回</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各月乘对应averages[m]，保留6位万元后汇总成年累计，保留到原币分。</w:t>
            </w:r>
          </w:p>
        </w:tc>
      </w:tr>
      <w:tr>
        <w:trPr>
          <w:cantSplit/>
        </w:trPr>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cost</w:t>
            </w:r>
          </w:p>
        </w:tc>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营业成本，M</w:t>
            </w:r>
          </w:p>
        </w:tc>
        <w:tc>
          <w:tcPr>
            <w:tcW w:type="dxa" w:w="26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源必填；正数在净利润中扣减</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内部销售抵销同额减少revenue与cost。</w:t>
            </w:r>
          </w:p>
        </w:tc>
      </w:tr>
      <w:tr>
        <w:trPr>
          <w:cantSplit/>
        </w:trPr>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expense</w:t>
            </w:r>
          </w:p>
        </w:tc>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期间费用，M</w:t>
            </w:r>
          </w:p>
        </w:tc>
        <w:tc>
          <w:tcPr>
            <w:tcW w:type="dxa" w:w="260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源必填；正数扣减</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8"/>
              </w:rPr>
              <w:t>由费用科目有效凭证累计；更正须回原账务、重导及重新生成源，不能手改汇总字段。</w:t>
            </w:r>
          </w:p>
        </w:tc>
      </w:tr>
      <w:tr>
        <w:trPr>
          <w:cantSplit/>
        </w:trPr>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finance</w:t>
            </w:r>
          </w:p>
        </w:tc>
        <w:tc>
          <w:tcPr>
            <w:tcW w:type="dxa" w:w="1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财务费用，M</w:t>
            </w:r>
          </w:p>
        </w:tc>
        <w:tc>
          <w:tcPr>
            <w:tcW w:type="dxa" w:w="26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源必填；正数扣减</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和其他损益同样按各月平均率。</w:t>
            </w:r>
          </w:p>
        </w:tc>
      </w:tr>
      <w:tr>
        <w:trPr>
          <w:cantSplit/>
        </w:trPr>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tax</w:t>
            </w:r>
          </w:p>
        </w:tc>
        <w:tc>
          <w:tcPr>
            <w:tcW w:type="dxa" w:w="1401"/>
            <w:vAlign w:val="top"/>
            <w:tcMar>
              <w:top w:w="65" w:type="dxa"/>
              <w:bottom w:w="65" w:type="dxa"/>
              <w:left w:w="65" w:type="dxa"/>
              <w:right w:w="65" w:type="dxa"/>
            </w:tcMar>
          </w:tcPr>
          <w:p>
            <w:pPr>
              <w:spacing w:before="30" w:after="30" w:line="252" w:lineRule="auto"/>
            </w:pPr>
            <w:r>
              <w:rPr>
                <w:rFonts w:ascii="Arial" w:hAnsi="Arial" w:eastAsia="宋体"/>
                <w:b w:val="0"/>
                <w:i w:val="0"/>
                <w:sz w:val="18"/>
              </w:rPr>
              <w:t>所得税费用，M</w:t>
            </w:r>
          </w:p>
        </w:tc>
        <w:tc>
          <w:tcPr>
            <w:tcW w:type="dxa" w:w="2603"/>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源必填；正数扣减</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8"/>
              </w:rPr>
              <w:t>空初始没有财报金样；录入为0须确无该项；非自动税务计算。</w:t>
            </w:r>
          </w:p>
        </w:tc>
      </w:tr>
    </w:tbl>
    <w:p>
      <w:pPr>
        <w:spacing w:after="40"/>
      </w:pPr>
    </w:p>
    <w:p>
      <w:r>
        <w:rPr>
          <w:rFonts w:ascii="Arial" w:hAnsi="Arial" w:eastAsia="宋体"/>
          <w:b w:val="0"/>
          <w:i w:val="0"/>
        </w:rPr>
        <w:t>净利润net＝revenue−cost−expense−finance−tax；毛利gross＝revenue−cost；营业利润operating＝gross−expense；利润总额pretax＝operating−finance。这些是计算结果，不是source_save可随意提交的独立字段。</w:t>
      </w:r>
    </w:p>
    <w:p>
      <w:pPr>
        <w:pStyle w:val="Heading3"/>
      </w:pPr>
      <w:bookmarkStart w:id="53" w:name="epm_53"/>
      <w:r>
        <w:rPr>
          <w:rFonts w:ascii="Arial" w:hAnsi="Arial" w:eastAsia="宋体"/>
          <w:b w:val="0"/>
          <w:i w:val="0"/>
        </w:rPr>
        <w:t>A.4.4 现金流项目CF——cashflow和每月monthlyCashflow共用4键</w:t>
      </w:r>
      <w:bookmarkEnd w:id="53"/>
    </w:p>
    <w:tbl>
      <w:tblPr>
        <w:tblStyle w:val="TableGrid"/>
        <w:tblW w:type="auto" w:w="0"/>
        <w:jc w:val="center"/>
        <w:tblLayout w:type="fixed"/>
        <w:tblLook w:firstColumn="1" w:firstRow="1" w:lastColumn="0" w:lastRow="0" w:noHBand="0" w:noVBand="1" w:val="04A0"/>
      </w:tblPr>
      <w:tblGrid>
        <w:gridCol w:w="1361"/>
        <w:gridCol w:w="2019"/>
        <w:gridCol w:w="2436"/>
        <w:gridCol w:w="3590"/>
      </w:tblGrid>
      <w:tr>
        <w:trPr>
          <w:cantSplit/>
          <w:tblHeader w:val="true"/>
        </w:trPr>
        <w:tc>
          <w:tcPr>
            <w:tcW w:type="dxa" w:w="13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技术键</w:t>
            </w:r>
          </w:p>
        </w:tc>
        <w:tc>
          <w:tcPr>
            <w:tcW w:type="dxa" w:w="20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中文名称及类型</w:t>
            </w:r>
          </w:p>
        </w:tc>
        <w:tc>
          <w:tcPr>
            <w:tcW w:type="dxa" w:w="24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录入、默认及约束</w:t>
            </w:r>
          </w:p>
        </w:tc>
        <w:tc>
          <w:tcPr>
            <w:tcW w:type="dxa" w:w="35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折算与显示</w:t>
            </w:r>
          </w:p>
        </w:tc>
      </w:tr>
      <w:tr>
        <w:trPr>
          <w:cantSplit/>
        </w:trPr>
        <w:tc>
          <w:tcPr>
            <w:tcW w:type="dxa" w:w="1361"/>
            <w:vAlign w:val="top"/>
            <w:tcMar>
              <w:top w:w="65" w:type="dxa"/>
              <w:bottom w:w="65" w:type="dxa"/>
              <w:left w:w="65" w:type="dxa"/>
              <w:right w:w="65" w:type="dxa"/>
            </w:tcMar>
          </w:tcPr>
          <w:p>
            <w:pPr>
              <w:spacing w:before="30" w:after="30" w:line="252" w:lineRule="auto"/>
            </w:pPr>
            <w:r>
              <w:rPr>
                <w:rFonts w:ascii="Arial" w:hAnsi="Arial" w:eastAsia="宋体"/>
                <w:b w:val="0"/>
                <w:i w:val="0"/>
                <w:sz w:val="18"/>
              </w:rPr>
              <w:t>operating</w:t>
            </w:r>
          </w:p>
        </w:tc>
        <w:tc>
          <w:tcPr>
            <w:tcW w:type="dxa" w:w="2019"/>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经营活动现金流量净额，M</w:t>
            </w:r>
          </w:p>
        </w:tc>
        <w:tc>
          <w:tcPr>
            <w:tcW w:type="dxa" w:w="2436"/>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源必填；流入为正、流出为负</w:t>
            </w:r>
          </w:p>
        </w:tc>
        <w:tc>
          <w:tcPr>
            <w:tcW w:type="dxa" w:w="3590"/>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各月乘flowRates[m]；与营业利润字段同名词但路径不同。</w:t>
            </w:r>
          </w:p>
        </w:tc>
      </w:tr>
      <w:tr>
        <w:trPr>
          <w:cantSplit/>
        </w:trPr>
        <w:tc>
          <w:tcPr>
            <w:tcW w:type="dxa" w:w="13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investing</w:t>
            </w:r>
          </w:p>
        </w:tc>
        <w:tc>
          <w:tcPr>
            <w:tcW w:type="dxa" w:w="2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投资活动现金流量净额，M</w:t>
            </w:r>
          </w:p>
        </w:tc>
        <w:tc>
          <w:tcPr>
            <w:tcW w:type="dxa" w:w="2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源必填；不能由investment余额直接替代</w:t>
            </w:r>
          </w:p>
        </w:tc>
        <w:tc>
          <w:tcPr>
            <w:tcW w:type="dxa" w:w="35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各月现金流量率；本版内部投资权益抵销不虚构现金支出。</w:t>
            </w:r>
          </w:p>
        </w:tc>
      </w:tr>
      <w:tr>
        <w:trPr>
          <w:cantSplit/>
        </w:trPr>
        <w:tc>
          <w:tcPr>
            <w:tcW w:type="dxa" w:w="1361"/>
            <w:vAlign w:val="top"/>
            <w:tcMar>
              <w:top w:w="65" w:type="dxa"/>
              <w:bottom w:w="65" w:type="dxa"/>
              <w:left w:w="65" w:type="dxa"/>
              <w:right w:w="65" w:type="dxa"/>
            </w:tcMar>
          </w:tcPr>
          <w:p>
            <w:pPr>
              <w:spacing w:before="30" w:after="30" w:line="252" w:lineRule="auto"/>
            </w:pPr>
            <w:r>
              <w:rPr>
                <w:rFonts w:ascii="Arial" w:hAnsi="Arial" w:eastAsia="宋体"/>
                <w:b w:val="0"/>
                <w:i w:val="0"/>
                <w:sz w:val="18"/>
              </w:rPr>
              <w:t>financing</w:t>
            </w:r>
          </w:p>
        </w:tc>
        <w:tc>
          <w:tcPr>
            <w:tcW w:type="dxa" w:w="2019"/>
            <w:vAlign w:val="top"/>
            <w:tcMar>
              <w:top w:w="65" w:type="dxa"/>
              <w:bottom w:w="65" w:type="dxa"/>
              <w:left w:w="65" w:type="dxa"/>
              <w:right w:w="65" w:type="dxa"/>
            </w:tcMar>
          </w:tcPr>
          <w:p>
            <w:pPr>
              <w:spacing w:before="30" w:after="30" w:line="252" w:lineRule="auto"/>
            </w:pPr>
            <w:r>
              <w:rPr>
                <w:rFonts w:ascii="Arial" w:hAnsi="Arial" w:eastAsia="宋体"/>
                <w:b w:val="0"/>
                <w:i w:val="0"/>
                <w:sz w:val="18"/>
              </w:rPr>
              <w:t>筹资活动现金流量净额，M</w:t>
            </w:r>
          </w:p>
        </w:tc>
        <w:tc>
          <w:tcPr>
            <w:tcW w:type="dxa" w:w="2436"/>
            <w:vAlign w:val="top"/>
            <w:tcMar>
              <w:top w:w="65" w:type="dxa"/>
              <w:bottom w:w="65" w:type="dxa"/>
              <w:left w:w="65" w:type="dxa"/>
              <w:right w:w="65" w:type="dxa"/>
            </w:tcMar>
          </w:tcPr>
          <w:p>
            <w:pPr>
              <w:spacing w:before="30" w:after="30" w:line="252" w:lineRule="auto"/>
            </w:pPr>
            <w:r>
              <w:rPr>
                <w:rFonts w:ascii="Arial" w:hAnsi="Arial" w:eastAsia="宋体"/>
                <w:b w:val="0"/>
                <w:i w:val="0"/>
                <w:sz w:val="18"/>
              </w:rPr>
              <w:t>源必填；借款流入等需明确填写</w:t>
            </w:r>
          </w:p>
        </w:tc>
        <w:tc>
          <w:tcPr>
            <w:tcW w:type="dxa" w:w="3590"/>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各月现金流量率；金样海外80万美元。</w:t>
            </w:r>
          </w:p>
        </w:tc>
      </w:tr>
      <w:tr>
        <w:trPr>
          <w:cantSplit/>
        </w:trPr>
        <w:tc>
          <w:tcPr>
            <w:tcW w:type="dxa" w:w="13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fx</w:t>
            </w:r>
          </w:p>
        </w:tc>
        <w:tc>
          <w:tcPr>
            <w:tcW w:type="dxa" w:w="20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汇率变动对现金及现金等价物影响，M</w:t>
            </w:r>
          </w:p>
        </w:tc>
        <w:tc>
          <w:tcPr>
            <w:tcW w:type="dxa" w:w="2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本位币源累计必须0；各月合计须等于累计</w:t>
            </w:r>
          </w:p>
        </w:tc>
        <w:tc>
          <w:tcPr>
            <w:tcW w:type="dxa" w:w="35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折算结果独立计算，不与CTA混用；当前模型把累计fx记到累计截止月，用于本期累计勾稽。</w:t>
            </w:r>
          </w:p>
        </w:tc>
      </w:tr>
    </w:tbl>
    <w:p>
      <w:pPr>
        <w:spacing w:after="40"/>
      </w:pPr>
    </w:p>
    <w:p>
      <w:r>
        <w:rPr>
          <w:rFonts w:ascii="Arial" w:hAnsi="Arial" w:eastAsia="宋体"/>
          <w:b w:val="0"/>
          <w:i w:val="0"/>
        </w:rPr>
        <w:t>现金流勾稽：closing.cash＝opening.cash＋operating＋investing＋financing＋fx。当前模型的逐月fx记录方法服务于所选累计期间，不表示已建立逐月外汇资金头寸台账。</w:t>
      </w:r>
    </w:p>
    <w:p>
      <w:pPr>
        <w:pStyle w:val="Heading3"/>
      </w:pPr>
      <w:bookmarkStart w:id="54" w:name="epm_54"/>
      <w:r>
        <w:rPr>
          <w:rFonts w:ascii="Arial" w:hAnsi="Arial" w:eastAsia="宋体"/>
          <w:b w:val="0"/>
          <w:i w:val="0"/>
        </w:rPr>
        <w:t>A.4.5 历史权益equityHistory</w:t>
      </w:r>
      <w:bookmarkEnd w:id="54"/>
    </w:p>
    <w:tbl>
      <w:tblPr>
        <w:tblStyle w:val="TableGrid"/>
        <w:tblW w:type="auto" w:w="0"/>
        <w:jc w:val="center"/>
        <w:tblLayout w:type="fixed"/>
        <w:tblLook w:firstColumn="1" w:firstRow="1" w:lastColumn="0" w:lastRow="0" w:noHBand="0" w:noVBand="1" w:val="04A0"/>
      </w:tblPr>
      <w:tblGrid>
        <w:gridCol w:w="1751"/>
        <w:gridCol w:w="1690"/>
        <w:gridCol w:w="3004"/>
        <w:gridCol w:w="2961"/>
      </w:tblGrid>
      <w:tr>
        <w:trPr>
          <w:cantSplit/>
          <w:tblHeader w:val="true"/>
        </w:trPr>
        <w:tc>
          <w:tcPr>
            <w:tcW w:type="dxa" w:w="17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字段路径</w:t>
            </w:r>
          </w:p>
        </w:tc>
        <w:tc>
          <w:tcPr>
            <w:tcW w:type="dxa" w:w="169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30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29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校验及计算用途</w:t>
            </w:r>
          </w:p>
        </w:tc>
      </w:tr>
      <w:tr>
        <w:trPr>
          <w:cantSplit/>
        </w:trPr>
        <w:tc>
          <w:tcPr>
            <w:tcW w:type="dxa" w:w="1751"/>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capitalByEntity</w:t>
            </w:r>
          </w:p>
        </w:tc>
        <w:tc>
          <w:tcPr>
            <w:tcW w:type="dxa" w:w="1690"/>
            <w:vAlign w:val="top"/>
            <w:tcMar>
              <w:top w:w="65" w:type="dxa"/>
              <w:bottom w:w="65" w:type="dxa"/>
              <w:left w:w="65" w:type="dxa"/>
              <w:right w:w="65" w:type="dxa"/>
            </w:tcMar>
          </w:tcPr>
          <w:p>
            <w:pPr>
              <w:spacing w:before="30" w:after="30" w:line="252" w:lineRule="auto"/>
            </w:pPr>
            <w:r>
              <w:rPr>
                <w:rFonts w:ascii="Arial" w:hAnsi="Arial" w:eastAsia="宋体"/>
                <w:b w:val="0"/>
                <w:i w:val="0"/>
                <w:sz w:val="18"/>
              </w:rPr>
              <w:t>本法人资本来源，map&lt;ID,M&gt;</w:t>
            </w:r>
          </w:p>
        </w:tc>
        <w:tc>
          <w:tcPr>
            <w:tcW w:type="dxa" w:w="3004"/>
            <w:vAlign w:val="top"/>
            <w:tcMar>
              <w:top w:w="65" w:type="dxa"/>
              <w:bottom w:w="65" w:type="dxa"/>
              <w:left w:w="65" w:type="dxa"/>
              <w:right w:w="65" w:type="dxa"/>
            </w:tcMar>
          </w:tcPr>
          <w:p>
            <w:pPr>
              <w:spacing w:before="30" w:after="30" w:line="252" w:lineRule="auto"/>
            </w:pPr>
            <w:r>
              <w:rPr>
                <w:rFonts w:ascii="Arial" w:hAnsi="Arial" w:eastAsia="宋体"/>
                <w:b w:val="0"/>
                <w:i w:val="0"/>
                <w:sz w:val="18"/>
              </w:rPr>
              <w:t>首次缺省由本法人期初capital建立</w:t>
            </w:r>
          </w:p>
        </w:tc>
        <w:tc>
          <w:tcPr>
            <w:tcW w:type="dxa" w:w="2961"/>
            <w:vAlign w:val="top"/>
            <w:tcMar>
              <w:top w:w="65" w:type="dxa"/>
              <w:bottom w:w="65" w:type="dxa"/>
              <w:left w:w="65" w:type="dxa"/>
              <w:right w:w="65" w:type="dxa"/>
            </w:tcMar>
          </w:tcPr>
          <w:p>
            <w:pPr>
              <w:spacing w:before="30" w:after="30" w:line="252" w:lineRule="auto"/>
            </w:pPr>
            <w:r>
              <w:rPr>
                <w:rFonts w:ascii="Arial" w:hAnsi="Arial" w:eastAsia="宋体"/>
                <w:b w:val="0"/>
                <w:i w:val="0"/>
                <w:sz w:val="18"/>
              </w:rPr>
              <w:t>只能含当前法人一个ID；值必须等于其期初和期末实收资本。合并结果可包含多个叶子法人。</w:t>
            </w:r>
          </w:p>
        </w:tc>
      </w:tr>
      <w:tr>
        <w:trPr>
          <w:cantSplit/>
        </w:trPr>
        <w:tc>
          <w:tcPr>
            <w:tcW w:type="dxa" w:w="17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openingRetainedCny</w:t>
            </w:r>
          </w:p>
        </w:tc>
        <w:tc>
          <w:tcPr>
            <w:tcW w:type="dxa" w:w="169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已确认期初人民币留存收益，M</w:t>
            </w:r>
          </w:p>
        </w:tc>
        <w:tc>
          <w:tcPr>
            <w:tcW w:type="dxa" w:w="30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期初retained为0可缺省0；USD期初retained非0时必填或沿用有效旧资料</w:t>
            </w:r>
          </w:p>
        </w:tc>
        <w:tc>
          <w:tcPr>
            <w:tcW w:type="dxa" w:w="29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折算期末留存＝本字段＋逐月折算净利润；不能把USD全部留存按期末汇率重算。</w:t>
            </w:r>
          </w:p>
        </w:tc>
      </w:tr>
      <w:tr>
        <w:trPr>
          <w:cantSplit/>
        </w:trPr>
        <w:tc>
          <w:tcPr>
            <w:tcW w:type="dxa" w:w="1751"/>
            <w:vAlign w:val="top"/>
            <w:tcMar>
              <w:top w:w="65" w:type="dxa"/>
              <w:bottom w:w="65" w:type="dxa"/>
              <w:left w:w="65" w:type="dxa"/>
              <w:right w:w="65" w:type="dxa"/>
            </w:tcMar>
          </w:tcPr>
          <w:p>
            <w:pPr>
              <w:spacing w:before="30" w:after="30" w:line="252" w:lineRule="auto"/>
            </w:pPr>
            <w:r>
              <w:rPr>
                <w:rFonts w:ascii="Arial" w:hAnsi="Arial" w:eastAsia="宋体"/>
                <w:b w:val="0"/>
                <w:i w:val="0"/>
                <w:sz w:val="18"/>
              </w:rPr>
              <w:t>dividendsByMonth</w:t>
            </w:r>
          </w:p>
        </w:tc>
        <w:tc>
          <w:tcPr>
            <w:tcW w:type="dxa" w:w="1690"/>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历史分红事件，map</w:t>
            </w:r>
          </w:p>
        </w:tc>
        <w:tc>
          <w:tcPr>
            <w:tcW w:type="dxa" w:w="3004"/>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本版必须</w:t>
            </w:r>
            <w:r>
              <w:rPr>
                <w:rFonts w:ascii="Consolas" w:hAnsi="Consolas" w:eastAsia="宋体"/>
                <w:b w:val="0"/>
                <w:i w:val="0"/>
                <w:sz w:val="18"/>
              </w:rPr>
              <w:t>{}</w:t>
            </w:r>
          </w:p>
        </w:tc>
        <w:tc>
          <w:tcPr>
            <w:tcW w:type="dxa" w:w="2961"/>
            <w:vAlign w:val="top"/>
            <w:tcMar>
              <w:top w:w="65" w:type="dxa"/>
              <w:bottom w:w="65" w:type="dxa"/>
              <w:left w:w="65" w:type="dxa"/>
              <w:right w:w="65" w:type="dxa"/>
            </w:tcMar>
          </w:tcPr>
          <w:p>
            <w:pPr>
              <w:spacing w:before="30" w:after="30" w:line="252" w:lineRule="auto"/>
            </w:pPr>
            <w:r>
              <w:rPr>
                <w:rFonts w:ascii="Arial" w:hAnsi="Arial" w:eastAsia="宋体"/>
                <w:b w:val="0"/>
                <w:i w:val="0"/>
                <w:sz w:val="18"/>
              </w:rPr>
              <w:t>非空拒绝；保留结构不代表分红功能已实现。</w:t>
            </w:r>
          </w:p>
        </w:tc>
      </w:tr>
    </w:tbl>
    <w:p>
      <w:pPr>
        <w:spacing w:after="40"/>
      </w:pPr>
    </w:p>
    <w:p>
      <w:pPr>
        <w:pStyle w:val="Heading3"/>
      </w:pPr>
      <w:bookmarkStart w:id="55" w:name="epm_55"/>
      <w:r>
        <w:rPr>
          <w:rFonts w:ascii="Arial" w:hAnsi="Arial" w:eastAsia="宋体"/>
          <w:b w:val="0"/>
          <w:i w:val="0"/>
        </w:rPr>
        <w:t>A.4.6 财务源跨字段校验</w:t>
      </w:r>
      <w:bookmarkEnd w:id="55"/>
    </w:p>
    <w:tbl>
      <w:tblPr>
        <w:tblStyle w:val="TableGrid"/>
        <w:tblW w:type="auto" w:w="0"/>
        <w:jc w:val="center"/>
        <w:tblLayout w:type="fixed"/>
        <w:tblLook w:firstColumn="1" w:firstRow="1" w:lastColumn="0" w:lastRow="0" w:noHBand="0" w:noVBand="1" w:val="04A0"/>
      </w:tblPr>
      <w:tblGrid>
        <w:gridCol w:w="1395"/>
        <w:gridCol w:w="4728"/>
        <w:gridCol w:w="3284"/>
      </w:tblGrid>
      <w:tr>
        <w:trPr>
          <w:cantSplit/>
          <w:tblHeader w:val="true"/>
        </w:trPr>
        <w:tc>
          <w:tcPr>
            <w:tcW w:type="dxa" w:w="13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规则编号</w:t>
            </w:r>
          </w:p>
        </w:tc>
        <w:tc>
          <w:tcPr>
            <w:tcW w:type="dxa" w:w="47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约束</w:t>
            </w:r>
          </w:p>
        </w:tc>
        <w:tc>
          <w:tcPr>
            <w:tcW w:type="dxa" w:w="32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失败处理</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SRC-01</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opening和closing分别满足资产＝负债＋权益</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拒绝当前法人；若为多法人CSV则整批零写入。</w:t>
            </w:r>
          </w:p>
        </w:tc>
      </w:tr>
      <w:tr>
        <w:trPr>
          <w:cantSplit/>
        </w:trPr>
        <w:tc>
          <w:tcPr>
            <w:tcW w:type="dxa" w:w="1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SRC-02</w:t>
            </w:r>
          </w:p>
        </w:tc>
        <w:tc>
          <w:tcPr>
            <w:tcW w:type="dxa" w:w="4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期末现金＝期初现金＋四类累计现金流</w:t>
            </w:r>
          </w:p>
        </w:tc>
        <w:tc>
          <w:tcPr>
            <w:tcW w:type="dxa" w:w="3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差额显示中文原因；不自动填入operating。</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SRC-03</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权益变化＝净利润＋capitalMovement＋CTA变化</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源资本变动和源CTA为0后仍须成立。</w:t>
            </w:r>
          </w:p>
        </w:tc>
      </w:tr>
      <w:tr>
        <w:trPr>
          <w:cantSplit/>
        </w:trPr>
        <w:tc>
          <w:tcPr>
            <w:tcW w:type="dxa" w:w="1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SRC-04</w:t>
            </w:r>
          </w:p>
        </w:tc>
        <w:tc>
          <w:tcPr>
            <w:tcW w:type="dxa" w:w="4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每个PL/CF字段逐月之和＝累计；月份集合完整且无未来月</w:t>
            </w:r>
          </w:p>
        </w:tc>
        <w:tc>
          <w:tcPr>
            <w:tcW w:type="dxa" w:w="3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拒绝缺月、重复、未知字段及合计不一致。</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SRC-05</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closing.retained−opening.retained＝当期净利润</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拒绝重复结转、分红或未说明的其他权益调整。</w:t>
            </w:r>
          </w:p>
        </w:tc>
      </w:tr>
      <w:tr>
        <w:trPr>
          <w:cantSplit/>
        </w:trPr>
        <w:tc>
          <w:tcPr>
            <w:tcW w:type="dxa" w:w="13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SRC-06</w:t>
            </w:r>
          </w:p>
        </w:tc>
        <w:tc>
          <w:tcPr>
            <w:tcW w:type="dxa" w:w="4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期初期末资本相同、capitalMovement=0、nci=0、源cta=0、源fx=0</w:t>
            </w:r>
          </w:p>
        </w:tc>
        <w:tc>
          <w:tcPr>
            <w:tcW w:type="dxa" w:w="32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超出当前模型时准确拒绝，不借差额字段补平。</w:t>
            </w:r>
          </w:p>
        </w:tc>
      </w:tr>
      <w:tr>
        <w:trPr>
          <w:cantSplit/>
        </w:trPr>
        <w:tc>
          <w:tcPr>
            <w:tcW w:type="dxa" w:w="1395"/>
            <w:vAlign w:val="top"/>
            <w:tcMar>
              <w:top w:w="65" w:type="dxa"/>
              <w:bottom w:w="65" w:type="dxa"/>
              <w:left w:w="65" w:type="dxa"/>
              <w:right w:w="65" w:type="dxa"/>
            </w:tcMar>
          </w:tcPr>
          <w:p>
            <w:pPr>
              <w:spacing w:before="30" w:after="30" w:line="252" w:lineRule="auto"/>
            </w:pPr>
            <w:r>
              <w:rPr>
                <w:rFonts w:ascii="Arial" w:hAnsi="Arial" w:eastAsia="宋体"/>
                <w:b w:val="0"/>
                <w:i w:val="0"/>
                <w:sz w:val="19"/>
              </w:rPr>
              <w:t>SRC-07</w:t>
            </w:r>
          </w:p>
        </w:tc>
        <w:tc>
          <w:tcPr>
            <w:tcW w:type="dxa" w:w="4728"/>
            <w:vAlign w:val="top"/>
            <w:tcMar>
              <w:top w:w="65" w:type="dxa"/>
              <w:bottom w:w="65" w:type="dxa"/>
              <w:left w:w="65" w:type="dxa"/>
              <w:right w:w="65" w:type="dxa"/>
            </w:tcMar>
          </w:tcPr>
          <w:p>
            <w:pPr>
              <w:spacing w:before="30" w:after="30" w:line="252" w:lineRule="auto"/>
            </w:pPr>
            <w:r>
              <w:rPr>
                <w:rFonts w:ascii="Arial" w:hAnsi="Arial" w:eastAsia="宋体"/>
                <w:b w:val="0"/>
                <w:i w:val="0"/>
                <w:sz w:val="19"/>
              </w:rPr>
              <w:t>受影响单元及祖先当月均开放</w:t>
            </w:r>
          </w:p>
        </w:tc>
        <w:tc>
          <w:tcPr>
            <w:tcW w:type="dxa" w:w="3284"/>
            <w:vAlign w:val="top"/>
            <w:tcMar>
              <w:top w:w="65" w:type="dxa"/>
              <w:bottom w:w="65" w:type="dxa"/>
              <w:left w:w="65" w:type="dxa"/>
              <w:right w:w="65" w:type="dxa"/>
            </w:tcMar>
          </w:tcPr>
          <w:p>
            <w:pPr>
              <w:spacing w:before="30" w:after="30" w:line="252" w:lineRule="auto"/>
            </w:pPr>
            <w:r>
              <w:rPr>
                <w:rFonts w:ascii="Arial" w:hAnsi="Arial" w:eastAsia="宋体"/>
                <w:b w:val="0"/>
                <w:i w:val="0"/>
                <w:sz w:val="19"/>
              </w:rPr>
              <w:t>未重开则period_locked，源版本不增加。</w:t>
            </w:r>
          </w:p>
        </w:tc>
      </w:tr>
    </w:tbl>
    <w:p>
      <w:pPr>
        <w:spacing w:after="40"/>
      </w:pPr>
    </w:p>
    <w:p>
      <w:pPr>
        <w:pStyle w:val="Heading3"/>
      </w:pPr>
      <w:bookmarkStart w:id="56" w:name="epm_56"/>
      <w:r>
        <w:rPr>
          <w:rFonts w:ascii="Arial" w:hAnsi="Arial" w:eastAsia="宋体"/>
          <w:b w:val="0"/>
          <w:i w:val="0"/>
        </w:rPr>
        <w:t>A.4.7 完整财务源CSV历史结构（本版禁止对外手工导入）</w:t>
      </w:r>
      <w:bookmarkEnd w:id="56"/>
    </w:p>
    <w:tbl>
      <w:tblPr>
        <w:tblStyle w:val="TableGrid"/>
        <w:tblW w:type="auto" w:w="0"/>
        <w:jc w:val="center"/>
        <w:tblLayout w:type="fixed"/>
        <w:tblLook w:firstColumn="1" w:firstRow="1" w:lastColumn="0" w:lastRow="0" w:noHBand="0" w:noVBand="1" w:val="04A0"/>
      </w:tblPr>
      <w:tblGrid>
        <w:gridCol w:w="1062"/>
        <w:gridCol w:w="1136"/>
        <w:gridCol w:w="4349"/>
        <w:gridCol w:w="2858"/>
      </w:tblGrid>
      <w:tr>
        <w:trPr>
          <w:cantSplit/>
          <w:tblHeader w:val="true"/>
        </w:trPr>
        <w:tc>
          <w:tcPr>
            <w:tcW w:type="dxa" w:w="10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列名与顺序</w:t>
            </w:r>
          </w:p>
        </w:tc>
        <w:tc>
          <w:tcPr>
            <w:tcW w:type="dxa" w:w="11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类型/必填</w:t>
            </w:r>
          </w:p>
        </w:tc>
        <w:tc>
          <w:tcPr>
            <w:tcW w:type="dxa" w:w="43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值域和示例</w:t>
            </w:r>
          </w:p>
        </w:tc>
        <w:tc>
          <w:tcPr>
            <w:tcW w:type="dxa" w:w="285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唯一性、转换及失败规则</w:t>
            </w:r>
          </w:p>
        </w:tc>
      </w:tr>
      <w:tr>
        <w:trPr>
          <w:cantSplit/>
        </w:trPr>
        <w:tc>
          <w:tcPr>
            <w:tcW w:type="dxa" w:w="1062"/>
            <w:vAlign w:val="top"/>
            <w:tcMar>
              <w:top w:w="65" w:type="dxa"/>
              <w:bottom w:w="65" w:type="dxa"/>
              <w:left w:w="65" w:type="dxa"/>
              <w:right w:w="65" w:type="dxa"/>
            </w:tcMar>
          </w:tcPr>
          <w:p>
            <w:pPr>
              <w:spacing w:before="30" w:after="30" w:line="252" w:lineRule="auto"/>
            </w:pPr>
            <w:r>
              <w:rPr>
                <w:rFonts w:ascii="Arial" w:hAnsi="Arial" w:eastAsia="宋体"/>
                <w:b w:val="0"/>
                <w:i w:val="0"/>
                <w:sz w:val="18"/>
              </w:rPr>
              <w:t>1 法人编码</w:t>
            </w:r>
          </w:p>
        </w:tc>
        <w:tc>
          <w:tcPr>
            <w:tcW w:type="dxa" w:w="1136"/>
            <w:vAlign w:val="top"/>
            <w:tcMar>
              <w:top w:w="65" w:type="dxa"/>
              <w:bottom w:w="65" w:type="dxa"/>
              <w:left w:w="65" w:type="dxa"/>
              <w:right w:w="65" w:type="dxa"/>
            </w:tcMar>
          </w:tcPr>
          <w:p>
            <w:pPr>
              <w:spacing w:before="30" w:after="30" w:line="252" w:lineRule="auto"/>
            </w:pPr>
            <w:r>
              <w:rPr>
                <w:rFonts w:ascii="Arial" w:hAnsi="Arial" w:eastAsia="宋体"/>
                <w:b w:val="0"/>
                <w:i w:val="0"/>
                <w:sz w:val="18"/>
              </w:rPr>
              <w:t>S，必填</w:t>
            </w:r>
          </w:p>
        </w:tc>
        <w:tc>
          <w:tcPr>
            <w:tcW w:type="dxa" w:w="4349"/>
            <w:vAlign w:val="top"/>
            <w:tcMar>
              <w:top w:w="65" w:type="dxa"/>
              <w:bottom w:w="65" w:type="dxa"/>
              <w:left w:w="65" w:type="dxa"/>
              <w:right w:w="65" w:type="dxa"/>
            </w:tcMar>
          </w:tcPr>
          <w:p>
            <w:pPr>
              <w:spacing w:before="30" w:after="30" w:line="252" w:lineRule="auto"/>
            </w:pPr>
            <w:r>
              <w:rPr>
                <w:rFonts w:ascii="Arial" w:hAnsi="Arial" w:eastAsia="宋体"/>
                <w:b w:val="0"/>
                <w:i w:val="0"/>
                <w:sz w:val="18"/>
              </w:rPr>
              <w:t>档案code或id，例如HW01/HW_CAT</w:t>
            </w:r>
          </w:p>
        </w:tc>
        <w:tc>
          <w:tcPr>
            <w:tcW w:type="dxa" w:w="2858"/>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必须存在；按法人汇集为完整源。</w:t>
            </w:r>
          </w:p>
        </w:tc>
      </w:tr>
      <w:tr>
        <w:trPr>
          <w:cantSplit/>
        </w:trPr>
        <w:tc>
          <w:tcPr>
            <w:tcW w:type="dxa" w:w="1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 期间</w:t>
            </w:r>
          </w:p>
        </w:tc>
        <w:tc>
          <w:tcPr>
            <w:tcW w:type="dxa" w:w="1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S，必填</w:t>
            </w:r>
          </w:p>
        </w:tc>
        <w:tc>
          <w:tcPr>
            <w:tcW w:type="dxa" w:w="4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2026-09</w:t>
            </w:r>
          </w:p>
        </w:tc>
        <w:tc>
          <w:tcPr>
            <w:tcW w:type="dxa" w:w="28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必须与context.month及固定年度一致。</w:t>
            </w:r>
          </w:p>
        </w:tc>
      </w:tr>
      <w:tr>
        <w:trPr>
          <w:cantSplit/>
        </w:trPr>
        <w:tc>
          <w:tcPr>
            <w:tcW w:type="dxa" w:w="1062"/>
            <w:vAlign w:val="top"/>
            <w:tcMar>
              <w:top w:w="65" w:type="dxa"/>
              <w:bottom w:w="65" w:type="dxa"/>
              <w:left w:w="65" w:type="dxa"/>
              <w:right w:w="65" w:type="dxa"/>
            </w:tcMar>
          </w:tcPr>
          <w:p>
            <w:pPr>
              <w:spacing w:before="30" w:after="30" w:line="252" w:lineRule="auto"/>
            </w:pPr>
            <w:r>
              <w:rPr>
                <w:rFonts w:ascii="Arial" w:hAnsi="Arial" w:eastAsia="宋体"/>
                <w:b w:val="0"/>
                <w:i w:val="0"/>
                <w:sz w:val="18"/>
              </w:rPr>
              <w:t>3 数据区</w:t>
            </w:r>
          </w:p>
        </w:tc>
        <w:tc>
          <w:tcPr>
            <w:tcW w:type="dxa" w:w="1136"/>
            <w:vAlign w:val="top"/>
            <w:tcMar>
              <w:top w:w="65" w:type="dxa"/>
              <w:bottom w:w="65" w:type="dxa"/>
              <w:left w:w="65" w:type="dxa"/>
              <w:right w:w="65" w:type="dxa"/>
            </w:tcMar>
          </w:tcPr>
          <w:p>
            <w:pPr>
              <w:spacing w:before="30" w:after="30" w:line="252" w:lineRule="auto"/>
            </w:pPr>
            <w:r>
              <w:rPr>
                <w:rFonts w:ascii="Arial" w:hAnsi="Arial" w:eastAsia="宋体"/>
                <w:b w:val="0"/>
                <w:i w:val="0"/>
                <w:sz w:val="18"/>
              </w:rPr>
              <w:t>enum，必填</w:t>
            </w:r>
          </w:p>
        </w:tc>
        <w:tc>
          <w:tcPr>
            <w:tcW w:type="dxa" w:w="4349"/>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opening、closing、profit、cashflow、monthlyProfit、monthlyCashflow</w:t>
            </w:r>
          </w:p>
        </w:tc>
        <w:tc>
          <w:tcPr>
            <w:tcW w:type="dxa" w:w="2858"/>
            <w:vAlign w:val="top"/>
            <w:tcMar>
              <w:top w:w="65" w:type="dxa"/>
              <w:bottom w:w="65" w:type="dxa"/>
              <w:left w:w="65" w:type="dxa"/>
              <w:right w:w="65" w:type="dxa"/>
            </w:tcMar>
          </w:tcPr>
          <w:p>
            <w:pPr>
              <w:spacing w:before="30" w:after="30" w:line="252" w:lineRule="auto"/>
            </w:pPr>
            <w:r>
              <w:rPr>
                <w:rFonts w:ascii="Arial" w:hAnsi="Arial" w:eastAsia="宋体"/>
                <w:b w:val="0"/>
                <w:i w:val="0"/>
                <w:sz w:val="18"/>
              </w:rPr>
              <w:t>只接受技术键；分别映射上述源对象。</w:t>
            </w:r>
          </w:p>
        </w:tc>
      </w:tr>
      <w:tr>
        <w:trPr>
          <w:cantSplit/>
        </w:trPr>
        <w:tc>
          <w:tcPr>
            <w:tcW w:type="dxa" w:w="1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 项目编码</w:t>
            </w:r>
          </w:p>
        </w:tc>
        <w:tc>
          <w:tcPr>
            <w:tcW w:type="dxa" w:w="1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enum，必填</w:t>
            </w:r>
          </w:p>
        </w:tc>
        <w:tc>
          <w:tcPr>
            <w:tcW w:type="dxa" w:w="4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该区对应的BS/PL/CF键</w:t>
            </w:r>
          </w:p>
        </w:tc>
        <w:tc>
          <w:tcPr>
            <w:tcW w:type="dxa" w:w="28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错误区/键组合拒绝。</w:t>
            </w:r>
          </w:p>
        </w:tc>
      </w:tr>
      <w:tr>
        <w:trPr>
          <w:cantSplit/>
        </w:trPr>
        <w:tc>
          <w:tcPr>
            <w:tcW w:type="dxa" w:w="1062"/>
            <w:vAlign w:val="top"/>
            <w:tcMar>
              <w:top w:w="65" w:type="dxa"/>
              <w:bottom w:w="65" w:type="dxa"/>
              <w:left w:w="65" w:type="dxa"/>
              <w:right w:w="65" w:type="dxa"/>
            </w:tcMar>
          </w:tcPr>
          <w:p>
            <w:pPr>
              <w:spacing w:before="30" w:after="30" w:line="252" w:lineRule="auto"/>
            </w:pPr>
            <w:r>
              <w:rPr>
                <w:rFonts w:ascii="Arial" w:hAnsi="Arial" w:eastAsia="宋体"/>
                <w:b w:val="0"/>
                <w:i w:val="0"/>
                <w:sz w:val="18"/>
              </w:rPr>
              <w:t>5 金额</w:t>
            </w:r>
          </w:p>
        </w:tc>
        <w:tc>
          <w:tcPr>
            <w:tcW w:type="dxa" w:w="1136"/>
            <w:vAlign w:val="top"/>
            <w:tcMar>
              <w:top w:w="65" w:type="dxa"/>
              <w:bottom w:w="65" w:type="dxa"/>
              <w:left w:w="65" w:type="dxa"/>
              <w:right w:w="65" w:type="dxa"/>
            </w:tcMar>
          </w:tcPr>
          <w:p>
            <w:pPr>
              <w:spacing w:before="30" w:after="30" w:line="252" w:lineRule="auto"/>
            </w:pPr>
            <w:r>
              <w:rPr>
                <w:rFonts w:ascii="Arial" w:hAnsi="Arial" w:eastAsia="宋体"/>
                <w:b w:val="0"/>
                <w:i w:val="0"/>
                <w:sz w:val="18"/>
              </w:rPr>
              <w:t>M，必填</w:t>
            </w:r>
          </w:p>
        </w:tc>
        <w:tc>
          <w:tcPr>
            <w:tcW w:type="dxa" w:w="4349"/>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本位币万元；0也必须有行</w:t>
            </w:r>
          </w:p>
        </w:tc>
        <w:tc>
          <w:tcPr>
            <w:tcW w:type="dxa" w:w="2858"/>
            <w:vAlign w:val="top"/>
            <w:tcMar>
              <w:top w:w="65" w:type="dxa"/>
              <w:bottom w:w="65" w:type="dxa"/>
              <w:left w:w="65" w:type="dxa"/>
              <w:right w:w="65" w:type="dxa"/>
            </w:tcMar>
          </w:tcPr>
          <w:p>
            <w:pPr>
              <w:spacing w:before="30" w:after="30" w:line="252" w:lineRule="auto"/>
            </w:pPr>
            <w:r>
              <w:rPr>
                <w:rFonts w:ascii="Arial" w:hAnsi="Arial" w:eastAsia="宋体"/>
                <w:b w:val="0"/>
                <w:i w:val="0"/>
                <w:sz w:val="18"/>
              </w:rPr>
              <w:t>按Decimal解析，可有负数；不能用千位分隔逗号破坏列结构。</w:t>
            </w:r>
          </w:p>
        </w:tc>
      </w:tr>
      <w:tr>
        <w:trPr>
          <w:cantSplit/>
        </w:trPr>
        <w:tc>
          <w:tcPr>
            <w:tcW w:type="dxa" w:w="10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 月份</w:t>
            </w:r>
          </w:p>
        </w:tc>
        <w:tc>
          <w:tcPr>
            <w:tcW w:type="dxa" w:w="11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S，条件必填</w:t>
            </w:r>
          </w:p>
        </w:tc>
        <w:tc>
          <w:tcPr>
            <w:tcW w:type="dxa" w:w="43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月度区填1至当前月；累计区留空</w:t>
            </w:r>
          </w:p>
        </w:tc>
        <w:tc>
          <w:tcPr>
            <w:tcW w:type="dxa" w:w="28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月度区缺月/未来月拒绝；累计区填写月份也拒绝。</w:t>
            </w:r>
          </w:p>
        </w:tc>
      </w:tr>
    </w:tbl>
    <w:p>
      <w:pPr>
        <w:spacing w:after="40"/>
      </w:pPr>
    </w:p>
    <w:p>
      <w:r>
        <w:rPr>
          <w:rFonts w:ascii="Arial" w:hAnsi="Arial" w:eastAsia="宋体"/>
          <w:b w:val="0"/>
          <w:i w:val="0"/>
        </w:rPr>
        <w:t>文件UTF-8，可带BOM；表头名称和顺序必须完全一致。单法人唯一键为“法人＋数据区＋项目编码＋月份”。累计区45行，每个发生月9行，因此6期每法人99行；每法人必须整套齐全。接口合同上限10000行、CSV文本长度不超过2000000字符，HTTP正文仍受总字节限制。新开发应统一行数边界测试与错误提示，避免在上限处依赖偶然循环计数。</w:t>
      </w:r>
    </w:p>
    <w:p>
      <w:r>
        <w:rPr>
          <w:rFonts w:ascii="Arial" w:hAnsi="Arial" w:eastAsia="宋体"/>
          <w:b w:val="0"/>
          <w:i w:val="0"/>
        </w:rPr>
        <w:t>兼容试算CSV为“法人编码,期间,科目编码,借方余额,贷方余额”。每法人科目不得重复，借贷金额非负，同一行不能两边同时非0，每法人借方合计等于贷方合计。科目按normalSide映射到报表字段；当期损益加到试算的期初留存口径，再更新本月损益发生额。它必须先有完整期初和明确现金流源；导入保留现金流，不倒挤，勾稽不符整批拒绝。该五列试算与六列源CSV均为历史兼容结构，本版外部导入403；当前页面应使用ERP科目期初、凭证与十列余额表入口。</w:t>
      </w:r>
    </w:p>
    <w:p>
      <w:pPr>
        <w:pStyle w:val="Heading2"/>
      </w:pPr>
      <w:bookmarkStart w:id="57" w:name="epm_57"/>
      <w:r>
        <w:rPr>
          <w:rFonts w:ascii="Arial" w:hAnsi="Arial" w:eastAsia="宋体"/>
          <w:b w:val="0"/>
          <w:i w:val="0"/>
        </w:rPr>
        <w:t>A.5 分类汇率fxRates[]</w:t>
      </w:r>
      <w:bookmarkEnd w:id="57"/>
    </w:p>
    <w:p>
      <w:r>
        <w:rPr>
          <w:rFonts w:ascii="Arial" w:hAnsi="Arial" w:eastAsia="宋体"/>
          <w:b w:val="0"/>
          <w:i w:val="0"/>
        </w:rPr>
        <w:t xml:space="preserve">存储为 </w:t>
      </w:r>
      <w:r>
        <w:rPr>
          <w:rFonts w:ascii="Consolas" w:hAnsi="Consolas" w:eastAsia="宋体"/>
          <w:b w:val="0"/>
          <w:i w:val="0"/>
          <w:sz w:val="18"/>
        </w:rPr>
        <w:t>fxRates[]</w:t>
      </w:r>
      <w:r>
        <w:rPr>
          <w:rFonts w:ascii="Arial" w:hAnsi="Arial" w:eastAsia="宋体"/>
          <w:b w:val="0"/>
          <w:i w:val="0"/>
        </w:rPr>
        <w:t xml:space="preserve">，GET投影名为 </w:t>
      </w:r>
      <w:r>
        <w:rPr>
          <w:rFonts w:ascii="Consolas" w:hAnsi="Consolas" w:eastAsia="宋体"/>
          <w:b w:val="0"/>
          <w:i w:val="0"/>
          <w:sz w:val="18"/>
        </w:rPr>
        <w:t>rateSets[]</w:t>
      </w:r>
      <w:r>
        <w:rPr>
          <w:rFonts w:ascii="Arial" w:hAnsi="Arial" w:eastAsia="宋体"/>
          <w:b w:val="0"/>
          <w:i w:val="0"/>
        </w:rPr>
        <w:t>；发布动作为rate_set_save，MGR。每次发布产生新ID/新版本并将当期旧记录active置false，历史数值不覆盖。已有结果的rateSnapshots继续保存原版本。仅实际包含外币转换的结果及祖先失效；美元原币小合并和不相关人民币小合并不因此失效。</w:t>
      </w:r>
    </w:p>
    <w:tbl>
      <w:tblPr>
        <w:tblStyle w:val="TableGrid"/>
        <w:tblW w:type="auto" w:w="0"/>
        <w:jc w:val="center"/>
        <w:tblLayout w:type="fixed"/>
        <w:tblLook w:firstColumn="1" w:firstRow="1" w:lastColumn="0" w:lastRow="0" w:noHBand="0" w:noVBand="1" w:val="04A0"/>
      </w:tblPr>
      <w:tblGrid>
        <w:gridCol w:w="1914"/>
        <w:gridCol w:w="1844"/>
        <w:gridCol w:w="2051"/>
        <w:gridCol w:w="3596"/>
      </w:tblGrid>
      <w:tr>
        <w:trPr>
          <w:cantSplit/>
          <w:tblHeader w:val="true"/>
        </w:trPr>
        <w:tc>
          <w:tcPr>
            <w:tcW w:type="dxa" w:w="19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0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5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校验、计算和来源</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汇率版本ID，S</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发布格式FX-USD-CNY-2026-MM-Vn；空初始无汇率；不能据ID后缀有无猜有效性。</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适用累计期间，P</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RO，取context.month</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同一期USD→CNY必须有唯一有效已审批分类汇率。</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版本号，integer</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RO，当期最大旧版本+1</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与结果dependencies.rates及trace.fx对应。</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sourceCurrency</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源币种，enum</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缺省USD</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本版只能USD。</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targetCurrency</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目标币种，enum</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缺省CNY</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本版只能CNY。</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期初汇率，R</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期初资产负债中资产/负债使用；现金流期初现金由此取得。</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closing</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期末汇率，R</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期末各资产/负债余额折算。</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historicalCapital</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统一资本历史汇率，R</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美元资本及投资权益配对使用；当前公开维护仅此统一资本率。</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averages[m]</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各月损益平均率，map&lt;m,R&gt;</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1至当前月逐月必填</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每月PL各字段先换算、四舍五入到6位万元，再汇总累计。</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flowRates[m]</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各月现金流量率，map&lt;m,R&gt;</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1至当前月逐月必填</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经营/投资/筹资月发生额换算使用。</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当前激活，boolean</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RO，新记录true、旧记录false</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计算只选择active记录；不能靠页面切换展示率修改已签快照。</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汇率状态，enum</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RO，发布为已审批</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本版发布即审批，没有独立汇率草稿审批流。</w:t>
            </w:r>
          </w:p>
        </w:tc>
      </w:tr>
      <w:tr>
        <w:trPr>
          <w:cantSplit/>
        </w:trPr>
        <w:tc>
          <w:tcPr>
            <w:tcW w:type="dxa" w:w="1914"/>
            <w:vAlign w:val="top"/>
            <w:tcMar>
              <w:top w:w="65" w:type="dxa"/>
              <w:bottom w:w="65" w:type="dxa"/>
              <w:left w:w="65" w:type="dxa"/>
              <w:right w:w="65" w:type="dxa"/>
            </w:tcMar>
          </w:tcPr>
          <w:p>
            <w:pPr>
              <w:spacing w:before="30" w:after="30" w:line="252" w:lineRule="auto"/>
            </w:pPr>
            <w:r>
              <w:rPr>
                <w:rFonts w:ascii="Arial" w:hAnsi="Arial" w:eastAsia="宋体"/>
                <w:b w:val="0"/>
                <w:i w:val="0"/>
                <w:sz w:val="18"/>
              </w:rPr>
              <w:t>createdAt</w:t>
            </w:r>
          </w:p>
        </w:tc>
        <w:tc>
          <w:tcPr>
            <w:tcW w:type="dxa" w:w="1844"/>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发布时间，ISO日期时间</w:t>
            </w:r>
          </w:p>
        </w:tc>
        <w:tc>
          <w:tcPr>
            <w:tcW w:type="dxa" w:w="2051"/>
            <w:vAlign w:val="top"/>
            <w:tcMar>
              <w:top w:w="65" w:type="dxa"/>
              <w:bottom w:w="65" w:type="dxa"/>
              <w:left w:w="65" w:type="dxa"/>
              <w:right w:w="65" w:type="dxa"/>
            </w:tcMar>
          </w:tcPr>
          <w:p>
            <w:pPr>
              <w:spacing w:before="30" w:after="30" w:line="252" w:lineRule="auto"/>
            </w:pPr>
            <w:r>
              <w:rPr>
                <w:rFonts w:ascii="Arial" w:hAnsi="Arial" w:eastAsia="宋体"/>
                <w:b w:val="0"/>
                <w:i w:val="0"/>
                <w:sz w:val="18"/>
              </w:rPr>
              <w:t>RO，发布时生成</w:t>
            </w:r>
          </w:p>
        </w:tc>
        <w:tc>
          <w:tcPr>
            <w:tcW w:type="dxa" w:w="3596"/>
            <w:vAlign w:val="top"/>
            <w:tcMar>
              <w:top w:w="65" w:type="dxa"/>
              <w:bottom w:w="65" w:type="dxa"/>
              <w:left w:w="65" w:type="dxa"/>
              <w:right w:w="65" w:type="dxa"/>
            </w:tcMar>
          </w:tcPr>
          <w:p>
            <w:pPr>
              <w:spacing w:before="30" w:after="30" w:line="252" w:lineRule="auto"/>
            </w:pPr>
            <w:r>
              <w:rPr>
                <w:rFonts w:ascii="Arial" w:hAnsi="Arial" w:eastAsia="宋体"/>
                <w:b w:val="0"/>
                <w:i w:val="0"/>
                <w:sz w:val="18"/>
              </w:rPr>
              <w:t>使用运行主机本地时区偏移；初始化记录可无此字段。</w:t>
            </w:r>
          </w:p>
        </w:tc>
      </w:tr>
      <w:tr>
        <w:trPr>
          <w:cantSplit/>
        </w:trPr>
        <w:tc>
          <w:tcPr>
            <w:tcW w:type="dxa" w:w="19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note</w:t>
            </w:r>
          </w:p>
        </w:tc>
        <w:tc>
          <w:tcPr>
            <w:tcW w:type="dxa" w:w="18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备注说明，S</w:t>
            </w:r>
          </w:p>
        </w:tc>
        <w:tc>
          <w:tcPr>
            <w:tcW w:type="dxa" w:w="20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RO，可无</w:t>
            </w:r>
          </w:p>
        </w:tc>
        <w:tc>
          <w:tcPr>
            <w:tcW w:type="dxa" w:w="35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用户发布时应注明报价方向、期间和业务依据；初始无演示汇率。</w:t>
            </w:r>
          </w:p>
        </w:tc>
      </w:tr>
    </w:tbl>
    <w:p>
      <w:pPr>
        <w:spacing w:after="40"/>
      </w:pPr>
    </w:p>
    <w:p>
      <w:r>
        <w:rPr>
          <w:rFonts w:ascii="Arial" w:hAnsi="Arial" w:eastAsia="宋体"/>
          <w:b w:val="0"/>
          <w:i w:val="0"/>
        </w:rPr>
        <w:t>纯计算器内部可以识别capitalRates等更细粒度历史资本资料，但公开rate_set_save没有该维护字段。当前PRD不能据纯函数预留分支宣称已交付“按每法人历史投资台账、多批次出资历史率”能力；正式研发须有独立源台账、来源证据、界面和验收后再开放。</w:t>
      </w:r>
    </w:p>
    <w:p>
      <w:pPr>
        <w:pStyle w:val="Heading3"/>
      </w:pPr>
      <w:bookmarkStart w:id="58" w:name="epm_58"/>
      <w:r>
        <w:rPr>
          <w:rFonts w:ascii="Arial" w:hAnsi="Arial" w:eastAsia="宋体"/>
          <w:b w:val="0"/>
          <w:i w:val="0"/>
        </w:rPr>
        <w:t>A.5.1 外币折算派生规则与字段</w:t>
      </w:r>
      <w:bookmarkEnd w:id="58"/>
    </w:p>
    <w:tbl>
      <w:tblPr>
        <w:tblStyle w:val="TableGrid"/>
        <w:tblW w:type="auto" w:w="0"/>
        <w:jc w:val="center"/>
        <w:tblLayout w:type="fixed"/>
        <w:tblLook w:firstColumn="1" w:firstRow="1" w:lastColumn="0" w:lastRow="0" w:noHBand="0" w:noVBand="1" w:val="04A0"/>
      </w:tblPr>
      <w:tblGrid>
        <w:gridCol w:w="2084"/>
        <w:gridCol w:w="3203"/>
        <w:gridCol w:w="4119"/>
      </w:tblGrid>
      <w:tr>
        <w:trPr>
          <w:cantSplit/>
          <w:tblHeader w:val="true"/>
        </w:trPr>
        <w:tc>
          <w:tcPr>
            <w:tcW w:type="dxa" w:w="20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结果字段</w:t>
            </w:r>
          </w:p>
        </w:tc>
        <w:tc>
          <w:tcPr>
            <w:tcW w:type="dxa" w:w="32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计算规则</w:t>
            </w:r>
          </w:p>
        </w:tc>
        <w:tc>
          <w:tcPr>
            <w:tcW w:type="dxa" w:w="41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金样与校验</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9"/>
              </w:rPr>
              <w:t>CNY期末资产/负债各项</w:t>
            </w:r>
          </w:p>
        </w:tc>
        <w:tc>
          <w:tcPr>
            <w:tcW w:type="dxa" w:w="3203"/>
            <w:vAlign w:val="top"/>
            <w:tcMar>
              <w:top w:w="65" w:type="dxa"/>
              <w:bottom w:w="65" w:type="dxa"/>
              <w:left w:w="65" w:type="dxa"/>
              <w:right w:w="65" w:type="dxa"/>
            </w:tcMar>
          </w:tcPr>
          <w:p>
            <w:pPr>
              <w:spacing w:before="30" w:after="30" w:line="252" w:lineRule="auto"/>
            </w:pPr>
            <w:r>
              <w:rPr>
                <w:rFonts w:ascii="Arial" w:hAnsi="Arial" w:eastAsia="宋体"/>
                <w:b w:val="0"/>
                <w:i w:val="0"/>
                <w:sz w:val="19"/>
              </w:rPr>
              <w:t>对应USD期末余额×closing</w:t>
            </w:r>
          </w:p>
        </w:tc>
        <w:tc>
          <w:tcPr>
            <w:tcW w:type="dxa" w:w="4119"/>
            <w:vAlign w:val="top"/>
            <w:tcMar>
              <w:top w:w="65" w:type="dxa"/>
              <w:bottom w:w="65" w:type="dxa"/>
              <w:left w:w="65" w:type="dxa"/>
              <w:right w:w="65" w:type="dxa"/>
            </w:tcMar>
          </w:tcPr>
          <w:p>
            <w:pPr>
              <w:spacing w:before="30" w:after="30" w:line="252" w:lineRule="auto"/>
            </w:pPr>
            <w:r>
              <w:rPr>
                <w:rFonts w:ascii="Arial" w:hAnsi="Arial" w:eastAsia="宋体"/>
                <w:b w:val="0"/>
                <w:i w:val="0"/>
                <w:sz w:val="19"/>
              </w:rPr>
              <w:t>海外200资产、80借款，7.2后为1440、576。</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CNY期初资产/负债各项</w:t>
            </w:r>
          </w:p>
        </w:tc>
        <w:tc>
          <w:tcPr>
            <w:tcW w:type="dxa" w:w="32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对应USD期初余额×opening</w:t>
            </w:r>
          </w:p>
        </w:tc>
        <w:tc>
          <w:tcPr>
            <w:tcW w:type="dxa" w:w="41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期初现金100×6.5＝650。</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9"/>
              </w:rPr>
              <w:t>CNY资本</w:t>
            </w:r>
          </w:p>
        </w:tc>
        <w:tc>
          <w:tcPr>
            <w:tcW w:type="dxa" w:w="3203"/>
            <w:vAlign w:val="top"/>
            <w:tcMar>
              <w:top w:w="65" w:type="dxa"/>
              <w:bottom w:w="65" w:type="dxa"/>
              <w:left w:w="65" w:type="dxa"/>
              <w:right w:w="65" w:type="dxa"/>
            </w:tcMar>
          </w:tcPr>
          <w:p>
            <w:pPr>
              <w:spacing w:before="30" w:after="30" w:line="252" w:lineRule="auto"/>
            </w:pPr>
            <w:r>
              <w:rPr>
                <w:rFonts w:ascii="Arial" w:hAnsi="Arial" w:eastAsia="宋体"/>
                <w:b w:val="0"/>
                <w:i w:val="0"/>
                <w:sz w:val="19"/>
              </w:rPr>
              <w:t>按可追溯资本明细×历史率汇总</w:t>
            </w:r>
          </w:p>
        </w:tc>
        <w:tc>
          <w:tcPr>
            <w:tcW w:type="dxa" w:w="4119"/>
            <w:vAlign w:val="top"/>
            <w:tcMar>
              <w:top w:w="65" w:type="dxa"/>
              <w:bottom w:w="65" w:type="dxa"/>
              <w:left w:w="65" w:type="dxa"/>
              <w:right w:w="65" w:type="dxa"/>
            </w:tcMar>
          </w:tcPr>
          <w:p>
            <w:pPr>
              <w:spacing w:before="30" w:after="30" w:line="252" w:lineRule="auto"/>
            </w:pPr>
            <w:r>
              <w:rPr>
                <w:rFonts w:ascii="Arial" w:hAnsi="Arial" w:eastAsia="宋体"/>
                <w:b w:val="0"/>
                <w:i w:val="0"/>
                <w:sz w:val="19"/>
              </w:rPr>
              <w:t>100×6.5＝650；资本变动本版拒绝。</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CNY期末留存</w:t>
            </w:r>
          </w:p>
        </w:tc>
        <w:tc>
          <w:tcPr>
            <w:tcW w:type="dxa" w:w="32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已确认期初CNY留存＋各月折算净利润</w:t>
            </w:r>
          </w:p>
        </w:tc>
        <w:tc>
          <w:tcPr>
            <w:tcW w:type="dxa" w:w="41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本例0＋20×7＝140，不按期末7.2折算全行。</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9"/>
              </w:rPr>
              <w:t>cta</w:t>
            </w:r>
          </w:p>
        </w:tc>
        <w:tc>
          <w:tcPr>
            <w:tcW w:type="dxa" w:w="3203"/>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资产合计−负债合计−资本−留存−少数股东</w:t>
            </w:r>
          </w:p>
        </w:tc>
        <w:tc>
          <w:tcPr>
            <w:tcW w:type="dxa" w:w="4119"/>
            <w:vAlign w:val="top"/>
            <w:tcMar>
              <w:top w:w="65" w:type="dxa"/>
              <w:bottom w:w="65" w:type="dxa"/>
              <w:left w:w="65" w:type="dxa"/>
              <w:right w:w="65" w:type="dxa"/>
            </w:tcMar>
          </w:tcPr>
          <w:p>
            <w:pPr>
              <w:spacing w:before="30" w:after="30" w:line="252" w:lineRule="auto"/>
            </w:pPr>
            <w:r>
              <w:rPr>
                <w:rFonts w:ascii="Arial" w:hAnsi="Arial" w:eastAsia="宋体"/>
                <w:b w:val="0"/>
                <w:i w:val="0"/>
                <w:sz w:val="19"/>
              </w:rPr>
              <w:t>本例1440−576−650−140＝74；属于权益项目，不计入净利润。</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cashflow.fx</w:t>
            </w:r>
          </w:p>
        </w:tc>
        <w:tc>
          <w:tcPr>
            <w:tcW w:type="dxa" w:w="32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CNY期末现金−CNY期初现金−经营−投资−筹资</w:t>
            </w:r>
          </w:p>
        </w:tc>
        <w:tc>
          <w:tcPr>
            <w:tcW w:type="dxa" w:w="41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1440−650−140−0−560＝90，与CTA74区分。</w:t>
            </w:r>
          </w:p>
        </w:tc>
      </w:tr>
    </w:tbl>
    <w:p>
      <w:pPr>
        <w:spacing w:after="40"/>
      </w:pPr>
    </w:p>
    <w:p>
      <w:r>
        <w:rPr>
          <w:rFonts w:ascii="Arial" w:hAnsi="Arial" w:eastAsia="宋体"/>
          <w:b w:val="0"/>
          <w:i w:val="0"/>
        </w:rPr>
        <w:t>只改closing为7.3，其他率不动：海外净利润140不变，资产1460、负债584、CTA86、现金汇率影响110。严禁用一个展示汇率除整张报表，或用CTA和净利润互相补差。</w:t>
      </w:r>
    </w:p>
    <w:p>
      <w:pPr>
        <w:pStyle w:val="Heading2"/>
      </w:pPr>
      <w:bookmarkStart w:id="59" w:name="epm_59"/>
      <w:r>
        <w:rPr>
          <w:rFonts w:ascii="Arial" w:hAnsi="Arial" w:eastAsia="宋体"/>
          <w:b w:val="0"/>
          <w:i w:val="0"/>
        </w:rPr>
        <w:t>A.6 分层抵销eliminations[]</w:t>
      </w:r>
      <w:bookmarkEnd w:id="59"/>
    </w:p>
    <w:p>
      <w:r>
        <w:rPr>
          <w:rFonts w:ascii="Arial" w:hAnsi="Arial" w:eastAsia="宋体"/>
          <w:b w:val="0"/>
          <w:i w:val="0"/>
        </w:rPr>
        <w:t>Foundation销售/ARAP抵销只能从当前凭证匹配生成；Foundation对外调用elimination_save保存销售返回403 voucher_elimination_required；客户端伪造erpMatchId无效，不能绕过原凭证异常。受限投资权益仍由用户根据真实股权、资本及本部投资余额维护。下列销售字段适用于自动事项及旧只读兼容，不表示新手工销售入口可用。</w:t>
      </w:r>
    </w:p>
    <w:p>
      <w:r>
        <w:rPr>
          <w:rFonts w:ascii="Arial" w:hAnsi="Arial" w:eastAsia="宋体"/>
          <w:b w:val="0"/>
          <w:i w:val="0"/>
        </w:rPr>
        <w:t xml:space="preserve">存储路径 </w:t>
      </w:r>
      <w:r>
        <w:rPr>
          <w:rFonts w:ascii="Consolas" w:hAnsi="Consolas" w:eastAsia="宋体"/>
          <w:b w:val="0"/>
          <w:i w:val="0"/>
          <w:sz w:val="18"/>
        </w:rPr>
        <w:t>eliminations[]</w:t>
      </w:r>
      <w:r>
        <w:rPr>
          <w:rFonts w:ascii="Arial" w:hAnsi="Arial" w:eastAsia="宋体"/>
          <w:b w:val="0"/>
          <w:i w:val="0"/>
        </w:rPr>
        <w:t>，按unitId和month归属。WR可保存受限投资权益草稿；销售及ARAP草稿由当前匹配服务端生成，不能外部手建。MGR审批、停用。受影响层及祖先当月均须开放。已签核历史结果内的eliminationSnapshots不被后续编辑覆盖。</w:t>
      </w:r>
    </w:p>
    <w:tbl>
      <w:tblPr>
        <w:tblStyle w:val="TableGrid"/>
        <w:tblW w:type="auto" w:w="0"/>
        <w:jc w:val="center"/>
        <w:tblLayout w:type="fixed"/>
        <w:tblLook w:firstColumn="1" w:firstRow="1" w:lastColumn="0" w:lastRow="0" w:noHBand="0" w:noVBand="1" w:val="04A0"/>
      </w:tblPr>
      <w:tblGrid>
        <w:gridCol w:w="1655"/>
        <w:gridCol w:w="1594"/>
        <w:gridCol w:w="2354"/>
        <w:gridCol w:w="3802"/>
      </w:tblGrid>
      <w:tr>
        <w:trPr>
          <w:cantSplit/>
          <w:tblHeader w:val="true"/>
        </w:trPr>
        <w:tc>
          <w:tcPr>
            <w:tcW w:type="dxa" w:w="16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8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校验、来源及用途</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抵销事项ID，S</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新增RO，ELIM-nnnn；编辑传已有ID</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空初始无抵销；已有事项不能跨期间或跨单元移动。</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sourceId</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业务来源唯一编号，S(100)</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同一期整个账套唯一，跨层不得二次使用；本版包含已停用记录仍保留唯一来源。</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抵销所属层，ID</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缺省当前单元</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必须存在；内部销售必须双方最低共同合并层。</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所属期间，P</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RO，取context.month</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编辑、审批、停用均须与当前所选期一致。</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kind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抵销类型，enum</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外部手工请求仅允许投资权益/investment；内部销售/sales外部请求403；ERP服务端匹配可生成sales及balances，见A.18。</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sellerId</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内部销售方，ID</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sales条件必填</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须真实存在且与买方不同，两者有共同合并范围。investment不以此替代实际持股关系。</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buyerId</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内部购买方，ID</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sales条件必填</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与sellerId一起确定最低共同层。</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事项币种，enum</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须等于所属层报表币种；USD小合并内用USD，折算发生于向CNY上卷。</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累计抵销金额，M</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必填，必须＞0</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本行＞0约束为手工保存规则；sales为收入/成本额，investment为投资资本额；ERP balances可期末0且期初非0，见A.17。</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reason</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事项说明，S(500)</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接口可缺省“用户维护的演示抵销”</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记录业务依据；sales另追加按月或当前月发生口径说明。</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title</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凭证标题，S</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由kind生成“内部销售抵销”或“期初全资投资权益抵销”。</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事项状态，enum</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RO，保存后草稿</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草稿→已审批；可停用为已停用；ERP输入变化可变来源失效，须重配重生，不能继续审批。停用不再审批，无物理删除。</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事项版本，integer</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RO，新增1；保存/审批/停用递增</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下级快照对版本及新增审批事项均有依赖校验。</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effects</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累计会计效果，map&lt;字段,M&gt;</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RO，服务端生成</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sales为revenue=-amount、cost=-amount；investment为investment=-amount、capital=-amount。客户端不能直接改效果。</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openingEffects</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期初效果，map&lt;BS,M&gt;</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sales为空；期初投资权益按与期末相同金额减少投资和资本。</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monthlyAmounts[m]</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销售逐月分配，map&lt;m,M&gt;</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sales建议完整提交1至当前月；缺省全部放当前月</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各月非负且合计等于amount。USD交易尤其必须明确实际发生月以匹配月平均汇率。</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monthlyEffects[m]</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逐月会计效果，map</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RO，由monthlyAmounts生成</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每月revenue和cost分别为该月金额负数；不能把年度累计抵销按收入比重自动分配。</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investmentPairs[]</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投资/资本配对，array</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investment时RO，由真实ownership和源生成</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本版要求真实全资母子关系、来源资本、历史率及母投资账面相符；详见下表。</w:t>
            </w:r>
          </w:p>
        </w:tc>
      </w:tr>
      <w:tr>
        <w:trPr>
          <w:cantSplit/>
        </w:trPr>
        <w:tc>
          <w:tcPr>
            <w:tcW w:type="dxa" w:w="1655"/>
            <w:vAlign w:val="top"/>
            <w:tcMar>
              <w:top w:w="65" w:type="dxa"/>
              <w:bottom w:w="65" w:type="dxa"/>
              <w:left w:w="65" w:type="dxa"/>
              <w:right w:w="65" w:type="dxa"/>
            </w:tcMar>
          </w:tcPr>
          <w:p>
            <w:pPr>
              <w:spacing w:before="30" w:after="30" w:line="252" w:lineRule="auto"/>
            </w:pPr>
            <w:r>
              <w:rPr>
                <w:rFonts w:ascii="Arial" w:hAnsi="Arial" w:eastAsia="宋体"/>
                <w:b w:val="0"/>
                <w:i w:val="0"/>
                <w:sz w:val="18"/>
              </w:rPr>
              <w:t>cancelReason</w:t>
            </w:r>
          </w:p>
        </w:tc>
        <w:tc>
          <w:tcPr>
            <w:tcW w:type="dxa" w:w="1594"/>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停用原因，S(500)</w:t>
            </w:r>
          </w:p>
        </w:tc>
        <w:tc>
          <w:tcPr>
            <w:tcW w:type="dxa" w:w="2354"/>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停用必填</w:t>
            </w:r>
          </w:p>
        </w:tc>
        <w:tc>
          <w:tcPr>
            <w:tcW w:type="dxa" w:w="3802"/>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保留历史签核快照依据；不删除原事项。</w:t>
            </w:r>
          </w:p>
        </w:tc>
      </w:tr>
      <w:tr>
        <w:trPr>
          <w:cantSplit/>
        </w:trPr>
        <w:tc>
          <w:tcPr>
            <w:tcW w:type="dxa" w:w="16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cancelledAt</w:t>
            </w:r>
          </w:p>
        </w:tc>
        <w:tc>
          <w:tcPr>
            <w:tcW w:type="dxa" w:w="15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停用时间，ISO日期时间</w:t>
            </w:r>
          </w:p>
        </w:tc>
        <w:tc>
          <w:tcPr>
            <w:tcW w:type="dxa" w:w="23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停用时生成。</w:t>
            </w:r>
          </w:p>
        </w:tc>
      </w:tr>
    </w:tbl>
    <w:p>
      <w:pPr>
        <w:spacing w:after="40"/>
      </w:pPr>
    </w:p>
    <w:p>
      <w:pPr>
        <w:pStyle w:val="Heading3"/>
      </w:pPr>
      <w:bookmarkStart w:id="60" w:name="epm_60"/>
      <w:r>
        <w:rPr>
          <w:rFonts w:ascii="Arial" w:hAnsi="Arial" w:eastAsia="宋体"/>
          <w:b w:val="0"/>
          <w:i w:val="0"/>
        </w:rPr>
        <w:t>A.6.1 投资资本配对明细</w:t>
      </w:r>
      <w:bookmarkEnd w:id="60"/>
    </w:p>
    <w:tbl>
      <w:tblPr>
        <w:tblStyle w:val="TableGrid"/>
        <w:tblW w:type="auto" w:w="0"/>
        <w:jc w:val="center"/>
        <w:tblLayout w:type="fixed"/>
        <w:tblLook w:firstColumn="1" w:firstRow="1" w:lastColumn="0" w:lastRow="0" w:noHBand="0" w:noVBand="1" w:val="04A0"/>
      </w:tblPr>
      <w:tblGrid>
        <w:gridCol w:w="1481"/>
        <w:gridCol w:w="1571"/>
        <w:gridCol w:w="3551"/>
        <w:gridCol w:w="2803"/>
      </w:tblGrid>
      <w:tr>
        <w:trPr>
          <w:cantSplit/>
          <w:tblHeader w:val="true"/>
        </w:trPr>
        <w:tc>
          <w:tcPr>
            <w:tcW w:type="dxa" w:w="14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35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校验与来源</w:t>
            </w:r>
          </w:p>
        </w:tc>
        <w:tc>
          <w:tcPr>
            <w:tcW w:type="dxa" w:w="28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范围说明</w:t>
            </w:r>
          </w:p>
        </w:tc>
      </w:tr>
      <w:tr>
        <w:trPr>
          <w:cantSplit/>
        </w:trPr>
        <w:tc>
          <w:tcPr>
            <w:tcW w:type="dxa" w:w="1481"/>
            <w:vAlign w:val="top"/>
            <w:tcMar>
              <w:top w:w="65" w:type="dxa"/>
              <w:bottom w:w="65" w:type="dxa"/>
              <w:left w:w="65" w:type="dxa"/>
              <w:right w:w="65" w:type="dxa"/>
            </w:tcMar>
          </w:tcPr>
          <w:p>
            <w:pPr>
              <w:spacing w:before="30" w:after="30" w:line="252" w:lineRule="auto"/>
            </w:pPr>
            <w:r>
              <w:rPr>
                <w:rFonts w:ascii="Arial" w:hAnsi="Arial" w:eastAsia="宋体"/>
                <w:b w:val="0"/>
                <w:i w:val="0"/>
                <w:sz w:val="18"/>
              </w:rPr>
              <w:t>parentId</w:t>
            </w:r>
          </w:p>
        </w:tc>
        <w:tc>
          <w:tcPr>
            <w:tcW w:type="dxa" w:w="1571"/>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实际投资母公司，ID</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必须在当前范围且有真实100%持股边</w:t>
            </w:r>
          </w:p>
        </w:tc>
        <w:tc>
          <w:tcPr>
            <w:tcW w:type="dxa" w:w="280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不能用管理单元ID充当母公司。</w:t>
            </w:r>
          </w:p>
        </w:tc>
      </w:tr>
      <w:tr>
        <w:trPr>
          <w:cantSplit/>
        </w:trPr>
        <w:tc>
          <w:tcPr>
            <w:tcW w:type="dxa" w:w="14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childId</w:t>
            </w:r>
          </w:p>
        </w:tc>
        <w:tc>
          <w:tcPr>
            <w:tcW w:type="dxa" w:w="1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被投资法人，ID</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必须在当前范围；同一子资本不得重复配对</w:t>
            </w:r>
          </w:p>
        </w:tc>
        <w:tc>
          <w:tcPr>
            <w:tcW w:type="dxa" w:w="28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资本来自当期该子法人opening/closing。</w:t>
            </w:r>
          </w:p>
        </w:tc>
      </w:tr>
      <w:tr>
        <w:trPr>
          <w:cantSplit/>
        </w:trPr>
        <w:tc>
          <w:tcPr>
            <w:tcW w:type="dxa" w:w="1481"/>
            <w:vAlign w:val="top"/>
            <w:tcMar>
              <w:top w:w="65" w:type="dxa"/>
              <w:bottom w:w="65" w:type="dxa"/>
              <w:left w:w="65" w:type="dxa"/>
              <w:right w:w="65" w:type="dxa"/>
            </w:tcMar>
          </w:tcPr>
          <w:p>
            <w:pPr>
              <w:spacing w:before="30" w:after="30" w:line="252" w:lineRule="auto"/>
            </w:pPr>
            <w:r>
              <w:rPr>
                <w:rFonts w:ascii="Arial" w:hAnsi="Arial" w:eastAsia="宋体"/>
                <w:b w:val="0"/>
                <w:i w:val="0"/>
                <w:sz w:val="18"/>
              </w:rPr>
              <w:t>capital</w:t>
            </w:r>
          </w:p>
        </w:tc>
        <w:tc>
          <w:tcPr>
            <w:tcW w:type="dxa" w:w="1571"/>
            <w:vAlign w:val="top"/>
            <w:tcMar>
              <w:top w:w="65" w:type="dxa"/>
              <w:bottom w:w="65" w:type="dxa"/>
              <w:left w:w="65" w:type="dxa"/>
              <w:right w:w="65" w:type="dxa"/>
            </w:tcMar>
          </w:tcPr>
          <w:p>
            <w:pPr>
              <w:spacing w:before="30" w:after="30" w:line="252" w:lineRule="auto"/>
            </w:pPr>
            <w:r>
              <w:rPr>
                <w:rFonts w:ascii="Arial" w:hAnsi="Arial" w:eastAsia="宋体"/>
                <w:b w:val="0"/>
                <w:i w:val="0"/>
                <w:sz w:val="18"/>
              </w:rPr>
              <w:t>子公司原币资本，M</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等于子源期初和期末资本</w:t>
            </w:r>
          </w:p>
        </w:tc>
        <w:tc>
          <w:tcPr>
            <w:tcW w:type="dxa" w:w="280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不能在payload内部自定一个相互平衡的虚构值。</w:t>
            </w:r>
          </w:p>
        </w:tc>
      </w:tr>
      <w:tr>
        <w:trPr>
          <w:cantSplit/>
        </w:trPr>
        <w:tc>
          <w:tcPr>
            <w:tcW w:type="dxa" w:w="14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子资本本位币，enum</w:t>
            </w:r>
          </w:p>
        </w:tc>
        <w:tc>
          <w:tcPr>
            <w:tcW w:type="dxa" w:w="35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等于被投资法人本位币</w:t>
            </w:r>
          </w:p>
        </w:tc>
        <w:tc>
          <w:tcPr>
            <w:tcW w:type="dxa" w:w="28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跨币种时按当期适用历史资本率。</w:t>
            </w:r>
          </w:p>
        </w:tc>
      </w:tr>
      <w:tr>
        <w:trPr>
          <w:cantSplit/>
        </w:trPr>
        <w:tc>
          <w:tcPr>
            <w:tcW w:type="dxa" w:w="1481"/>
            <w:vAlign w:val="top"/>
            <w:tcMar>
              <w:top w:w="65" w:type="dxa"/>
              <w:bottom w:w="65" w:type="dxa"/>
              <w:left w:w="65" w:type="dxa"/>
              <w:right w:w="65" w:type="dxa"/>
            </w:tcMar>
          </w:tcPr>
          <w:p>
            <w:pPr>
              <w:spacing w:before="30" w:after="30" w:line="252" w:lineRule="auto"/>
            </w:pPr>
            <w:r>
              <w:rPr>
                <w:rFonts w:ascii="Arial" w:hAnsi="Arial" w:eastAsia="宋体"/>
                <w:b w:val="0"/>
                <w:i w:val="0"/>
                <w:sz w:val="18"/>
              </w:rPr>
              <w:t>investment</w:t>
            </w:r>
          </w:p>
        </w:tc>
        <w:tc>
          <w:tcPr>
            <w:tcW w:type="dxa" w:w="1571"/>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抵销层币种投资额，M</w:t>
            </w:r>
          </w:p>
        </w:tc>
        <w:tc>
          <w:tcPr>
            <w:tcW w:type="dxa" w:w="3551"/>
            <w:vAlign w:val="top"/>
            <w:tcMar>
              <w:top w:w="65" w:type="dxa"/>
              <w:bottom w:w="65" w:type="dxa"/>
              <w:left w:w="65" w:type="dxa"/>
              <w:right w:w="65" w:type="dxa"/>
            </w:tcMar>
          </w:tcPr>
          <w:p>
            <w:pPr>
              <w:spacing w:before="30" w:after="30" w:line="252" w:lineRule="auto"/>
            </w:pPr>
            <w:r>
              <w:rPr>
                <w:rFonts w:ascii="Arial" w:hAnsi="Arial" w:eastAsia="宋体"/>
                <w:b w:val="0"/>
                <w:i w:val="0"/>
                <w:sz w:val="18"/>
              </w:rPr>
              <w:t>各项须等于该子资本历史折算额；按母公司汇总等于其期初和期末实报investment</w:t>
            </w:r>
          </w:p>
        </w:tc>
        <w:tc>
          <w:tcPr>
            <w:tcW w:type="dxa" w:w="2803"/>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本版抵销需完整列出相关母公司全部投资；不支持差额转商誉。</w:t>
            </w:r>
          </w:p>
        </w:tc>
      </w:tr>
    </w:tbl>
    <w:p>
      <w:pPr>
        <w:spacing w:after="40"/>
      </w:pPr>
    </w:p>
    <w:p>
      <w:r>
        <w:rPr>
          <w:rFonts w:ascii="Arial" w:hAnsi="Arial" w:eastAsia="宋体"/>
          <w:b w:val="0"/>
          <w:i w:val="0"/>
        </w:rPr>
        <w:t>示例天元母公司实报投资950＝境内资本300＋海外历史资本650。配对明细是抵销依据，不是独立按被投资法人建立的原始投资明细账。正式项目需补原始投资台账、出资批次、收购日和会计政策；不能因为本例950抵销平衡就宣称通用收购合并已经完成。</w:t>
      </w:r>
    </w:p>
    <w:p>
      <w:pPr>
        <w:pStyle w:val="Heading2"/>
      </w:pPr>
      <w:bookmarkStart w:id="61" w:name="epm_61"/>
      <w:r>
        <w:rPr>
          <w:rFonts w:ascii="Arial" w:hAnsi="Arial" w:eastAsia="宋体"/>
          <w:b w:val="0"/>
          <w:i w:val="0"/>
        </w:rPr>
        <w:t>A.7 合并结果、版本、依赖和历史快照</w:t>
      </w:r>
      <w:bookmarkEnd w:id="61"/>
    </w:p>
    <w:p>
      <w:pPr>
        <w:pStyle w:val="Heading3"/>
      </w:pPr>
      <w:bookmarkStart w:id="62" w:name="epm_62"/>
      <w:r>
        <w:rPr>
          <w:rFonts w:ascii="Arial" w:hAnsi="Arial" w:eastAsia="宋体"/>
          <w:b w:val="0"/>
          <w:i w:val="0"/>
        </w:rPr>
        <w:t>A.7.1 结果持久行results[]</w:t>
      </w:r>
      <w:bookmarkEnd w:id="62"/>
    </w:p>
    <w:p>
      <w:r>
        <w:rPr>
          <w:rFonts w:ascii="Arial" w:hAnsi="Arial" w:eastAsia="宋体"/>
          <w:b w:val="0"/>
          <w:i w:val="0"/>
        </w:rPr>
        <w:t xml:space="preserve">每次consolidation_run创建新行，ID为 </w:t>
      </w:r>
      <w:r>
        <w:rPr>
          <w:rFonts w:ascii="Consolas" w:hAnsi="Consolas" w:eastAsia="宋体"/>
          <w:b w:val="0"/>
          <w:i w:val="0"/>
          <w:sz w:val="18"/>
        </w:rPr>
        <w:t>RES-单元ID-2026MM-V版本</w:t>
      </w:r>
      <w:r>
        <w:rPr>
          <w:rFonts w:ascii="Arial" w:hAnsi="Arial" w:eastAsia="宋体"/>
          <w:b w:val="0"/>
          <w:i w:val="0"/>
        </w:rPr>
        <w:t>。旧行保留；新计算将active指针转向新行，并使旧引用及祖先结果失效。正式计算读取直接下级已签核快照，不能在后台递归预览后冒充下级审批。</w:t>
      </w:r>
    </w:p>
    <w:tbl>
      <w:tblPr>
        <w:tblStyle w:val="TableGrid"/>
        <w:tblW w:type="auto" w:w="0"/>
        <w:jc w:val="center"/>
        <w:tblLayout w:type="fixed"/>
        <w:tblLook w:firstColumn="1" w:firstRow="1" w:lastColumn="0" w:lastRow="0" w:noHBand="0" w:noVBand="1" w:val="04A0"/>
      </w:tblPr>
      <w:tblGrid>
        <w:gridCol w:w="2036"/>
        <w:gridCol w:w="2036"/>
        <w:gridCol w:w="1521"/>
        <w:gridCol w:w="3812"/>
      </w:tblGrid>
      <w:tr>
        <w:trPr>
          <w:cantSplit/>
          <w:tblHeader w:val="true"/>
        </w:trPr>
        <w:tc>
          <w:tcPr>
            <w:tcW w:type="dxa" w:w="20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20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5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生成或编辑条件</w:t>
            </w:r>
          </w:p>
        </w:tc>
        <w:tc>
          <w:tcPr>
            <w:tcW w:type="dxa" w:w="38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语义、映射与校验</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结果唯一ID，S</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合并单元＋月份＋递增版本组成；被上级inputs明确引用。</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结果所属单元，ID</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须与当前运行目标一致。</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所属累计期间，P</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上下级期间必须相同。</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本单元本期版本，integer</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RO，已有最大值+1</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独立于SQLite全局revision，也独立于源version和汇率version。</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origin</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生成来源，enum文本</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用户计算；空初始没有任何已计算或已签核结果，技术容器不等于已建业务。</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createdAt</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计算时间，ISO日期时间</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创建新结果时生成。</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approvalStatus</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结果审批状态，enum</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已计算→已签核；仅当前active且有效结果能签核。</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approvedAt</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签核时间，ISO/null</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未签核null；签核时记录，后续失效不抹掉原审批证据。</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approvedBy</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签核角色，S</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用户操作为负责人角色；空初始无签核人，不是生产实名电子签章。</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inputFingerprint</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计算时输入指纹，SHA256文本</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包含相关源、配置、抵销、适用率、下级结果状态等；签核前重新校验一致。</w:t>
            </w:r>
          </w:p>
        </w:tc>
      </w:tr>
      <w:tr>
        <w:trPr>
          <w:cantSplit/>
        </w:trPr>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snapshot</w:t>
            </w:r>
          </w:p>
        </w:tc>
        <w:tc>
          <w:tcPr>
            <w:tcW w:type="dxa" w:w="2036"/>
            <w:vAlign w:val="top"/>
            <w:tcMar>
              <w:top w:w="65" w:type="dxa"/>
              <w:bottom w:w="65" w:type="dxa"/>
              <w:left w:w="65" w:type="dxa"/>
              <w:right w:w="65" w:type="dxa"/>
            </w:tcMar>
          </w:tcPr>
          <w:p>
            <w:pPr>
              <w:spacing w:before="30" w:after="30" w:line="252" w:lineRule="auto"/>
            </w:pPr>
            <w:r>
              <w:rPr>
                <w:rFonts w:ascii="Arial" w:hAnsi="Arial" w:eastAsia="宋体"/>
                <w:b w:val="0"/>
                <w:i w:val="0"/>
                <w:sz w:val="18"/>
              </w:rPr>
              <w:t>不可覆盖财务快照，object</w:t>
            </w:r>
          </w:p>
        </w:tc>
        <w:tc>
          <w:tcPr>
            <w:tcW w:type="dxa" w:w="152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tcPr>
          <w:p>
            <w:pPr>
              <w:spacing w:before="30" w:after="30" w:line="252" w:lineRule="auto"/>
            </w:pPr>
            <w:r>
              <w:rPr>
                <w:rFonts w:ascii="Arial" w:hAnsi="Arial" w:eastAsia="宋体"/>
                <w:b w:val="0"/>
                <w:i w:val="0"/>
                <w:sz w:val="18"/>
              </w:rPr>
              <w:t>包括下表报表、输入、血缘和输入副本；后续计算不回写旧report。</w:t>
            </w:r>
          </w:p>
        </w:tc>
      </w:tr>
      <w:tr>
        <w:trPr>
          <w:cantSplit/>
        </w:trPr>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snapshotHash</w:t>
            </w:r>
          </w:p>
        </w:tc>
        <w:tc>
          <w:tcPr>
            <w:tcW w:type="dxa" w:w="20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完整快照摘要，SHA256文本</w:t>
            </w:r>
          </w:p>
        </w:tc>
        <w:tc>
          <w:tcPr>
            <w:tcW w:type="dxa" w:w="15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8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对创建时snapshot序列化求摘要；不可与纯计算fingerprint混为同一个字段。</w:t>
            </w:r>
          </w:p>
        </w:tc>
      </w:tr>
    </w:tbl>
    <w:p>
      <w:pPr>
        <w:spacing w:after="40"/>
      </w:pPr>
    </w:p>
    <w:p>
      <w:r>
        <w:rPr>
          <w:rFonts w:ascii="Arial" w:hAnsi="Arial" w:eastAsia="宋体"/>
          <w:b w:val="0"/>
          <w:i w:val="0"/>
        </w:rPr>
        <w:t xml:space="preserve">GET结果投影将snapshot字段展开，另加 </w:t>
      </w:r>
      <w:r>
        <w:rPr>
          <w:rFonts w:ascii="Consolas" w:hAnsi="Consolas" w:eastAsia="宋体"/>
          <w:b w:val="0"/>
          <w:i w:val="0"/>
          <w:sz w:val="18"/>
        </w:rPr>
        <w:t>valid</w:t>
      </w:r>
      <w:r>
        <w:rPr>
          <w:rFonts w:ascii="Arial" w:hAnsi="Arial" w:eastAsia="宋体"/>
          <w:b w:val="0"/>
          <w:i w:val="0"/>
        </w:rPr>
        <w:t>、</w:t>
      </w:r>
      <w:r>
        <w:rPr>
          <w:rFonts w:ascii="Consolas" w:hAnsi="Consolas" w:eastAsia="宋体"/>
          <w:b w:val="0"/>
          <w:i w:val="0"/>
          <w:sz w:val="18"/>
        </w:rPr>
        <w:t>staleReason</w:t>
      </w:r>
      <w:r>
        <w:rPr>
          <w:rFonts w:ascii="Arial" w:hAnsi="Arial" w:eastAsia="宋体"/>
          <w:b w:val="0"/>
          <w:i w:val="0"/>
        </w:rPr>
        <w:t>、</w:t>
      </w:r>
      <w:r>
        <w:rPr>
          <w:rFonts w:ascii="Consolas" w:hAnsi="Consolas" w:eastAsia="宋体"/>
          <w:b w:val="0"/>
          <w:i w:val="0"/>
          <w:sz w:val="18"/>
        </w:rPr>
        <w:t>status</w:t>
      </w:r>
      <w:r>
        <w:rPr>
          <w:rFonts w:ascii="Arial" w:hAnsi="Arial" w:eastAsia="宋体"/>
          <w:b w:val="0"/>
          <w:i w:val="0"/>
        </w:rPr>
        <w:t>和</w:t>
      </w:r>
      <w:r>
        <w:rPr>
          <w:rFonts w:ascii="Consolas" w:hAnsi="Consolas" w:eastAsia="宋体"/>
          <w:b w:val="0"/>
          <w:i w:val="0"/>
          <w:sz w:val="18"/>
        </w:rPr>
        <w:t>resultVersion</w:t>
      </w:r>
      <w:r>
        <w:rPr>
          <w:rFonts w:ascii="Arial" w:hAnsi="Arial" w:eastAsia="宋体"/>
          <w:b w:val="0"/>
          <w:i w:val="0"/>
        </w:rPr>
        <w:t>；数据库的结果金额不因这些有效性展示状态而改变。</w:t>
      </w:r>
    </w:p>
    <w:p>
      <w:pPr>
        <w:pStyle w:val="Heading3"/>
      </w:pPr>
      <w:bookmarkStart w:id="63" w:name="epm_63"/>
      <w:r>
        <w:rPr>
          <w:rFonts w:ascii="Arial" w:hAnsi="Arial" w:eastAsia="宋体"/>
          <w:b w:val="0"/>
          <w:i w:val="0"/>
        </w:rPr>
        <w:t>A.7.2 财务快照snapshot及GET结果详情</w:t>
      </w:r>
      <w:bookmarkEnd w:id="63"/>
    </w:p>
    <w:tbl>
      <w:tblPr>
        <w:tblStyle w:val="TableGrid"/>
        <w:tblW w:type="auto" w:w="0"/>
        <w:jc w:val="center"/>
        <w:tblLayout w:type="fixed"/>
        <w:tblLook w:firstColumn="1" w:firstRow="1" w:lastColumn="0" w:lastRow="0" w:noHBand="0" w:noVBand="1" w:val="04A0"/>
      </w:tblPr>
      <w:tblGrid>
        <w:gridCol w:w="2168"/>
        <w:gridCol w:w="2168"/>
        <w:gridCol w:w="1151"/>
        <w:gridCol w:w="3920"/>
      </w:tblGrid>
      <w:tr>
        <w:trPr>
          <w:cantSplit/>
          <w:tblHeader w:val="true"/>
        </w:trPr>
        <w:tc>
          <w:tcPr>
            <w:tcW w:type="dxa" w:w="21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21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1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来源/默认</w:t>
            </w:r>
          </w:p>
        </w:tc>
        <w:tc>
          <w:tcPr>
            <w:tcW w:type="dxa" w:w="39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内容和约束</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unitName</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计算时单元名，S</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计算配置留档</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计算时原名留档可追溯；当前界面部分标题优先当前档案名，研发应区分当前名称与快照原名。</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结果报表币种，enum</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计算时单元币种</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历史USD结果不因单元后来变CNY而重标；操作context可已是新币种。</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preview</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预览标记，boolean</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正式结果false</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预览不得签核或作为正式下级输入。</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report</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规范三表对象，object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纯计算器生成</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opening/closing/profit/cashflow/月发生/权益历史；结构同源，但含合并抵销与折算。</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statement</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页面报表投影，object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由report生成</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actual指标、profit行、balance行、cash行、校验、币种和单位。</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checks[]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会计校验清单，array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计算生成</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code、label、passed、difference；四类勾稽差额必须为0。</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passed</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全套校验结论，boolean</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不能只凭客户端passed=true通行，正式上卷重新核下级报表平衡和内容。</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leafIds[]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去重后的底层法人ID，array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由管理树展开</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与当前配置一致；根不能重复包含子结果及其单体。</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eliminationIds[]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已经处理的抵销来源编号，array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下级继承＋本层追加</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这里是sourceId列表，不是任意凭证序号；用于跨层去重。</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inputs[]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本层直接输入，array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计算时记录</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type、id、name、currency、leafIds；entity带sourceVersion，unit带resultId/resultVersion/approvalStatus。</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dependencies.sources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源版本依赖，map&lt;ID,integer&gt;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与所选期间源version一致，变版则旧下级快照拒绝。</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dependencies.units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管理配置版本依赖，map&lt;ID,integer&gt;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本层及继承下层配置版本。</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dependencies.rates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已使用汇率版本，map&lt;汇率ID,integer&gt;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仅实际转换依赖；不把任意当前显示率冒充历史使用率。</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dependencies.eliminations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已使用抵销版本，map&lt;事项ID,integer&gt;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除旧项版本外，新增已审批事项也使旧结果不得继续上卷。</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dependencies.childResults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直接下级引用，map&lt;ID,object&gt;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各子单元已签核结果id、version；不能用“最新总数”替代确定结果引用。</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fingerprint</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纯计算内容指纹，SHA256文本</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覆盖dependencies、report、leafIds、eliminationIds、inputs、trace；与领域inputFingerprint分开。</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trace.entities[]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法人源血缘，array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entityId、name、sourceVersion、currency。</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trace.eliminations[]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抵销血缘，array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id、sourceId、unitId、kind、effects、openingEffects、逐月效果、investmentPairs、inherited；继承项禁止重复抵销。</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trace.fx[]</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原币与折算证据，array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源报表和折算报表、每类/每月汇率、分类项目、CTA、现金汇率影响；无转换时为空。</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sourceSnapshots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源数据副本，map&lt;ID,source&gt;</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历史钻取优先读取此副本；当前源从300改310后，旧结果内仍应显示300。</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rateSnapshots[]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当期激活率副本，array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与对应结果一起保存；后续发布新率不覆盖此副本。</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unitSnapshots[]</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管理配置副本，array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只收计算依赖的单元。</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eliminationSnapshots[]</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实际抵销配置副本，array</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只收结果依赖中的抵销事项。</w:t>
            </w:r>
          </w:p>
        </w:tc>
      </w:tr>
      <w:tr>
        <w:trPr>
          <w:cantSplit/>
        </w:trPr>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ownershipSnapshot[]</w:t>
            </w:r>
          </w:p>
        </w:tc>
        <w:tc>
          <w:tcPr>
            <w:tcW w:type="dxa" w:w="21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真实持股副本，array</w:t>
            </w:r>
          </w:p>
        </w:tc>
        <w:tc>
          <w:tcPr>
            <w:tcW w:type="dxa" w:w="11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计算时留档</w:t>
            </w:r>
          </w:p>
        </w:tc>
        <w:tc>
          <w:tcPr>
            <w:tcW w:type="dxa" w:w="39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保留当时持股配置，独立于管理树。</w:t>
            </w:r>
          </w:p>
        </w:tc>
      </w:tr>
      <w:tr>
        <w:trPr>
          <w:cantSplit/>
        </w:trPr>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sourceInfo</w:t>
            </w:r>
          </w:p>
        </w:tc>
        <w:tc>
          <w:tcPr>
            <w:tcW w:type="dxa" w:w="2168"/>
            <w:vAlign w:val="top"/>
            <w:tcMar>
              <w:top w:w="65" w:type="dxa"/>
              <w:bottom w:w="65" w:type="dxa"/>
              <w:left w:w="65" w:type="dxa"/>
              <w:right w:w="65" w:type="dxa"/>
            </w:tcMar>
          </w:tcPr>
          <w:p>
            <w:pPr>
              <w:spacing w:before="30" w:after="30" w:line="252" w:lineRule="auto"/>
            </w:pPr>
            <w:r>
              <w:rPr>
                <w:rFonts w:ascii="Arial" w:hAnsi="Arial" w:eastAsia="宋体"/>
                <w:b w:val="0"/>
                <w:i w:val="0"/>
                <w:sz w:val="18"/>
              </w:rPr>
              <w:t>模型和代码来源，object</w:t>
            </w:r>
          </w:p>
        </w:tc>
        <w:tc>
          <w:tcPr>
            <w:tcW w:type="dxa" w:w="1151"/>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计算时生成</w:t>
            </w:r>
          </w:p>
        </w:tc>
        <w:tc>
          <w:tcPr>
            <w:tcW w:type="dxa" w:w="3920"/>
            <w:vAlign w:val="top"/>
            <w:tcMar>
              <w:top w:w="65" w:type="dxa"/>
              <w:bottom w:w="65" w:type="dxa"/>
              <w:left w:w="65" w:type="dxa"/>
              <w:right w:w="65" w:type="dxa"/>
            </w:tcMar>
          </w:tcPr>
          <w:p>
            <w:pPr>
              <w:spacing w:before="30" w:after="30" w:line="252" w:lineRule="auto"/>
            </w:pPr>
            <w:r>
              <w:rPr>
                <w:rFonts w:ascii="Arial" w:hAnsi="Arial" w:eastAsia="宋体"/>
                <w:b w:val="0"/>
                <w:i w:val="0"/>
                <w:sz w:val="18"/>
              </w:rPr>
              <w:t>product、schemaVersion=4、engineVersion=FOUNDATION-20261028、modelPolicyVersion、codeDigest；用于交付版本追溯。</w:t>
            </w:r>
          </w:p>
        </w:tc>
      </w:tr>
    </w:tbl>
    <w:p>
      <w:pPr>
        <w:spacing w:after="40"/>
      </w:pPr>
    </w:p>
    <w:p>
      <w:pPr>
        <w:pStyle w:val="Heading3"/>
      </w:pPr>
      <w:bookmarkStart w:id="64" w:name="epm_64"/>
      <w:r>
        <w:rPr>
          <w:rFonts w:ascii="Arial" w:hAnsi="Arial" w:eastAsia="宋体"/>
          <w:b w:val="0"/>
          <w:i w:val="0"/>
        </w:rPr>
        <w:t>A.7.3 有效性和关账控制</w:t>
      </w:r>
      <w:bookmarkEnd w:id="64"/>
    </w:p>
    <w:tbl>
      <w:tblPr>
        <w:tblStyle w:val="TableGrid"/>
        <w:tblW w:type="auto" w:w="0"/>
        <w:jc w:val="center"/>
        <w:tblLayout w:type="fixed"/>
        <w:tblLook w:firstColumn="1" w:firstRow="1" w:lastColumn="0" w:lastRow="0" w:noHBand="0" w:noVBand="1" w:val="04A0"/>
      </w:tblPr>
      <w:tblGrid>
        <w:gridCol w:w="2229"/>
        <w:gridCol w:w="1342"/>
        <w:gridCol w:w="2796"/>
        <w:gridCol w:w="3038"/>
      </w:tblGrid>
      <w:tr>
        <w:trPr>
          <w:cantSplit/>
          <w:tblHeader w:val="true"/>
        </w:trPr>
        <w:tc>
          <w:tcPr>
            <w:tcW w:type="dxa" w:w="22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存储路径/GET字段</w:t>
            </w:r>
          </w:p>
        </w:tc>
        <w:tc>
          <w:tcPr>
            <w:tcW w:type="dxa" w:w="13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7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更新条件</w:t>
            </w:r>
          </w:p>
        </w:tc>
        <w:tc>
          <w:tcPr>
            <w:tcW w:type="dxa" w:w="30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开发必须遵守的规则</w:t>
            </w:r>
          </w:p>
        </w:tc>
      </w:tr>
      <w:tr>
        <w:trPr>
          <w:cantSplit/>
        </w:trPr>
        <w:tc>
          <w:tcPr>
            <w:tcW w:type="dxa" w:w="2229"/>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resultValidity[结果ID].valid</w:t>
            </w:r>
          </w:p>
        </w:tc>
        <w:tc>
          <w:tcPr>
            <w:tcW w:type="dxa" w:w="1342"/>
            <w:vAlign w:val="top"/>
            <w:tcMar>
              <w:top w:w="65" w:type="dxa"/>
              <w:bottom w:w="65" w:type="dxa"/>
              <w:left w:w="65" w:type="dxa"/>
              <w:right w:w="65" w:type="dxa"/>
            </w:tcMar>
          </w:tcPr>
          <w:p>
            <w:pPr>
              <w:spacing w:before="30" w:after="30" w:line="252" w:lineRule="auto"/>
            </w:pPr>
            <w:r>
              <w:rPr>
                <w:rFonts w:ascii="Arial" w:hAnsi="Arial" w:eastAsia="宋体"/>
                <w:b w:val="0"/>
                <w:i w:val="0"/>
                <w:sz w:val="18"/>
              </w:rPr>
              <w:t>可继续使用，boolean</w:t>
            </w:r>
          </w:p>
        </w:tc>
        <w:tc>
          <w:tcPr>
            <w:tcW w:type="dxa" w:w="2796"/>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重开、输入变动、新计算等置false；新结果true</w:t>
            </w:r>
          </w:p>
        </w:tc>
        <w:tc>
          <w:tcPr>
            <w:tcW w:type="dxa" w:w="3038"/>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有效性与历史审批状态分开；旧已签核结果可以失效但不清除原金额。</w:t>
            </w:r>
          </w:p>
        </w:tc>
      </w:tr>
      <w:tr>
        <w:trPr>
          <w:cantSplit/>
        </w:trPr>
        <w:tc>
          <w:tcPr>
            <w:tcW w:type="dxa" w:w="22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resultValidity[结果ID].reason</w:t>
            </w:r>
          </w:p>
        </w:tc>
        <w:tc>
          <w:tcPr>
            <w:tcW w:type="dxa" w:w="13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失效原因，S</w:t>
            </w:r>
          </w:p>
        </w:tc>
        <w:tc>
          <w:tcPr>
            <w:tcW w:type="dxa" w:w="27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页面准确提示重开/源/范围/抵销/汇率变化原因。</w:t>
            </w:r>
          </w:p>
        </w:tc>
      </w:tr>
      <w:tr>
        <w:trPr>
          <w:cantSplit/>
        </w:trPr>
        <w:tc>
          <w:tcPr>
            <w:tcW w:type="dxa" w:w="2229"/>
            <w:vAlign w:val="top"/>
            <w:tcMar>
              <w:top w:w="65" w:type="dxa"/>
              <w:bottom w:w="65" w:type="dxa"/>
              <w:left w:w="65" w:type="dxa"/>
              <w:right w:w="65" w:type="dxa"/>
            </w:tcMar>
          </w:tcPr>
          <w:p>
            <w:pPr>
              <w:spacing w:before="30" w:after="30" w:line="252" w:lineRule="auto"/>
            </w:pPr>
            <w:r>
              <w:rPr>
                <w:rFonts w:ascii="Arial" w:hAnsi="Arial" w:eastAsia="宋体"/>
                <w:b w:val="0"/>
                <w:i w:val="0"/>
                <w:sz w:val="18"/>
              </w:rPr>
              <w:t>resultValidity[结果ID].invalidatedAt</w:t>
            </w:r>
          </w:p>
        </w:tc>
        <w:tc>
          <w:tcPr>
            <w:tcW w:type="dxa" w:w="1342"/>
            <w:vAlign w:val="top"/>
            <w:tcMar>
              <w:top w:w="65" w:type="dxa"/>
              <w:bottom w:w="65" w:type="dxa"/>
              <w:left w:w="65" w:type="dxa"/>
              <w:right w:w="65" w:type="dxa"/>
            </w:tcMar>
          </w:tcPr>
          <w:p>
            <w:pPr>
              <w:spacing w:before="30" w:after="30" w:line="252" w:lineRule="auto"/>
            </w:pPr>
            <w:r>
              <w:rPr>
                <w:rFonts w:ascii="Arial" w:hAnsi="Arial" w:eastAsia="宋体"/>
                <w:b w:val="0"/>
                <w:i w:val="0"/>
                <w:sz w:val="18"/>
              </w:rPr>
              <w:t>失效时间，ISO</w:t>
            </w:r>
          </w:p>
        </w:tc>
        <w:tc>
          <w:tcPr>
            <w:tcW w:type="dxa" w:w="2796"/>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服务端生成</w:t>
            </w:r>
          </w:p>
        </w:tc>
        <w:tc>
          <w:tcPr>
            <w:tcW w:type="dxa" w:w="3038"/>
            <w:vAlign w:val="top"/>
            <w:tcMar>
              <w:top w:w="65" w:type="dxa"/>
              <w:bottom w:w="65" w:type="dxa"/>
              <w:left w:w="65" w:type="dxa"/>
              <w:right w:w="65" w:type="dxa"/>
            </w:tcMar>
          </w:tcPr>
          <w:p>
            <w:pPr>
              <w:spacing w:before="30" w:after="30" w:line="252" w:lineRule="auto"/>
            </w:pPr>
            <w:r>
              <w:rPr>
                <w:rFonts w:ascii="Arial" w:hAnsi="Arial" w:eastAsia="宋体"/>
                <w:b w:val="0"/>
                <w:i w:val="0"/>
                <w:sz w:val="18"/>
              </w:rPr>
              <w:t>不作为批准时间替代。</w:t>
            </w:r>
          </w:p>
        </w:tc>
      </w:tr>
      <w:tr>
        <w:trPr>
          <w:cantSplit/>
        </w:trPr>
        <w:tc>
          <w:tcPr>
            <w:tcW w:type="dxa" w:w="22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unitPeriods[单元:月].activeResultId</w:t>
            </w:r>
          </w:p>
        </w:tc>
        <w:tc>
          <w:tcPr>
            <w:tcW w:type="dxa" w:w="13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当前版本指针，S/null</w:t>
            </w:r>
          </w:p>
        </w:tc>
        <w:tc>
          <w:tcPr>
            <w:tcW w:type="dxa" w:w="27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计算新版本后更新</w:t>
            </w:r>
          </w:p>
        </w:tc>
        <w:tc>
          <w:tcPr>
            <w:tcW w:type="dxa" w:w="3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只有此ID对应的有效已计算结果能被签核。</w:t>
            </w:r>
          </w:p>
        </w:tc>
      </w:tr>
      <w:tr>
        <w:trPr>
          <w:cantSplit/>
        </w:trPr>
        <w:tc>
          <w:tcPr>
            <w:tcW w:type="dxa" w:w="2229"/>
            <w:vAlign w:val="top"/>
            <w:tcMar>
              <w:top w:w="65" w:type="dxa"/>
              <w:bottom w:w="65" w:type="dxa"/>
              <w:left w:w="65" w:type="dxa"/>
              <w:right w:w="65" w:type="dxa"/>
            </w:tcMar>
          </w:tcPr>
          <w:p>
            <w:pPr>
              <w:spacing w:before="30" w:after="30" w:line="252" w:lineRule="auto"/>
            </w:pPr>
            <w:r>
              <w:rPr>
                <w:rFonts w:ascii="Arial" w:hAnsi="Arial" w:eastAsia="宋体"/>
                <w:b w:val="0"/>
                <w:i w:val="0"/>
                <w:sz w:val="18"/>
              </w:rPr>
              <w:t>unitPeriods[单元:月].locked</w:t>
            </w:r>
          </w:p>
        </w:tc>
        <w:tc>
          <w:tcPr>
            <w:tcW w:type="dxa" w:w="134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当前层保护标记，boolean</w:t>
            </w:r>
          </w:p>
        </w:tc>
        <w:tc>
          <w:tcPr>
            <w:tcW w:type="dxa" w:w="2796"/>
            <w:vAlign w:val="top"/>
            <w:tcMar>
              <w:top w:w="65" w:type="dxa"/>
              <w:bottom w:w="65" w:type="dxa"/>
              <w:left w:w="65" w:type="dxa"/>
              <w:right w:w="65" w:type="dxa"/>
            </w:tcMar>
          </w:tcPr>
          <w:p>
            <w:pPr>
              <w:spacing w:before="30" w:after="30" w:line="252" w:lineRule="auto"/>
            </w:pPr>
            <w:r>
              <w:rPr>
                <w:rFonts w:ascii="Arial" w:hAnsi="Arial" w:eastAsia="宋体"/>
                <w:b w:val="0"/>
                <w:i w:val="0"/>
                <w:sz w:val="18"/>
              </w:rPr>
              <w:t>签核true；重开false</w:t>
            </w:r>
          </w:p>
        </w:tc>
        <w:tc>
          <w:tcPr>
            <w:tcW w:type="dxa" w:w="3038"/>
            <w:vAlign w:val="top"/>
            <w:tcMar>
              <w:top w:w="65" w:type="dxa"/>
              <w:bottom w:w="65" w:type="dxa"/>
              <w:left w:w="65" w:type="dxa"/>
              <w:right w:w="65" w:type="dxa"/>
            </w:tcMar>
          </w:tcPr>
          <w:p>
            <w:pPr>
              <w:spacing w:before="30" w:after="30" w:line="252" w:lineRule="auto"/>
            </w:pPr>
            <w:r>
              <w:rPr>
                <w:rFonts w:ascii="Arial" w:hAnsi="Arial" w:eastAsia="宋体"/>
                <w:b w:val="0"/>
                <w:i w:val="0"/>
                <w:sz w:val="18"/>
              </w:rPr>
              <w:t>普通源/抵销改动不得绕过锁。</w:t>
            </w:r>
          </w:p>
        </w:tc>
      </w:tr>
      <w:tr>
        <w:trPr>
          <w:cantSplit/>
        </w:trPr>
        <w:tc>
          <w:tcPr>
            <w:tcW w:type="dxa" w:w="22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unitPeriods[单元:月].staleReason</w:t>
            </w:r>
          </w:p>
        </w:tc>
        <w:tc>
          <w:tcPr>
            <w:tcW w:type="dxa" w:w="13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当前依赖说明，S</w:t>
            </w:r>
          </w:p>
        </w:tc>
        <w:tc>
          <w:tcPr>
            <w:tcW w:type="dxa" w:w="27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在工作台展示待重算原因。</w:t>
            </w:r>
          </w:p>
        </w:tc>
      </w:tr>
      <w:tr>
        <w:trPr>
          <w:cantSplit/>
        </w:trPr>
        <w:tc>
          <w:tcPr>
            <w:tcW w:type="dxa" w:w="2229"/>
            <w:vAlign w:val="top"/>
            <w:tcMar>
              <w:top w:w="65" w:type="dxa"/>
              <w:bottom w:w="65" w:type="dxa"/>
              <w:left w:w="65" w:type="dxa"/>
              <w:right w:w="65" w:type="dxa"/>
            </w:tcMar>
          </w:tcPr>
          <w:p>
            <w:pPr>
              <w:spacing w:before="30" w:after="30" w:line="252" w:lineRule="auto"/>
            </w:pPr>
            <w:r>
              <w:rPr>
                <w:rFonts w:ascii="Arial" w:hAnsi="Arial" w:eastAsia="宋体"/>
                <w:b w:val="0"/>
                <w:i w:val="0"/>
                <w:sz w:val="18"/>
              </w:rPr>
              <w:t>unitPeriods[单元:月].reopenedAt</w:t>
            </w:r>
          </w:p>
        </w:tc>
        <w:tc>
          <w:tcPr>
            <w:tcW w:type="dxa" w:w="1342"/>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重开时间，ISO</w:t>
            </w:r>
          </w:p>
        </w:tc>
        <w:tc>
          <w:tcPr>
            <w:tcW w:type="dxa" w:w="2796"/>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重开时生成</w:t>
            </w:r>
          </w:p>
        </w:tc>
        <w:tc>
          <w:tcPr>
            <w:tcW w:type="dxa" w:w="3038"/>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历史金额不回写。</w:t>
            </w:r>
          </w:p>
        </w:tc>
      </w:tr>
      <w:tr>
        <w:trPr>
          <w:cantSplit/>
        </w:trPr>
        <w:tc>
          <w:tcPr>
            <w:tcW w:type="dxa" w:w="22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unitPeriods[单元:月].reopenReason</w:t>
            </w:r>
          </w:p>
        </w:tc>
        <w:tc>
          <w:tcPr>
            <w:tcW w:type="dxa" w:w="13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重开说明，S(500)</w:t>
            </w:r>
          </w:p>
        </w:tc>
        <w:tc>
          <w:tcPr>
            <w:tcW w:type="dxa" w:w="27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负责人必填</w:t>
            </w:r>
          </w:p>
        </w:tc>
        <w:tc>
          <w:tcPr>
            <w:tcW w:type="dxa" w:w="3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重开当前单元及依赖祖先；cascade=false拒绝。</w:t>
            </w:r>
          </w:p>
        </w:tc>
      </w:tr>
      <w:tr>
        <w:trPr>
          <w:cantSplit/>
        </w:trPr>
        <w:tc>
          <w:tcPr>
            <w:tcW w:type="dxa" w:w="2229"/>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bootstrap.reportMode</w:t>
            </w:r>
          </w:p>
        </w:tc>
        <w:tc>
          <w:tcPr>
            <w:tcW w:type="dxa" w:w="1342"/>
            <w:vAlign w:val="top"/>
            <w:tcMar>
              <w:top w:w="65" w:type="dxa"/>
              <w:bottom w:w="65" w:type="dxa"/>
              <w:left w:w="65" w:type="dxa"/>
              <w:right w:w="65" w:type="dxa"/>
            </w:tcMar>
          </w:tcPr>
          <w:p>
            <w:pPr>
              <w:spacing w:before="30" w:after="30" w:line="252" w:lineRule="auto"/>
            </w:pPr>
            <w:r>
              <w:rPr>
                <w:rFonts w:ascii="Arial" w:hAnsi="Arial" w:eastAsia="宋体"/>
                <w:b w:val="0"/>
                <w:i w:val="0"/>
                <w:sz w:val="18"/>
              </w:rPr>
              <w:t>展示状态，enum</w:t>
            </w:r>
          </w:p>
        </w:tc>
        <w:tc>
          <w:tcPr>
            <w:tcW w:type="dxa" w:w="2796"/>
            <w:vAlign w:val="top"/>
            <w:tcMar>
              <w:top w:w="65" w:type="dxa"/>
              <w:bottom w:w="65" w:type="dxa"/>
              <w:left w:w="65" w:type="dxa"/>
              <w:right w:w="65" w:type="dxa"/>
            </w:tcMar>
          </w:tcPr>
          <w:p>
            <w:pPr>
              <w:spacing w:before="30" w:after="30" w:line="252" w:lineRule="auto"/>
            </w:pPr>
            <w:r>
              <w:rPr>
                <w:rFonts w:ascii="Arial" w:hAnsi="Arial" w:eastAsia="宋体"/>
                <w:b w:val="0"/>
                <w:i w:val="0"/>
                <w:sz w:val="18"/>
              </w:rPr>
              <w:t>待建档/待报送/已签核/已计算/历史失效结果/预览/法人报送</w:t>
            </w:r>
          </w:p>
        </w:tc>
        <w:tc>
          <w:tcPr>
            <w:tcW w:type="dxa" w:w="3038"/>
            <w:vAlign w:val="top"/>
            <w:tcMar>
              <w:top w:w="65" w:type="dxa"/>
              <w:bottom w:w="65" w:type="dxa"/>
              <w:left w:w="65" w:type="dxa"/>
              <w:right w:w="65" w:type="dxa"/>
            </w:tcMar>
          </w:tcPr>
          <w:p>
            <w:pPr>
              <w:spacing w:before="30" w:after="30" w:line="252" w:lineRule="auto"/>
            </w:pPr>
            <w:r>
              <w:rPr>
                <w:rFonts w:ascii="Arial" w:hAnsi="Arial" w:eastAsia="宋体"/>
                <w:b w:val="0"/>
                <w:i w:val="0"/>
                <w:sz w:val="18"/>
              </w:rPr>
              <w:t>全页面金额与币种必须匹配实际展示快照，不能用操作上下文给历史快照重贴单位。</w:t>
            </w:r>
          </w:p>
        </w:tc>
      </w:tr>
      <w:tr>
        <w:trPr>
          <w:cantSplit/>
        </w:trPr>
        <w:tc>
          <w:tcPr>
            <w:tcW w:type="dxa" w:w="22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bootstrap.preconditions[]</w:t>
            </w:r>
          </w:p>
        </w:tc>
        <w:tc>
          <w:tcPr>
            <w:tcW w:type="dxa" w:w="13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正式运行前置清单，array</w:t>
            </w:r>
          </w:p>
        </w:tc>
        <w:tc>
          <w:tcPr>
            <w:tcW w:type="dxa" w:w="27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scope_empty/tree、直接单体源、直接下级签核、本层抵销及ERP当前源/余额/匹配前置</w:t>
            </w:r>
          </w:p>
        </w:tc>
        <w:tc>
          <w:tcPr>
            <w:tcW w:type="dxa" w:w="30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code、label、passed、message；空范围、草稿、失效下级、缺源、余额或匹配未通过均阻止运行。</w:t>
            </w:r>
          </w:p>
        </w:tc>
      </w:tr>
      <w:tr>
        <w:trPr>
          <w:cantSplit/>
        </w:trPr>
        <w:tc>
          <w:tcPr>
            <w:tcW w:type="dxa" w:w="2229"/>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bootstrap.unitStates</w:t>
            </w:r>
          </w:p>
        </w:tc>
        <w:tc>
          <w:tcPr>
            <w:tcW w:type="dxa" w:w="1342"/>
            <w:vAlign w:val="top"/>
            <w:tcMar>
              <w:top w:w="65" w:type="dxa"/>
              <w:bottom w:w="65" w:type="dxa"/>
              <w:left w:w="65" w:type="dxa"/>
              <w:right w:w="65" w:type="dxa"/>
            </w:tcMar>
          </w:tcPr>
          <w:p>
            <w:pPr>
              <w:spacing w:before="30" w:after="30" w:line="252" w:lineRule="auto"/>
            </w:pPr>
            <w:r>
              <w:rPr>
                <w:rFonts w:ascii="Arial" w:hAnsi="Arial" w:eastAsia="宋体"/>
                <w:b w:val="0"/>
                <w:i w:val="0"/>
                <w:sz w:val="18"/>
              </w:rPr>
              <w:t>所有单元状态，map</w:t>
            </w:r>
          </w:p>
        </w:tc>
        <w:tc>
          <w:tcPr>
            <w:tcW w:type="dxa" w:w="2796"/>
            <w:vAlign w:val="top"/>
            <w:tcMar>
              <w:top w:w="65" w:type="dxa"/>
              <w:bottom w:w="65" w:type="dxa"/>
              <w:left w:w="65" w:type="dxa"/>
              <w:right w:w="65" w:type="dxa"/>
            </w:tcMar>
          </w:tcPr>
          <w:p>
            <w:pPr>
              <w:spacing w:before="30" w:after="30" w:line="252" w:lineRule="auto"/>
            </w:pPr>
            <w:r>
              <w:rPr>
                <w:rFonts w:ascii="Arial" w:hAnsi="Arial" w:eastAsia="宋体"/>
                <w:b w:val="0"/>
                <w:i w:val="0"/>
                <w:sz w:val="18"/>
              </w:rPr>
              <w:t>RO</w:t>
            </w:r>
          </w:p>
        </w:tc>
        <w:tc>
          <w:tcPr>
            <w:tcW w:type="dxa" w:w="3038"/>
            <w:vAlign w:val="top"/>
            <w:tcMar>
              <w:top w:w="65" w:type="dxa"/>
              <w:bottom w:w="65" w:type="dxa"/>
              <w:left w:w="65" w:type="dxa"/>
              <w:right w:w="65" w:type="dxa"/>
            </w:tcMar>
          </w:tcPr>
          <w:p>
            <w:pPr>
              <w:spacing w:before="30" w:after="30" w:line="252" w:lineRule="auto"/>
            </w:pPr>
            <w:r>
              <w:rPr>
                <w:rFonts w:ascii="Arial" w:hAnsi="Arial" w:eastAsia="宋体"/>
                <w:b w:val="0"/>
                <w:i w:val="0"/>
                <w:sz w:val="18"/>
              </w:rPr>
              <w:t>每项unitId、locked、activeResultId、valid、status、staleReason。</w:t>
            </w:r>
          </w:p>
        </w:tc>
      </w:tr>
    </w:tbl>
    <w:p>
      <w:pPr>
        <w:spacing w:after="40"/>
      </w:pPr>
    </w:p>
    <w:p>
      <w:pPr>
        <w:pStyle w:val="Heading3"/>
      </w:pPr>
      <w:bookmarkStart w:id="65" w:name="epm_65"/>
      <w:r>
        <w:rPr>
          <w:rFonts w:ascii="Arial" w:hAnsi="Arial" w:eastAsia="宋体"/>
          <w:b w:val="0"/>
          <w:i w:val="0"/>
        </w:rPr>
        <w:t>A.7.4 经营指标和分析口径</w:t>
      </w:r>
      <w:bookmarkEnd w:id="65"/>
    </w:p>
    <w:tbl>
      <w:tblPr>
        <w:tblStyle w:val="TableGrid"/>
        <w:tblW w:type="auto" w:w="0"/>
        <w:jc w:val="center"/>
        <w:tblLayout w:type="fixed"/>
        <w:tblLook w:firstColumn="1" w:firstRow="1" w:lastColumn="0" w:lastRow="0" w:noHBand="0" w:noVBand="1" w:val="04A0"/>
      </w:tblPr>
      <w:tblGrid>
        <w:gridCol w:w="2660"/>
        <w:gridCol w:w="1380"/>
        <w:gridCol w:w="2197"/>
        <w:gridCol w:w="3169"/>
      </w:tblGrid>
      <w:tr>
        <w:trPr>
          <w:cantSplit/>
          <w:tblHeader w:val="true"/>
        </w:trPr>
        <w:tc>
          <w:tcPr>
            <w:tcW w:type="dxa" w:w="26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3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1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来源或公式</w:t>
            </w:r>
          </w:p>
        </w:tc>
        <w:tc>
          <w:tcPr>
            <w:tcW w:type="dxa" w:w="31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展示与使用范围</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statement.actual.revenue/cost/expense/finance/tax</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累计损益指标，M</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来自report.profit</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为已展示结果币种，不是各法人原币简单相加。</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actual.net/gross/operating/pretax</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利润派生指标，M</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采用A.4.3公式</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不允许独立手工改利润以补平。</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actual.assets/liabilities/equity</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资产/负债/权益合计，M</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按BS集合求和</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资产＝负债＋权益。</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actual.cash/operatingCash</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期末现金/经营现金流，M</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closing.cash/cashflow.operating</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现金余额和累计流量不能混为一项。</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actual.cta/cashFx</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外币折算差额/现金汇率影响，M</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closing.cta/cashflow.fx</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分别列示，不计入经营净利润。</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actual.grossMargin/netMargin</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毛利率/净利率，number(6)</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对应利润÷收入×100；收入为0时0</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百分数显示，不再次乘100。</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bootstrap.entityActuals[]</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法人贡献（抵销前），array</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按展示结果的源副本及同版率折算</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含id/name/currency/sourceCurrency/sourceVersion/basis及actual指标；不能相加后宣称等于合并结果。</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bootstrap.monthlyActuals[]</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各月收入发生额，array(12)</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report.monthlyProfit相应月revenue，未发生月0</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不从当前累计总额按比例重造趋势。</w:t>
            </w:r>
          </w:p>
        </w:tc>
      </w:tr>
      <w:tr>
        <w:trPr>
          <w:cantSplit/>
        </w:trPr>
        <w:tc>
          <w:tcPr>
            <w:tcW w:type="dxa" w:w="2660"/>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bootstrap.budgetComparable</w:t>
            </w:r>
          </w:p>
        </w:tc>
        <w:tc>
          <w:tcPr>
            <w:tcW w:type="dxa" w:w="1380"/>
            <w:vAlign w:val="top"/>
            <w:tcMar>
              <w:top w:w="65" w:type="dxa"/>
              <w:bottom w:w="65" w:type="dxa"/>
              <w:left w:w="65" w:type="dxa"/>
              <w:right w:w="65" w:type="dxa"/>
            </w:tcMar>
          </w:tcPr>
          <w:p>
            <w:pPr>
              <w:spacing w:before="30" w:after="30" w:line="252" w:lineRule="auto"/>
            </w:pPr>
            <w:r>
              <w:rPr>
                <w:rFonts w:ascii="Arial" w:hAnsi="Arial" w:eastAsia="宋体"/>
                <w:b w:val="0"/>
                <w:i w:val="0"/>
                <w:sz w:val="18"/>
              </w:rPr>
              <w:t>是否可做预实比较，boolean</w:t>
            </w:r>
          </w:p>
        </w:tc>
        <w:tc>
          <w:tcPr>
            <w:tcW w:type="dxa" w:w="2197"/>
            <w:vAlign w:val="top"/>
            <w:tcMar>
              <w:top w:w="65" w:type="dxa"/>
              <w:bottom w:w="65" w:type="dxa"/>
              <w:left w:w="65" w:type="dxa"/>
              <w:right w:w="65" w:type="dxa"/>
            </w:tcMar>
          </w:tcPr>
          <w:p>
            <w:pPr>
              <w:spacing w:before="30" w:after="30" w:line="252" w:lineRule="auto"/>
            </w:pPr>
            <w:r>
              <w:rPr>
                <w:rFonts w:ascii="Arial" w:hAnsi="Arial" w:eastAsia="宋体"/>
                <w:b w:val="0"/>
                <w:i w:val="0"/>
                <w:sz w:val="18"/>
              </w:rPr>
              <w:t>仅TY_GROUP＋CNY＋all为true</w:t>
            </w:r>
          </w:p>
        </w:tc>
        <w:tc>
          <w:tcPr>
            <w:tcW w:type="dxa" w:w="3169"/>
            <w:vAlign w:val="top"/>
            <w:tcMar>
              <w:top w:w="65" w:type="dxa"/>
              <w:bottom w:w="65" w:type="dxa"/>
              <w:left w:w="65" w:type="dxa"/>
              <w:right w:w="65" w:type="dxa"/>
            </w:tcMar>
          </w:tcPr>
          <w:p>
            <w:pPr>
              <w:spacing w:before="30" w:after="30" w:line="252" w:lineRule="auto"/>
            </w:pPr>
            <w:r>
              <w:rPr>
                <w:rFonts w:ascii="Arial" w:hAnsi="Arial" w:eastAsia="宋体"/>
                <w:b w:val="0"/>
                <w:i w:val="0"/>
                <w:sz w:val="18"/>
              </w:rPr>
              <w:t>小合并和USD原币不与集团人民币预算混比。</w:t>
            </w:r>
          </w:p>
        </w:tc>
      </w:tr>
      <w:tr>
        <w:trPr>
          <w:cantSplit/>
        </w:trPr>
        <w:tc>
          <w:tcPr>
            <w:tcW w:type="dxa" w:w="2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commentaries[单元:月].text</w:t>
            </w:r>
          </w:p>
        </w:tc>
        <w:tc>
          <w:tcPr>
            <w:tcW w:type="dxa" w:w="13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经营说明，S(3000)</w:t>
            </w:r>
          </w:p>
        </w:tc>
        <w:tc>
          <w:tcPr>
            <w:tcW w:type="dxa" w:w="21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WR保存，必填</w:t>
            </w:r>
          </w:p>
        </w:tc>
        <w:tc>
          <w:tcPr>
            <w:tcW w:type="dxa" w:w="31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只更新当前单元当前期间说明，不改变财务结果；带updatedAt、role。</w:t>
            </w:r>
          </w:p>
        </w:tc>
      </w:tr>
    </w:tbl>
    <w:p>
      <w:pPr>
        <w:spacing w:after="40"/>
      </w:pPr>
    </w:p>
    <w:p>
      <w:r>
        <w:rPr>
          <w:rFonts w:ascii="Arial" w:hAnsi="Arial" w:eastAsia="宋体"/>
          <w:b w:val="0"/>
          <w:i w:val="0"/>
        </w:rPr>
        <w:t>CTA仅属普通境外经营折算结果。对于其他综合收益、少数股东、恶性通胀、收购差额等复杂事件，正式系统应有完整会计政策和专门数据模型，不能复用本版CTA字段作为通用补差。</w:t>
      </w:r>
    </w:p>
    <w:p>
      <w:pPr>
        <w:pStyle w:val="Heading2"/>
      </w:pPr>
      <w:bookmarkStart w:id="66" w:name="epm_66"/>
      <w:r>
        <w:rPr>
          <w:rFonts w:ascii="Arial" w:hAnsi="Arial" w:eastAsia="宋体"/>
          <w:b w:val="0"/>
          <w:i w:val="0"/>
        </w:rPr>
        <w:t>A.8 全面预算字段与状态</w:t>
      </w:r>
      <w:bookmarkEnd w:id="66"/>
    </w:p>
    <w:p>
      <w:r>
        <w:rPr>
          <w:rFonts w:ascii="Arial" w:hAnsi="Arial" w:eastAsia="宋体"/>
          <w:b w:val="0"/>
          <w:i w:val="0"/>
        </w:rPr>
        <w:t xml:space="preserve">预算存储在 </w:t>
      </w:r>
      <w:r>
        <w:rPr>
          <w:rFonts w:ascii="Consolas" w:hAnsi="Consolas" w:eastAsia="宋体"/>
          <w:b w:val="0"/>
          <w:i w:val="0"/>
          <w:sz w:val="18"/>
        </w:rPr>
        <w:t>budget</w:t>
      </w:r>
      <w:r>
        <w:rPr>
          <w:rFonts w:ascii="Arial" w:hAnsi="Arial" w:eastAsia="宋体"/>
          <w:b w:val="0"/>
          <w:i w:val="0"/>
        </w:rPr>
        <w:t>。engine对全部budget_动作强制检查group=TY_GROUP、currency=CNY、entity=all。它是集团人民币独立预算演示，不改变合并财务源或已签核结果。销售、业务明细、比较基准三种口径须分开说明。</w:t>
      </w:r>
    </w:p>
    <w:p>
      <w:pPr>
        <w:pStyle w:val="Heading3"/>
      </w:pPr>
      <w:bookmarkStart w:id="67" w:name="epm_67"/>
      <w:r>
        <w:rPr>
          <w:rFonts w:ascii="Arial" w:hAnsi="Arial" w:eastAsia="宋体"/>
          <w:b w:val="0"/>
          <w:i w:val="0"/>
        </w:rPr>
        <w:t>A.8.1 当前预算budget</w:t>
      </w:r>
      <w:bookmarkEnd w:id="67"/>
    </w:p>
    <w:tbl>
      <w:tblPr>
        <w:tblStyle w:val="TableGrid"/>
        <w:tblW w:type="auto" w:w="0"/>
        <w:jc w:val="center"/>
        <w:tblLayout w:type="fixed"/>
        <w:tblLook w:firstColumn="1" w:firstRow="1" w:lastColumn="0" w:lastRow="0" w:noHBand="0" w:noVBand="1" w:val="04A0"/>
      </w:tblPr>
      <w:tblGrid>
        <w:gridCol w:w="1867"/>
        <w:gridCol w:w="1919"/>
        <w:gridCol w:w="2071"/>
        <w:gridCol w:w="3549"/>
      </w:tblGrid>
      <w:tr>
        <w:trPr>
          <w:cantSplit/>
          <w:tblHeader w:val="true"/>
        </w:trPr>
        <w:tc>
          <w:tcPr>
            <w:tcW w:type="dxa" w:w="18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91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0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必填/默认及权限</w:t>
            </w:r>
          </w:p>
        </w:tc>
        <w:tc>
          <w:tcPr>
            <w:tcW w:type="dxa" w:w="35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计算、校验与实际用途</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version</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当前活跃版本名，S(40)</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RO，由复制/切换/调整改变</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定位versions[].name，不是软件版本。</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当前版本状态，enum</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编制中→审核中→已审批→已锁定。编辑允许编制中或已退回；当前没有普通预算提交单的退回动作。</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scope</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预算管理口径，ID</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RO，TY_GROUP</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不开放任意小合并预算和跨范围比较。</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预算币种，enum</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RO，CNY</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金额为人民币万元，不能用美元单位显示同一预算。</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layers</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销售目标层，array(4)</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WR通过budget_layer_save修改指定层</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四层label固定；四层amount总和为年度营业收入目标。</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layers[0].label/amount</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基础层名称/金额，S/B</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初始仅可有空白技术框架；amount用户录入且非负</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layer参数0定位。</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layers[1].label/amount</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挑战层名称/金额，S/B</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初始无业务金额；amount用户录入且非负</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layer参数1定位。</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layers[2].label/amount</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管理层名称/金额，S/B</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初始无业务金额；amount用户录入且非负</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layer参数2定位。</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layers[3].label/amount</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董事会层名称/金额，S/B</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初始无业务金额；amount用户录入且非负</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layer参数3定位；量价动作也会重算本层金额。</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spread</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全年分摊模式，enum</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WR，even或seasonal，缺省even</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均匀或季节性权重；不是服务端存储12份独立财务预算三表。</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drivers.volume</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销售目标数量，number</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WR，必填非负整数</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只在budget_driver要求整数；业务明细quantity的规则不同。</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drivers.price</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销售目标单价，B</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WR，非负</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数量×单价为年度目标，保留2位；目标不得低于前三层合计。</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entityRatios</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法人目标展示分配，map&lt;ID,number&gt;</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新增法人不自动分配业务预算；适用字段以当前版本为准</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从空时无既定企业分配比例；技术0不代表已编制预算。不能声称已交付可配置多维分摊引擎。</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entityRevenueRatios</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法人收入分配兼容映射，map</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从空时无既定企业比例</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只读兼容结构；不提供默认业务比例，不驱动财务合并源。</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businessPlans</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七类业务预算明细，object</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WR按类型整批保存</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键见A.8.3；各类别独立保存到当前完整版本。</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versions[]</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完整预算版本集合，array</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RO，系统按动作维护</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当前版本修改后同步写回其完整快照；复制不是只复制年度总额。</w:t>
            </w:r>
          </w:p>
        </w:tc>
      </w:tr>
      <w:tr>
        <w:trPr>
          <w:cantSplit/>
        </w:trPr>
        <w:tc>
          <w:tcPr>
            <w:tcW w:type="dxa" w:w="1867"/>
            <w:vAlign w:val="top"/>
            <w:tcMar>
              <w:top w:w="65" w:type="dxa"/>
              <w:bottom w:w="65" w:type="dxa"/>
              <w:left w:w="65" w:type="dxa"/>
              <w:right w:w="65" w:type="dxa"/>
            </w:tcMar>
          </w:tcPr>
          <w:p>
            <w:pPr>
              <w:spacing w:before="30" w:after="30" w:line="252" w:lineRule="auto"/>
            </w:pPr>
            <w:r>
              <w:rPr>
                <w:rFonts w:ascii="Arial" w:hAnsi="Arial" w:eastAsia="宋体"/>
                <w:b w:val="0"/>
                <w:i w:val="0"/>
                <w:sz w:val="18"/>
              </w:rPr>
              <w:t>adjustments[]</w:t>
            </w:r>
          </w:p>
        </w:tc>
        <w:tc>
          <w:tcPr>
            <w:tcW w:type="dxa" w:w="1919"/>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独立调整申请，array</w:t>
            </w:r>
          </w:p>
        </w:tc>
        <w:tc>
          <w:tcPr>
            <w:tcW w:type="dxa" w:w="2071"/>
            <w:vAlign w:val="top"/>
            <w:tcMar>
              <w:top w:w="65" w:type="dxa"/>
              <w:bottom w:w="65" w:type="dxa"/>
              <w:left w:w="65" w:type="dxa"/>
              <w:right w:w="65" w:type="dxa"/>
            </w:tcMar>
          </w:tcPr>
          <w:p>
            <w:pPr>
              <w:spacing w:before="30" w:after="30" w:line="252" w:lineRule="auto"/>
            </w:pPr>
            <w:r>
              <w:rPr>
                <w:rFonts w:ascii="Arial" w:hAnsi="Arial" w:eastAsia="宋体"/>
                <w:b w:val="0"/>
                <w:i w:val="0"/>
                <w:sz w:val="18"/>
              </w:rPr>
              <w:t>WR创建，MGR审批/退回</w:t>
            </w:r>
          </w:p>
        </w:tc>
        <w:tc>
          <w:tcPr>
            <w:tcW w:type="dxa" w:w="3549"/>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保存来源完整快照；批准生成独立新版本，原版本不覆盖。</w:t>
            </w:r>
          </w:p>
        </w:tc>
      </w:tr>
      <w:tr>
        <w:trPr>
          <w:cantSplit/>
        </w:trPr>
        <w:tc>
          <w:tcPr>
            <w:tcW w:type="dxa" w:w="18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comparisonAnnual</w:t>
            </w:r>
          </w:p>
        </w:tc>
        <w:tc>
          <w:tcPr>
            <w:tcW w:type="dxa" w:w="191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全年成本费用比较基准，object</w:t>
            </w:r>
          </w:p>
        </w:tc>
        <w:tc>
          <w:tcPr>
            <w:tcW w:type="dxa" w:w="20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空框架无业务比较金额</w:t>
            </w:r>
          </w:p>
        </w:tc>
        <w:tc>
          <w:tcPr>
            <w:tcW w:type="dxa" w:w="35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技术0不得当已维护业务；本版无完整成本费用比较基准维护入口，业务计划不会自动写回，不从旧4000/2600/200金样带入。</w:t>
            </w:r>
          </w:p>
        </w:tc>
      </w:tr>
    </w:tbl>
    <w:p>
      <w:pPr>
        <w:spacing w:after="40"/>
      </w:pPr>
    </w:p>
    <w:p>
      <w:r>
        <w:rPr>
          <w:rFonts w:ascii="Arial" w:hAnsi="Arial" w:eastAsia="宋体"/>
          <w:b w:val="0"/>
          <w:i w:val="0"/>
        </w:rPr>
        <w:t>本版预算从空开始，没有4000目标或V1/V2业务样例。技术层定义不是已填写预算，用户须先创建业务版本并录入自己的目标。业务预算计划金额不会自动重算成本、费用、资产负债或现金流预算。</w:t>
      </w:r>
    </w:p>
    <w:p>
      <w:pPr>
        <w:pStyle w:val="Heading3"/>
      </w:pPr>
      <w:bookmarkStart w:id="68" w:name="epm_68"/>
      <w:r>
        <w:rPr>
          <w:rFonts w:ascii="Arial" w:hAnsi="Arial" w:eastAsia="宋体"/>
          <w:b w:val="0"/>
          <w:i w:val="0"/>
        </w:rPr>
        <w:t>A.8.2 分摊、量价与预实比较</w:t>
      </w:r>
      <w:bookmarkEnd w:id="68"/>
    </w:p>
    <w:tbl>
      <w:tblPr>
        <w:tblStyle w:val="TableGrid"/>
        <w:tblW w:type="auto" w:w="0"/>
        <w:jc w:val="center"/>
        <w:tblLayout w:type="fixed"/>
        <w:tblLook w:firstColumn="1" w:firstRow="1" w:lastColumn="0" w:lastRow="0" w:noHBand="0" w:noVBand="1" w:val="04A0"/>
      </w:tblPr>
      <w:tblGrid>
        <w:gridCol w:w="1385"/>
        <w:gridCol w:w="2401"/>
        <w:gridCol w:w="2033"/>
        <w:gridCol w:w="3588"/>
      </w:tblGrid>
      <w:tr>
        <w:trPr>
          <w:cantSplit/>
          <w:tblHeader w:val="true"/>
        </w:trPr>
        <w:tc>
          <w:tcPr>
            <w:tcW w:type="dxa" w:w="13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项目</w:t>
            </w:r>
          </w:p>
        </w:tc>
        <w:tc>
          <w:tcPr>
            <w:tcW w:type="dxa" w:w="2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字段及公式</w:t>
            </w:r>
          </w:p>
        </w:tc>
        <w:tc>
          <w:tcPr>
            <w:tcW w:type="dxa" w:w="203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校验或取数方法</w:t>
            </w:r>
          </w:p>
        </w:tc>
        <w:tc>
          <w:tcPr>
            <w:tcW w:type="dxa" w:w="35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研发注意</w:t>
            </w:r>
          </w:p>
        </w:tc>
      </w:tr>
      <w:tr>
        <w:trPr>
          <w:cantSplit/>
        </w:trPr>
        <w:tc>
          <w:tcPr>
            <w:tcW w:type="dxa" w:w="1385"/>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年度销售目标</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sum(layers[].amount)</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各层非负B</w:t>
            </w:r>
          </w:p>
        </w:tc>
        <w:tc>
          <w:tcPr>
            <w:tcW w:type="dxa" w:w="3588"/>
            <w:vAlign w:val="top"/>
            <w:tcMar>
              <w:top w:w="65" w:type="dxa"/>
              <w:bottom w:w="65" w:type="dxa"/>
              <w:left w:w="65" w:type="dxa"/>
              <w:right w:w="65" w:type="dxa"/>
            </w:tcMar>
          </w:tcPr>
          <w:p>
            <w:pPr>
              <w:spacing w:before="30" w:after="30" w:line="252" w:lineRule="auto"/>
            </w:pPr>
            <w:r>
              <w:rPr>
                <w:rFonts w:ascii="Arial" w:hAnsi="Arial" w:eastAsia="宋体"/>
                <w:b w:val="0"/>
                <w:i w:val="0"/>
                <w:sz w:val="18"/>
              </w:rPr>
              <w:t>所有年度展示以当前完整版本为准。</w:t>
            </w:r>
          </w:p>
        </w:tc>
      </w:tr>
      <w:tr>
        <w:trPr>
          <w:cantSplit/>
        </w:trPr>
        <w:tc>
          <w:tcPr>
            <w:tcW w:type="dxa" w:w="13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量价驱动</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round(volume×price,2)</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volume非负整数、price非负B；目标≥前三层</w:t>
            </w:r>
          </w:p>
        </w:tc>
        <w:tc>
          <w:tcPr>
            <w:tcW w:type="dxa" w:w="35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仅重算董事会层＝目标−前三层合计，前三层不动。</w:t>
            </w:r>
          </w:p>
        </w:tc>
      </w:tr>
      <w:tr>
        <w:trPr>
          <w:cantSplit/>
        </w:trPr>
        <w:tc>
          <w:tcPr>
            <w:tcW w:type="dxa" w:w="1385"/>
            <w:vAlign w:val="top"/>
            <w:tcMar>
              <w:top w:w="65" w:type="dxa"/>
              <w:bottom w:w="65" w:type="dxa"/>
              <w:left w:w="65" w:type="dxa"/>
              <w:right w:w="65" w:type="dxa"/>
            </w:tcMar>
          </w:tcPr>
          <w:p>
            <w:pPr>
              <w:spacing w:before="30" w:after="30" w:line="252" w:lineRule="auto"/>
            </w:pPr>
            <w:r>
              <w:rPr>
                <w:rFonts w:ascii="Arial" w:hAnsi="Arial" w:eastAsia="宋体"/>
                <w:b w:val="0"/>
                <w:i w:val="0"/>
                <w:sz w:val="18"/>
              </w:rPr>
              <w:t>均匀分摊</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每月1/12</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使用累计权重和整数分分摊，最后月接回全年总额</w:t>
            </w:r>
          </w:p>
        </w:tc>
        <w:tc>
          <w:tcPr>
            <w:tcW w:type="dxa" w:w="3588"/>
            <w:vAlign w:val="top"/>
            <w:tcMar>
              <w:top w:w="65" w:type="dxa"/>
              <w:bottom w:w="65" w:type="dxa"/>
              <w:left w:w="65" w:type="dxa"/>
              <w:right w:w="65" w:type="dxa"/>
            </w:tcMar>
          </w:tcPr>
          <w:p>
            <w:pPr>
              <w:spacing w:before="30" w:after="30" w:line="252" w:lineRule="auto"/>
            </w:pPr>
            <w:r>
              <w:rPr>
                <w:rFonts w:ascii="Arial" w:hAnsi="Arial" w:eastAsia="宋体"/>
                <w:b w:val="0"/>
                <w:i w:val="0"/>
                <w:sz w:val="18"/>
              </w:rPr>
              <w:t>避免12次独立四舍五入导致年度总额漂移。</w:t>
            </w:r>
          </w:p>
        </w:tc>
      </w:tr>
      <w:tr>
        <w:trPr>
          <w:cantSplit/>
        </w:trPr>
        <w:tc>
          <w:tcPr>
            <w:tcW w:type="dxa" w:w="13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季节权重</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1—12月为5、5、7、8、8、9、9、9、10、10、10、10%</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权重合计100</w:t>
            </w:r>
          </w:p>
        </w:tc>
        <w:tc>
          <w:tcPr>
            <w:tcW w:type="dxa" w:w="35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前9个月累计70%；未开放自定义权重字段。</w:t>
            </w:r>
          </w:p>
        </w:tc>
      </w:tr>
      <w:tr>
        <w:trPr>
          <w:cantSplit/>
        </w:trPr>
        <w:tc>
          <w:tcPr>
            <w:tcW w:type="dxa" w:w="1385"/>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累计预算收入</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当前版本全年销售目标逐月分摊后累计至所选月</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even模式9期累计75%</w:t>
            </w:r>
          </w:p>
        </w:tc>
        <w:tc>
          <w:tcPr>
            <w:tcW w:type="dxa" w:w="3588"/>
            <w:vAlign w:val="top"/>
            <w:tcMar>
              <w:top w:w="65" w:type="dxa"/>
              <w:bottom w:w="65" w:type="dxa"/>
              <w:left w:w="65" w:type="dxa"/>
              <w:right w:w="65" w:type="dxa"/>
            </w:tcMar>
          </w:tcPr>
          <w:p>
            <w:pPr>
              <w:spacing w:before="30" w:after="30" w:line="252" w:lineRule="auto"/>
            </w:pPr>
            <w:r>
              <w:rPr>
                <w:rFonts w:ascii="Arial" w:hAnsi="Arial" w:eastAsia="宋体"/>
                <w:b w:val="0"/>
                <w:i w:val="0"/>
                <w:sz w:val="18"/>
              </w:rPr>
              <w:t>例如用户自行编制年度4000后，9期even累计3000；这只是分摊计算示例，软件初始不填入该目标。</w:t>
            </w:r>
          </w:p>
        </w:tc>
      </w:tr>
      <w:tr>
        <w:trPr>
          <w:cantSplit/>
        </w:trPr>
        <w:tc>
          <w:tcPr>
            <w:tcW w:type="dxa" w:w="13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累计预算成本/费用/财务/税</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comparisonAnnual对应值×month/12</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固定基准的直线累计</w:t>
            </w:r>
          </w:p>
        </w:tc>
        <w:tc>
          <w:tcPr>
            <w:tcW w:type="dxa" w:w="35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与销售seasonal方案不同，也不从七类业务明细推导。</w:t>
            </w:r>
          </w:p>
        </w:tc>
      </w:tr>
      <w:tr>
        <w:trPr>
          <w:cantSplit/>
        </w:trPr>
        <w:tc>
          <w:tcPr>
            <w:tcW w:type="dxa" w:w="1385"/>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累计预算净利润</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预算收入−成本−费用−财务−税</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页面比较指标</w:t>
            </w:r>
          </w:p>
        </w:tc>
        <w:tc>
          <w:tcPr>
            <w:tcW w:type="dxa" w:w="3588"/>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当前Foundation的成本／费用／财税comparisonAnnual为无业务技术0，未提供完整维护入口，业务明细也不会回写它；该净利算式不是已验收的完整利润预算，不用旧示例净利900作默认。</w:t>
            </w:r>
          </w:p>
        </w:tc>
      </w:tr>
      <w:tr>
        <w:trPr>
          <w:cantSplit/>
        </w:trPr>
        <w:tc>
          <w:tcPr>
            <w:tcW w:type="dxa" w:w="13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差异</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同范围同币种实际−对应累计预算</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仅budgetComparable=true</w:t>
            </w:r>
          </w:p>
        </w:tc>
        <w:tc>
          <w:tcPr>
            <w:tcW w:type="dxa" w:w="35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不可将海外USD原币与集团CNY预算直接相减。</w:t>
            </w:r>
          </w:p>
        </w:tc>
      </w:tr>
    </w:tbl>
    <w:p>
      <w:pPr>
        <w:spacing w:after="40"/>
      </w:pPr>
    </w:p>
    <w:p>
      <w:pPr>
        <w:pStyle w:val="Heading3"/>
      </w:pPr>
      <w:bookmarkStart w:id="69" w:name="epm_69"/>
      <w:r>
        <w:rPr>
          <w:rFonts w:ascii="Arial" w:hAnsi="Arial" w:eastAsia="宋体"/>
          <w:b w:val="0"/>
          <w:i w:val="0"/>
        </w:rPr>
        <w:t>A.8.3 七类业务预算明细businessPlans[type][]</w:t>
      </w:r>
      <w:bookmarkEnd w:id="69"/>
    </w:p>
    <w:p>
      <w:r>
        <w:rPr>
          <w:rFonts w:ascii="Arial" w:hAnsi="Arial" w:eastAsia="宋体"/>
          <w:b w:val="0"/>
          <w:i w:val="0"/>
        </w:rPr>
        <w:t>服务端类型只有production（生产）、purchase（采购）、inventory（库存）、labor（人工）、expense（费用）、capital（资本）、cash（资金）。界面中的sales是四层目标页，statements是比较基准视图，两者不是budget_plan_save可接受的明细type。</w:t>
      </w:r>
    </w:p>
    <w:tbl>
      <w:tblPr>
        <w:tblStyle w:val="TableGrid"/>
        <w:tblW w:type="auto" w:w="0"/>
        <w:jc w:val="center"/>
        <w:tblLayout w:type="fixed"/>
        <w:tblLook w:firstColumn="1" w:firstRow="1" w:lastColumn="0" w:lastRow="0" w:noHBand="0" w:noVBand="1" w:val="04A0"/>
      </w:tblPr>
      <w:tblGrid>
        <w:gridCol w:w="1444"/>
        <w:gridCol w:w="1759"/>
        <w:gridCol w:w="2926"/>
        <w:gridCol w:w="3277"/>
      </w:tblGrid>
      <w:tr>
        <w:trPr>
          <w:cantSplit/>
          <w:tblHeader w:val="true"/>
        </w:trPr>
        <w:tc>
          <w:tcPr>
            <w:tcW w:type="dxa" w:w="14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每行字段</w:t>
            </w:r>
          </w:p>
        </w:tc>
        <w:tc>
          <w:tcPr>
            <w:tcW w:type="dxa" w:w="175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92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32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校验及联动边界</w:t>
            </w:r>
          </w:p>
        </w:tc>
      </w:tr>
      <w:tr>
        <w:trPr>
          <w:cantSplit/>
        </w:trPr>
        <w:tc>
          <w:tcPr>
            <w:tcW w:type="dxa" w:w="1444"/>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行标识，S(40)</w:t>
            </w:r>
          </w:p>
        </w:tc>
        <w:tc>
          <w:tcPr>
            <w:tcW w:type="dxa" w:w="292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缺省行序号文本；保存后稳定使用</w:t>
            </w:r>
          </w:p>
        </w:tc>
        <w:tc>
          <w:tcPr>
            <w:tcW w:type="dxa" w:w="3277"/>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同一类别批次内唯一，重复拒绝。</w:t>
            </w:r>
          </w:p>
        </w:tc>
      </w:tr>
      <w:tr>
        <w:trPr>
          <w:cantSplit/>
        </w:trPr>
        <w:tc>
          <w:tcPr>
            <w:tcW w:type="dxa" w:w="14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预算项目，S(100)</w:t>
            </w:r>
          </w:p>
        </w:tc>
        <w:tc>
          <w:tcPr>
            <w:tcW w:type="dxa" w:w="29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本轮为通用项目文本，未建立产品、物料、订单及单位编码主数据。</w:t>
            </w:r>
          </w:p>
        </w:tc>
      </w:tr>
      <w:tr>
        <w:trPr>
          <w:cantSplit/>
        </w:trPr>
        <w:tc>
          <w:tcPr>
            <w:tcW w:type="dxa" w:w="1444"/>
            <w:vAlign w:val="top"/>
            <w:tcMar>
              <w:top w:w="65" w:type="dxa"/>
              <w:bottom w:w="65" w:type="dxa"/>
              <w:left w:w="65" w:type="dxa"/>
              <w:right w:w="65" w:type="dxa"/>
            </w:tcMar>
          </w:tcPr>
          <w:p>
            <w:pPr>
              <w:spacing w:before="30" w:after="30" w:line="252" w:lineRule="auto"/>
            </w:pPr>
            <w:r>
              <w:rPr>
                <w:rFonts w:ascii="Arial" w:hAnsi="Arial" w:eastAsia="宋体"/>
                <w:b w:val="0"/>
                <w:i w:val="0"/>
                <w:sz w:val="18"/>
              </w:rPr>
              <w:t>quantity</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计划数量，B</w:t>
            </w:r>
          </w:p>
        </w:tc>
        <w:tc>
          <w:tcPr>
            <w:tcW w:type="dxa" w:w="292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缺省0；非负，最多2位小数</w:t>
            </w:r>
          </w:p>
        </w:tc>
        <w:tc>
          <w:tcPr>
            <w:tcW w:type="dxa" w:w="3277"/>
            <w:vAlign w:val="top"/>
            <w:tcMar>
              <w:top w:w="65" w:type="dxa"/>
              <w:bottom w:w="65" w:type="dxa"/>
              <w:left w:w="65" w:type="dxa"/>
              <w:right w:w="65" w:type="dxa"/>
            </w:tcMar>
          </w:tcPr>
          <w:p>
            <w:pPr>
              <w:spacing w:before="30" w:after="30" w:line="252" w:lineRule="auto"/>
            </w:pPr>
            <w:r>
              <w:rPr>
                <w:rFonts w:ascii="Arial" w:hAnsi="Arial" w:eastAsia="宋体"/>
                <w:b w:val="0"/>
                <w:i w:val="0"/>
                <w:sz w:val="18"/>
              </w:rPr>
              <w:t>业务计划允许小数，不能套用销售驱动volume整数要求。</w:t>
            </w:r>
          </w:p>
        </w:tc>
      </w:tr>
      <w:tr>
        <w:trPr>
          <w:cantSplit/>
        </w:trPr>
        <w:tc>
          <w:tcPr>
            <w:tcW w:type="dxa" w:w="14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price</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单价，B</w:t>
            </w:r>
          </w:p>
        </w:tc>
        <w:tc>
          <w:tcPr>
            <w:tcW w:type="dxa" w:w="29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缺省0；非负</w:t>
            </w:r>
          </w:p>
        </w:tc>
        <w:tc>
          <w:tcPr>
            <w:tcW w:type="dxa" w:w="3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页面标注人民币万元单价；正式项目应补业务单位/币种与换算。</w:t>
            </w:r>
          </w:p>
        </w:tc>
      </w:tr>
      <w:tr>
        <w:trPr>
          <w:cantSplit/>
        </w:trPr>
        <w:tc>
          <w:tcPr>
            <w:tcW w:type="dxa" w:w="1444"/>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w:t>
            </w:r>
          </w:p>
        </w:tc>
        <w:tc>
          <w:tcPr>
            <w:tcW w:type="dxa" w:w="1759"/>
            <w:vAlign w:val="top"/>
            <w:tcMar>
              <w:top w:w="65" w:type="dxa"/>
              <w:bottom w:w="65" w:type="dxa"/>
              <w:left w:w="65" w:type="dxa"/>
              <w:right w:w="65" w:type="dxa"/>
            </w:tcMar>
          </w:tcPr>
          <w:p>
            <w:pPr>
              <w:spacing w:before="30" w:after="30" w:line="252" w:lineRule="auto"/>
            </w:pPr>
            <w:r>
              <w:rPr>
                <w:rFonts w:ascii="Arial" w:hAnsi="Arial" w:eastAsia="宋体"/>
                <w:b w:val="0"/>
                <w:i w:val="0"/>
                <w:sz w:val="18"/>
              </w:rPr>
              <w:t>计划金额，B</w:t>
            </w:r>
          </w:p>
        </w:tc>
        <w:tc>
          <w:tcPr>
            <w:tcW w:type="dxa" w:w="292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缺省round(quantity×price,2)</w:t>
            </w:r>
          </w:p>
        </w:tc>
        <w:tc>
          <w:tcPr>
            <w:tcW w:type="dxa" w:w="3277"/>
            <w:vAlign w:val="top"/>
            <w:tcMar>
              <w:top w:w="65" w:type="dxa"/>
              <w:bottom w:w="65" w:type="dxa"/>
              <w:left w:w="65" w:type="dxa"/>
              <w:right w:w="65" w:type="dxa"/>
            </w:tcMar>
          </w:tcPr>
          <w:p>
            <w:pPr>
              <w:spacing w:before="30" w:after="30" w:line="252" w:lineRule="auto"/>
            </w:pPr>
            <w:r>
              <w:rPr>
                <w:rFonts w:ascii="Arial" w:hAnsi="Arial" w:eastAsia="宋体"/>
                <w:b w:val="0"/>
                <w:i w:val="0"/>
                <w:sz w:val="18"/>
              </w:rPr>
              <w:t>传入时必须精确等于数量×单价的两位小数结果。</w:t>
            </w:r>
          </w:p>
        </w:tc>
      </w:tr>
      <w:tr>
        <w:trPr>
          <w:cantSplit/>
        </w:trPr>
        <w:tc>
          <w:tcPr>
            <w:tcW w:type="dxa" w:w="14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note</w:t>
            </w:r>
          </w:p>
        </w:tc>
        <w:tc>
          <w:tcPr>
            <w:tcW w:type="dxa" w:w="175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备注，S(300)</w:t>
            </w:r>
          </w:p>
        </w:tc>
        <w:tc>
          <w:tcPr>
            <w:tcW w:type="dxa" w:w="292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允许空，缺省空字符串</w:t>
            </w:r>
          </w:p>
        </w:tc>
        <w:tc>
          <w:tcPr>
            <w:tcW w:type="dxa" w:w="32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仅业务说明，不执行生产排程、采购下单或真实付款。</w:t>
            </w:r>
          </w:p>
        </w:tc>
      </w:tr>
    </w:tbl>
    <w:p>
      <w:pPr>
        <w:spacing w:after="40"/>
      </w:pPr>
    </w:p>
    <w:p>
      <w:r>
        <w:rPr>
          <w:rFonts w:ascii="Arial" w:hAnsi="Arial" w:eastAsia="宋体"/>
          <w:b w:val="0"/>
          <w:i w:val="0"/>
        </w:rPr>
        <w:t>每次按一种type提交完整rows数组，0—200行；空数组可清空当前类别。保存作用于当前预算版本，需处于可编制状态。没有行删除独立API，页面编辑后通过完整数组替换表达删除。</w:t>
      </w:r>
    </w:p>
    <w:p>
      <w:pPr>
        <w:pStyle w:val="Heading3"/>
      </w:pPr>
      <w:bookmarkStart w:id="70" w:name="epm_70"/>
      <w:r>
        <w:rPr>
          <w:rFonts w:ascii="Arial" w:hAnsi="Arial" w:eastAsia="宋体"/>
          <w:b w:val="0"/>
          <w:i w:val="0"/>
        </w:rPr>
        <w:t>A.8.4 完整预算版本versions[]</w:t>
      </w:r>
      <w:bookmarkEnd w:id="70"/>
    </w:p>
    <w:tbl>
      <w:tblPr>
        <w:tblStyle w:val="TableGrid"/>
        <w:tblW w:type="auto" w:w="0"/>
        <w:jc w:val="center"/>
        <w:tblLayout w:type="fixed"/>
        <w:tblLook w:firstColumn="1" w:firstRow="1" w:lastColumn="0" w:lastRow="0" w:noHBand="0" w:noVBand="1" w:val="04A0"/>
      </w:tblPr>
      <w:tblGrid>
        <w:gridCol w:w="1874"/>
        <w:gridCol w:w="1874"/>
        <w:gridCol w:w="2447"/>
        <w:gridCol w:w="3211"/>
      </w:tblGrid>
      <w:tr>
        <w:trPr>
          <w:cantSplit/>
          <w:tblHeader w:val="true"/>
        </w:trPr>
        <w:tc>
          <w:tcPr>
            <w:tcW w:type="dxa" w:w="18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8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44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来源/默认</w:t>
            </w:r>
          </w:p>
        </w:tc>
        <w:tc>
          <w:tcPr>
            <w:tcW w:type="dxa" w:w="32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使用规则</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name</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版本名称，S(40)</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用户复制时必填且不得与现有同名</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切换按此精确定位；调整批准名由系统生成。</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scenario</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情景，S(30)</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复制缺省年度预算</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页面选年度预算、滚动预测、压力情景；服务端接受符合长度的文本。</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annual</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年度收入目标，B</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RO，四层合计</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不是业务计划七类金额合计。</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layers</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四层完整副本，array</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复制当前快照；批准调整由来源快照改指定层</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不能只复制年度总额而丢层次。</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spread</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分摊模式，enum</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来源完整副本</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切换后恢复当前分摊。</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版本状态，enum</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复制为编制中；调整批准为已审批</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原版本审批/锁定状态不因复制被重置。</w:t>
            </w:r>
          </w:p>
        </w:tc>
      </w:tr>
      <w:tr>
        <w:trPr>
          <w:cantSplit/>
        </w:trPr>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drivers</w:t>
            </w:r>
          </w:p>
        </w:tc>
        <w:tc>
          <w:tcPr>
            <w:tcW w:type="dxa" w:w="1874"/>
            <w:vAlign w:val="top"/>
            <w:tcMar>
              <w:top w:w="65" w:type="dxa"/>
              <w:bottom w:w="65" w:type="dxa"/>
              <w:left w:w="65" w:type="dxa"/>
              <w:right w:w="65" w:type="dxa"/>
            </w:tcMar>
          </w:tcPr>
          <w:p>
            <w:pPr>
              <w:spacing w:before="30" w:after="30" w:line="252" w:lineRule="auto"/>
            </w:pPr>
            <w:r>
              <w:rPr>
                <w:rFonts w:ascii="Arial" w:hAnsi="Arial" w:eastAsia="宋体"/>
                <w:b w:val="0"/>
                <w:i w:val="0"/>
                <w:sz w:val="18"/>
              </w:rPr>
              <w:t>量价参数副本，object</w:t>
            </w:r>
          </w:p>
        </w:tc>
        <w:tc>
          <w:tcPr>
            <w:tcW w:type="dxa" w:w="2447"/>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来源完整副本</w:t>
            </w:r>
          </w:p>
        </w:tc>
        <w:tc>
          <w:tcPr>
            <w:tcW w:type="dxa" w:w="3211"/>
            <w:vAlign w:val="top"/>
            <w:tcMar>
              <w:top w:w="65" w:type="dxa"/>
              <w:bottom w:w="65" w:type="dxa"/>
              <w:left w:w="65" w:type="dxa"/>
              <w:right w:w="65" w:type="dxa"/>
            </w:tcMar>
          </w:tcPr>
          <w:p>
            <w:pPr>
              <w:spacing w:before="30" w:after="30" w:line="252" w:lineRule="auto"/>
            </w:pPr>
            <w:r>
              <w:rPr>
                <w:rFonts w:ascii="Arial" w:hAnsi="Arial" w:eastAsia="宋体"/>
                <w:b w:val="0"/>
                <w:i w:val="0"/>
                <w:sz w:val="18"/>
              </w:rPr>
              <w:t>恢复volume、price。</w:t>
            </w:r>
          </w:p>
        </w:tc>
      </w:tr>
      <w:tr>
        <w:trPr>
          <w:cantSplit/>
        </w:trPr>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businessPlans</w:t>
            </w:r>
          </w:p>
        </w:tc>
        <w:tc>
          <w:tcPr>
            <w:tcW w:type="dxa" w:w="1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七类完整副本，object</w:t>
            </w:r>
          </w:p>
        </w:tc>
        <w:tc>
          <w:tcPr>
            <w:tcW w:type="dxa" w:w="244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来源完整副本</w:t>
            </w:r>
          </w:p>
        </w:tc>
        <w:tc>
          <w:tcPr>
            <w:tcW w:type="dxa" w:w="32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复制、切换、调整批准均保留行明细。</w:t>
            </w:r>
          </w:p>
        </w:tc>
      </w:tr>
    </w:tbl>
    <w:p>
      <w:pPr>
        <w:spacing w:after="40"/>
      </w:pPr>
    </w:p>
    <w:p>
      <w:r>
        <w:rPr>
          <w:rFonts w:ascii="Arial" w:hAnsi="Arial" w:eastAsia="宋体"/>
          <w:b w:val="0"/>
          <w:i w:val="0"/>
        </w:rPr>
        <w:t>滚动预测是复制完整预算形成独立情景，再由人编制和审批；本版没有订单预测算法、外部需求输入、预测准确率模型或自动月滚动计算引擎。</w:t>
      </w:r>
    </w:p>
    <w:p>
      <w:pPr>
        <w:pStyle w:val="Heading3"/>
      </w:pPr>
      <w:bookmarkStart w:id="71" w:name="epm_71"/>
      <w:r>
        <w:rPr>
          <w:rFonts w:ascii="Arial" w:hAnsi="Arial" w:eastAsia="宋体"/>
          <w:b w:val="0"/>
          <w:i w:val="0"/>
        </w:rPr>
        <w:t>A.8.5 独立预算调整adjustments[]</w:t>
      </w:r>
      <w:bookmarkEnd w:id="71"/>
    </w:p>
    <w:tbl>
      <w:tblPr>
        <w:tblStyle w:val="TableGrid"/>
        <w:tblW w:type="auto" w:w="0"/>
        <w:jc w:val="center"/>
        <w:tblLayout w:type="fixed"/>
        <w:tblLook w:firstColumn="1" w:firstRow="1" w:lastColumn="0" w:lastRow="0" w:noHBand="0" w:noVBand="1" w:val="04A0"/>
      </w:tblPr>
      <w:tblGrid>
        <w:gridCol w:w="2654"/>
        <w:gridCol w:w="1684"/>
        <w:gridCol w:w="1684"/>
        <w:gridCol w:w="3384"/>
      </w:tblGrid>
      <w:tr>
        <w:trPr>
          <w:cantSplit/>
          <w:tblHeader w:val="true"/>
        </w:trPr>
        <w:tc>
          <w:tcPr>
            <w:tcW w:type="dxa" w:w="26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6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必填/默认及权限</w:t>
            </w:r>
          </w:p>
        </w:tc>
        <w:tc>
          <w:tcPr>
            <w:tcW w:type="dxa" w:w="33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校验与来源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调整申请编号，S</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RO，ADJ-001递增</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审批、退回按id定位。</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来源版本名，S</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RO，创建时活跃版本</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之后切换活跃版本不改变申请来源。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调整层号，integer</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WR必填0—3</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必须是非布尔整数；指向基础/挑战/管理/董事会层。</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delta</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调整增减金额，B</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WR必填，可负不可0</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来源该层金额+delta不能负。</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reason</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调整原因，S(500)</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WR必填</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当前页面要求说明依据，保存后入审计。</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申请状态，enum</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RO，新建待审批</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待审批→已批准或已退回；已处理不能再次审批。</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sourceAnnual</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来源全年目标，B</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RO，创建时四层合计</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批准时在此基础加delta，不能错误地用审批当时活跃版本总额。</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sourceLayers/sourceSpread</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来源层次/分摊完整快照</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RO，创建时深拷贝</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批准新版本从来源快照生成。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sourceDrivers/sourcePlans</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来源量价/七类计划快照</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RO，创建时深拷贝</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保留明细，即使原版本随后再编辑。</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createdAt</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申请创建时间，ISO</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r>
      <w:tr>
        <w:trPr>
          <w:cantSplit/>
        </w:trPr>
        <w:tc>
          <w:tcPr>
            <w:tcW w:type="dxa" w:w="2654"/>
            <w:vAlign w:val="top"/>
            <w:tcMar>
              <w:top w:w="65" w:type="dxa"/>
              <w:bottom w:w="65" w:type="dxa"/>
              <w:left w:w="65" w:type="dxa"/>
              <w:right w:w="65" w:type="dxa"/>
            </w:tcMar>
          </w:tcPr>
          <w:p>
            <w:pPr>
              <w:spacing w:before="30" w:after="30" w:line="252" w:lineRule="auto"/>
            </w:pPr>
            <w:r>
              <w:rPr>
                <w:rFonts w:ascii="Arial" w:hAnsi="Arial" w:eastAsia="宋体"/>
                <w:b w:val="0"/>
                <w:i w:val="0"/>
                <w:sz w:val="18"/>
              </w:rPr>
              <w:t>reviewReason</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退回说明，S(500)</w:t>
            </w:r>
          </w:p>
        </w:tc>
        <w:tc>
          <w:tcPr>
            <w:tcW w:type="dxa" w:w="1684"/>
            <w:vAlign w:val="top"/>
            <w:tcMar>
              <w:top w:w="65" w:type="dxa"/>
              <w:bottom w:w="65" w:type="dxa"/>
              <w:left w:w="65" w:type="dxa"/>
              <w:right w:w="65" w:type="dxa"/>
            </w:tcMar>
          </w:tcPr>
          <w:p>
            <w:pPr>
              <w:spacing w:before="30" w:after="30" w:line="252" w:lineRule="auto"/>
            </w:pPr>
            <w:r>
              <w:rPr>
                <w:rFonts w:ascii="Arial" w:hAnsi="Arial" w:eastAsia="宋体"/>
                <w:b w:val="0"/>
                <w:i w:val="0"/>
                <w:sz w:val="18"/>
              </w:rPr>
              <w:t>MGR退回，缺省退回修改</w:t>
            </w:r>
          </w:p>
        </w:tc>
        <w:tc>
          <w:tcPr>
            <w:tcW w:type="dxa" w:w="3384"/>
            <w:vAlign w:val="top"/>
            <w:tcMar>
              <w:top w:w="65" w:type="dxa"/>
              <w:bottom w:w="65" w:type="dxa"/>
              <w:left w:w="65" w:type="dxa"/>
              <w:right w:w="65" w:type="dxa"/>
            </w:tcMar>
          </w:tcPr>
          <w:p>
            <w:pPr>
              <w:spacing w:before="30" w:after="30" w:line="252" w:lineRule="auto"/>
            </w:pPr>
            <w:r>
              <w:rPr>
                <w:rFonts w:ascii="Arial" w:hAnsi="Arial" w:eastAsia="宋体"/>
                <w:b w:val="0"/>
                <w:i w:val="0"/>
                <w:sz w:val="18"/>
              </w:rPr>
              <w:t>只在退回时记录。</w:t>
            </w:r>
          </w:p>
        </w:tc>
      </w:tr>
      <w:tr>
        <w:trPr>
          <w:cantSplit/>
        </w:trPr>
        <w:tc>
          <w:tcPr>
            <w:tcW w:type="dxa" w:w="26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newVersion</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批准后新版本名称，S</w:t>
            </w:r>
          </w:p>
        </w:tc>
        <w:tc>
          <w:tcPr>
            <w:tcW w:type="dxa" w:w="16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RO，仅已批准有值</w:t>
            </w:r>
          </w:p>
        </w:tc>
        <w:tc>
          <w:tcPr>
            <w:tcW w:type="dxa" w:w="3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新版本年度＝sourceAnnual＋delta；状态已审批，可后续锁定。</w:t>
            </w:r>
          </w:p>
        </w:tc>
      </w:tr>
    </w:tbl>
    <w:p>
      <w:pPr>
        <w:spacing w:after="40"/>
      </w:pPr>
    </w:p>
    <w:p>
      <w:r>
        <w:rPr>
          <w:rFonts w:ascii="Arial" w:hAnsi="Arial" w:eastAsia="宋体"/>
          <w:b w:val="0"/>
          <w:i w:val="0"/>
        </w:rPr>
        <w:t>创建独立调整没有“原版必须已锁定”的统一前置，来源可为当前有效预算版本；不能把此建议性业务政策写成当前代码已实施的强制约束。MGR负责批准/退回，WR可申请。</w:t>
      </w:r>
    </w:p>
    <w:p>
      <w:pPr>
        <w:pStyle w:val="Heading2"/>
      </w:pPr>
      <w:bookmarkStart w:id="72" w:name="epm_72"/>
      <w:r>
        <w:rPr>
          <w:rFonts w:ascii="Arial" w:hAnsi="Arial" w:eastAsia="宋体"/>
          <w:b w:val="0"/>
          <w:i w:val="0"/>
        </w:rPr>
        <w:t>A.9 业务动作与历史兼容payload字段表</w:t>
      </w:r>
      <w:bookmarkEnd w:id="72"/>
    </w:p>
    <w:p>
      <w:r>
        <w:rPr>
          <w:rFonts w:ascii="Arial" w:hAnsi="Arial" w:eastAsia="宋体"/>
          <w:b w:val="0"/>
          <w:i w:val="0"/>
        </w:rPr>
        <w:t>本版明确禁止外部手工source_save/source_import/tb_import（403 voucher_source_required）及手工销售elimination_save（403 voucher_elimination_required）；表中旧字段为解释历史结构，不是当前可绕过凭证的入口。内部生成器在服务端从凭证派生源与自动抵销，不信任客户端伪造标志。</w:t>
      </w:r>
    </w:p>
    <w:p>
      <w:r>
        <w:rPr>
          <w:rFonts w:ascii="Arial" w:hAnsi="Arial" w:eastAsia="宋体"/>
          <w:b w:val="0"/>
          <w:i w:val="0"/>
        </w:rPr>
        <w:t>本节字段为payload内部键；公共revision/context见A.2。未额外标明时，ID、S、M、R沿用前述规则。成功都返回新的完整bootstrap；业务失败不增加revision、不写审计业务成功记录。role_switch只改会话，例外不进入业务事务。</w:t>
      </w:r>
    </w:p>
    <w:p>
      <w:pPr>
        <w:pStyle w:val="Heading3"/>
      </w:pPr>
      <w:bookmarkStart w:id="73" w:name="epm_73"/>
      <w:r>
        <w:rPr>
          <w:rFonts w:ascii="Arial" w:hAnsi="Arial" w:eastAsia="宋体"/>
          <w:b w:val="0"/>
          <w:i w:val="0"/>
        </w:rPr>
        <w:t>A.9.1 主数据与报送动作</w:t>
      </w:r>
      <w:bookmarkEnd w:id="73"/>
    </w:p>
    <w:tbl>
      <w:tblPr>
        <w:tblStyle w:val="TableGrid"/>
        <w:tblW w:type="auto" w:w="0"/>
        <w:jc w:val="center"/>
        <w:tblLayout w:type="fixed"/>
        <w:tblLook w:firstColumn="1" w:firstRow="1" w:lastColumn="0" w:lastRow="0" w:noHBand="0" w:noVBand="1" w:val="04A0"/>
      </w:tblPr>
      <w:tblGrid>
        <w:gridCol w:w="1629"/>
        <w:gridCol w:w="2708"/>
        <w:gridCol w:w="2875"/>
        <w:gridCol w:w="2193"/>
      </w:tblGrid>
      <w:tr>
        <w:trPr>
          <w:cantSplit/>
          <w:tblHeader w:val="true"/>
        </w:trPr>
        <w:tc>
          <w:tcPr>
            <w:tcW w:type="dxa" w:w="16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动作及权限</w:t>
            </w:r>
          </w:p>
        </w:tc>
        <w:tc>
          <w:tcPr>
            <w:tcW w:type="dxa" w:w="27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payload字段/必填</w:t>
            </w:r>
          </w:p>
        </w:tc>
        <w:tc>
          <w:tcPr>
            <w:tcW w:type="dxa" w:w="28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关键校验和生成字段</w:t>
            </w:r>
          </w:p>
        </w:tc>
        <w:tc>
          <w:tcPr>
            <w:tcW w:type="dxa" w:w="21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成功后的影响</w:t>
            </w:r>
          </w:p>
        </w:tc>
      </w:tr>
      <w:tr>
        <w:trPr>
          <w:cantSplit/>
        </w:trPr>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role_switch；有效会话</w:t>
            </w:r>
          </w:p>
        </w:tc>
        <w:tc>
          <w:tcPr>
            <w:tcW w:type="dxa" w:w="2708"/>
            <w:vAlign w:val="top"/>
            <w:tcMar>
              <w:top w:w="65" w:type="dxa"/>
              <w:bottom w:w="65" w:type="dxa"/>
              <w:left w:w="65" w:type="dxa"/>
              <w:right w:w="65" w:type="dxa"/>
            </w:tcMar>
          </w:tcPr>
          <w:p>
            <w:pPr>
              <w:spacing w:before="30" w:after="30" w:line="252" w:lineRule="auto"/>
            </w:pPr>
            <w:r>
              <w:rPr>
                <w:rFonts w:ascii="Arial" w:hAnsi="Arial" w:eastAsia="宋体"/>
                <w:b w:val="0"/>
                <w:i w:val="0"/>
                <w:sz w:val="18"/>
              </w:rPr>
              <w:t>role必填，三个角色之一</w:t>
            </w:r>
          </w:p>
        </w:tc>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会话角色修改；不是生产账号授权</w:t>
            </w:r>
          </w:p>
        </w:tc>
        <w:tc>
          <w:tcPr>
            <w:tcW w:type="dxa" w:w="2193"/>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当前sessionRole/capabilities变化，业务revision不变。</w:t>
            </w:r>
          </w:p>
        </w:tc>
      </w:tr>
      <w:tr>
        <w:trPr>
          <w:cantSplit/>
        </w:trPr>
        <w:tc>
          <w:tcPr>
            <w:tcW w:type="dxa" w:w="16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entity_save；MGR</w:t>
            </w:r>
          </w:p>
        </w:tc>
        <w:tc>
          <w:tcPr>
            <w:tcW w:type="dxa" w:w="27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id、name必填；新法人code/currency必填；short/owner/parentId/percent可选</w:t>
            </w:r>
          </w:p>
        </w:tc>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ID及code唯一；currency CNY/USD；percent缺省100且只能100；已有报送、ERP期初/凭证/余额行或账簿映射即不得改本位币</w:t>
            </w:r>
          </w:p>
        </w:tc>
        <w:tc>
          <w:tcPr>
            <w:tcW w:type="dxa" w:w="2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保存法人配置/真实持股，配置version递增，相关结果跨期失效。</w:t>
            </w:r>
          </w:p>
        </w:tc>
      </w:tr>
      <w:tr>
        <w:trPr>
          <w:cantSplit/>
        </w:trPr>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ownership_save；MGR</w:t>
            </w:r>
          </w:p>
        </w:tc>
        <w:tc>
          <w:tcPr>
            <w:tcW w:type="dxa" w:w="2708"/>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entityId、parentId、percent；method可缺省全额合并</w:t>
            </w:r>
          </w:p>
        </w:tc>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percent=100、method全额合并；parentId可空表示无直接母公司；真实树无环</w:t>
            </w:r>
          </w:p>
        </w:tc>
        <w:tc>
          <w:tcPr>
            <w:tcW w:type="dxa" w:w="2193"/>
            <w:vAlign w:val="top"/>
            <w:tcMar>
              <w:top w:w="65" w:type="dxa"/>
              <w:bottom w:w="65" w:type="dxa"/>
              <w:left w:w="65" w:type="dxa"/>
              <w:right w:w="65" w:type="dxa"/>
            </w:tcMar>
          </w:tcPr>
          <w:p>
            <w:pPr>
              <w:spacing w:before="30" w:after="30" w:line="252" w:lineRule="auto"/>
            </w:pPr>
            <w:r>
              <w:rPr>
                <w:rFonts w:ascii="Arial" w:hAnsi="Arial" w:eastAsia="宋体"/>
                <w:b w:val="0"/>
                <w:i w:val="0"/>
                <w:sz w:val="18"/>
              </w:rPr>
              <w:t>更新真实持股及法人parentId，不能自动改管理范围。</w:t>
            </w:r>
          </w:p>
        </w:tc>
      </w:tr>
      <w:tr>
        <w:trPr>
          <w:cantSplit/>
        </w:trPr>
        <w:tc>
          <w:tcPr>
            <w:tcW w:type="dxa" w:w="16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unit_save；MGR</w:t>
            </w:r>
          </w:p>
        </w:tc>
        <w:tc>
          <w:tcPr>
            <w:tcW w:type="dxa" w:w="27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id、name、currency、members全部必填</w:t>
            </w:r>
          </w:p>
        </w:tc>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members仅type/id；无重复/循环/重复叶子，合法币种方向；已有未停用交易仍在正确层</w:t>
            </w:r>
          </w:p>
        </w:tc>
        <w:tc>
          <w:tcPr>
            <w:tcW w:type="dxa" w:w="2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更新管理配置，相关结果跨期失效；响应context使用新币种并entity=all。</w:t>
            </w:r>
          </w:p>
        </w:tc>
      </w:tr>
      <w:tr>
        <w:trPr>
          <w:cantSplit/>
        </w:trPr>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source_save；Foundation禁用</w:t>
            </w:r>
          </w:p>
        </w:tc>
        <w:tc>
          <w:tcPr>
            <w:tcW w:type="dxa" w:w="2708"/>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历史payload：entityId、source</w:t>
            </w:r>
          </w:p>
        </w:tc>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外部403 voucher_source_required，即使伪造sourceType/ERP血缘也无效</w:t>
            </w:r>
          </w:p>
        </w:tc>
        <w:tc>
          <w:tcPr>
            <w:tcW w:type="dxa" w:w="2193"/>
            <w:vAlign w:val="top"/>
            <w:tcMar>
              <w:top w:w="65" w:type="dxa"/>
              <w:bottom w:w="65" w:type="dxa"/>
              <w:left w:w="65" w:type="dxa"/>
              <w:right w:w="65" w:type="dxa"/>
            </w:tcMar>
          </w:tcPr>
          <w:p>
            <w:pPr>
              <w:spacing w:before="30" w:after="30" w:line="252" w:lineRule="auto"/>
            </w:pPr>
            <w:r>
              <w:rPr>
                <w:rFonts w:ascii="Arial" w:hAnsi="Arial" w:eastAsia="宋体"/>
                <w:b w:val="0"/>
                <w:i w:val="0"/>
                <w:sz w:val="18"/>
              </w:rPr>
              <w:t>零写入，不增长源版本或业务revision。</w:t>
            </w:r>
          </w:p>
        </w:tc>
      </w:tr>
      <w:tr>
        <w:trPr>
          <w:cantSplit/>
        </w:trPr>
        <w:tc>
          <w:tcPr>
            <w:tcW w:type="dxa" w:w="16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source_import；Foundation禁用</w:t>
            </w:r>
          </w:p>
        </w:tc>
        <w:tc>
          <w:tcPr>
            <w:tcW w:type="dxa" w:w="27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历史payload：csv、sourceName</w:t>
            </w:r>
          </w:p>
        </w:tc>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外部403 voucher_source_required；六列源结构仅解释历史</w:t>
            </w:r>
          </w:p>
        </w:tc>
        <w:tc>
          <w:tcPr>
            <w:tcW w:type="dxa" w:w="2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零写入，不生成SRC批次。</w:t>
            </w:r>
          </w:p>
        </w:tc>
      </w:tr>
      <w:tr>
        <w:trPr>
          <w:cantSplit/>
        </w:trPr>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tb_import；Foundation禁用</w:t>
            </w:r>
          </w:p>
        </w:tc>
        <w:tc>
          <w:tcPr>
            <w:tcW w:type="dxa" w:w="2708"/>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历史payload：csv、sourceName</w:t>
            </w:r>
          </w:p>
        </w:tc>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外部403 voucher_source_required；不等同当前十列erp_balance_import</w:t>
            </w:r>
          </w:p>
        </w:tc>
        <w:tc>
          <w:tcPr>
            <w:tcW w:type="dxa" w:w="2193"/>
            <w:vAlign w:val="top"/>
            <w:tcMar>
              <w:top w:w="65" w:type="dxa"/>
              <w:bottom w:w="65" w:type="dxa"/>
              <w:left w:w="65" w:type="dxa"/>
              <w:right w:w="65" w:type="dxa"/>
            </w:tcMar>
          </w:tcPr>
          <w:p>
            <w:pPr>
              <w:spacing w:before="30" w:after="30" w:line="252" w:lineRule="auto"/>
            </w:pPr>
            <w:r>
              <w:rPr>
                <w:rFonts w:ascii="Arial" w:hAnsi="Arial" w:eastAsia="宋体"/>
                <w:b w:val="0"/>
                <w:i w:val="0"/>
                <w:sz w:val="18"/>
              </w:rPr>
              <w:t>零写入，不生成TB批次。</w:t>
            </w:r>
          </w:p>
        </w:tc>
      </w:tr>
      <w:tr>
        <w:trPr>
          <w:cantSplit/>
        </w:trPr>
        <w:tc>
          <w:tcPr>
            <w:tcW w:type="dxa" w:w="16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account_save；MGR</w:t>
            </w:r>
          </w:p>
        </w:tc>
        <w:tc>
          <w:tcPr>
            <w:tcW w:type="dxa" w:w="27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code、name、type、field、normalSide必填</w:t>
            </w:r>
          </w:p>
        </w:tc>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code为1—20位英数/下划线/短横；name S(100)；type为资产/负债/权益/收入/成本/费用/税费；field属于BS或PL；normalSide借/贷</w:t>
            </w:r>
          </w:p>
        </w:tc>
        <w:tc>
          <w:tcPr>
            <w:tcW w:type="dxa" w:w="21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保存集团科目，所有单元相关签核需先重开；结果跨期失效。</w:t>
            </w:r>
          </w:p>
        </w:tc>
      </w:tr>
      <w:tr>
        <w:trPr>
          <w:cantSplit/>
        </w:trPr>
        <w:tc>
          <w:tcPr>
            <w:tcW w:type="dxa" w:w="1629"/>
            <w:vAlign w:val="top"/>
            <w:tcMar>
              <w:top w:w="65" w:type="dxa"/>
              <w:bottom w:w="65" w:type="dxa"/>
              <w:left w:w="65" w:type="dxa"/>
              <w:right w:w="65" w:type="dxa"/>
            </w:tcMar>
          </w:tcPr>
          <w:p>
            <w:pPr>
              <w:spacing w:before="30" w:after="30" w:line="252" w:lineRule="auto"/>
            </w:pPr>
            <w:r>
              <w:rPr>
                <w:rFonts w:ascii="Arial" w:hAnsi="Arial" w:eastAsia="宋体"/>
                <w:b w:val="0"/>
                <w:i w:val="0"/>
                <w:sz w:val="18"/>
              </w:rPr>
              <w:t>settings_save；MGR</w:t>
            </w:r>
          </w:p>
        </w:tc>
        <w:tc>
          <w:tcPr>
            <w:tcW w:type="dxa" w:w="2708"/>
            <w:vAlign w:val="top"/>
            <w:tcMar>
              <w:top w:w="65" w:type="dxa"/>
              <w:bottom w:w="65" w:type="dxa"/>
              <w:left w:w="65" w:type="dxa"/>
              <w:right w:w="65" w:type="dxa"/>
            </w:tcMar>
          </w:tcPr>
          <w:p>
            <w:pPr>
              <w:spacing w:before="30" w:after="30" w:line="252" w:lineRule="auto"/>
            </w:pPr>
            <w:r>
              <w:rPr>
                <w:rFonts w:ascii="Arial" w:hAnsi="Arial" w:eastAsia="宋体"/>
                <w:b w:val="0"/>
                <w:i w:val="0"/>
                <w:sz w:val="18"/>
              </w:rPr>
              <w:t>companyName可选S(100)；fiscalYear可选</w:t>
            </w:r>
          </w:p>
        </w:tc>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缺省原公司名；年度只能2026</w:t>
            </w:r>
          </w:p>
        </w:tc>
        <w:tc>
          <w:tcPr>
            <w:tcW w:type="dxa" w:w="2193"/>
            <w:vAlign w:val="top"/>
            <w:tcMar>
              <w:top w:w="65" w:type="dxa"/>
              <w:bottom w:w="65" w:type="dxa"/>
              <w:left w:w="65" w:type="dxa"/>
              <w:right w:w="65" w:type="dxa"/>
            </w:tcMar>
          </w:tcPr>
          <w:p>
            <w:pPr>
              <w:spacing w:before="30" w:after="30" w:line="252" w:lineRule="auto"/>
            </w:pPr>
            <w:r>
              <w:rPr>
                <w:rFonts w:ascii="Arial" w:hAnsi="Arial" w:eastAsia="宋体"/>
                <w:b w:val="0"/>
                <w:i w:val="0"/>
                <w:sz w:val="18"/>
              </w:rPr>
              <w:t>更新抬头和settings；不重标既有源币种、期间及历史快照。</w:t>
            </w:r>
          </w:p>
        </w:tc>
      </w:tr>
    </w:tbl>
    <w:p>
      <w:pPr>
        <w:spacing w:after="40"/>
      </w:pPr>
    </w:p>
    <w:p>
      <w:pPr>
        <w:pStyle w:val="Heading3"/>
      </w:pPr>
      <w:bookmarkStart w:id="74" w:name="epm_74"/>
      <w:r>
        <w:rPr>
          <w:rFonts w:ascii="Arial" w:hAnsi="Arial" w:eastAsia="宋体"/>
          <w:b w:val="0"/>
          <w:i w:val="0"/>
        </w:rPr>
        <w:t>A.9.2 合并、汇率和经营说明动作</w:t>
      </w:r>
      <w:bookmarkEnd w:id="74"/>
    </w:p>
    <w:tbl>
      <w:tblPr>
        <w:tblStyle w:val="TableGrid"/>
        <w:tblW w:type="auto" w:w="0"/>
        <w:jc w:val="center"/>
        <w:tblLayout w:type="fixed"/>
        <w:tblLook w:firstColumn="1" w:firstRow="1" w:lastColumn="0" w:lastRow="0" w:noHBand="0" w:noVBand="1" w:val="04A0"/>
      </w:tblPr>
      <w:tblGrid>
        <w:gridCol w:w="1643"/>
        <w:gridCol w:w="2971"/>
        <w:gridCol w:w="2768"/>
        <w:gridCol w:w="2024"/>
      </w:tblGrid>
      <w:tr>
        <w:trPr>
          <w:cantSplit/>
          <w:tblHeader w:val="true"/>
        </w:trPr>
        <w:tc>
          <w:tcPr>
            <w:tcW w:type="dxa" w:w="16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动作及权限</w:t>
            </w:r>
          </w:p>
        </w:tc>
        <w:tc>
          <w:tcPr>
            <w:tcW w:type="dxa" w:w="29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payload字段/必填</w:t>
            </w:r>
          </w:p>
        </w:tc>
        <w:tc>
          <w:tcPr>
            <w:tcW w:type="dxa" w:w="27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关键校验和生成字段</w:t>
            </w:r>
          </w:p>
        </w:tc>
        <w:tc>
          <w:tcPr>
            <w:tcW w:type="dxa" w:w="20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成功后的影响</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rate_set_save；MGR</w:t>
            </w:r>
          </w:p>
        </w:tc>
        <w:tc>
          <w:tcPr>
            <w:tcW w:type="dxa" w:w="2971"/>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opening、closing、historicalCapital、averages、flowRates必填；sourceCurrency缺省USD/targetCurrency缺省CNY</w:t>
            </w:r>
          </w:p>
        </w:tc>
        <w:tc>
          <w:tcPr>
            <w:tcW w:type="dxa" w:w="2768"/>
            <w:vAlign w:val="top"/>
            <w:tcMar>
              <w:top w:w="65" w:type="dxa"/>
              <w:bottom w:w="65" w:type="dxa"/>
              <w:left w:w="65" w:type="dxa"/>
              <w:right w:w="65" w:type="dxa"/>
            </w:tcMar>
          </w:tcPr>
          <w:p>
            <w:pPr>
              <w:spacing w:before="30" w:after="30" w:line="252" w:lineRule="auto"/>
            </w:pPr>
            <w:r>
              <w:rPr>
                <w:rFonts w:ascii="Arial" w:hAnsi="Arial" w:eastAsia="宋体"/>
                <w:b w:val="0"/>
                <w:i w:val="0"/>
                <w:sz w:val="18"/>
              </w:rPr>
              <w:t>逐月率完整，R正值；请求id不能用于覆盖既有率；统一历史资本率</w:t>
            </w:r>
          </w:p>
        </w:tc>
        <w:tc>
          <w:tcPr>
            <w:tcW w:type="dxa" w:w="2024"/>
            <w:vAlign w:val="top"/>
            <w:tcMar>
              <w:top w:w="65" w:type="dxa"/>
              <w:bottom w:w="65" w:type="dxa"/>
              <w:left w:w="65" w:type="dxa"/>
              <w:right w:w="65" w:type="dxa"/>
            </w:tcMar>
          </w:tcPr>
          <w:p>
            <w:pPr>
              <w:spacing w:before="30" w:after="30" w:line="252" w:lineRule="auto"/>
            </w:pPr>
            <w:r>
              <w:rPr>
                <w:rFonts w:ascii="Arial" w:hAnsi="Arial" w:eastAsia="宋体"/>
                <w:b w:val="0"/>
                <w:i w:val="0"/>
                <w:sz w:val="18"/>
              </w:rPr>
              <w:t>发布新版本，旧active=false；实际转换结果及祖先失效并解锁。</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elimination_save；WR，仅投资权益</w:t>
            </w:r>
          </w:p>
        </w:tc>
        <w:tc>
          <w:tcPr>
            <w:tcW w:type="dxa" w:w="29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sourceId、kind=投资权益/investment、currency、amount必填；unitId缺省当前；id/reason可选</w:t>
            </w:r>
          </w:p>
        </w:tc>
        <w:tc>
          <w:tcPr>
            <w:tcW w:type="dxa" w:w="2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来源唯一、所属层正确、M正额；真实股权和源生成pairs；sales/内部销售外部403，伪erpMatchId无效</w:t>
            </w:r>
          </w:p>
        </w:tc>
        <w:tc>
          <w:tcPr>
            <w:tcW w:type="dxa" w:w="20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投资权益保存草稿并使相关结果失效；被拒销售请求零写入。</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elimination_approve；MGR</w:t>
            </w:r>
          </w:p>
        </w:tc>
        <w:tc>
          <w:tcPr>
            <w:tcW w:type="dxa" w:w="2971"/>
            <w:vAlign w:val="top"/>
            <w:tcMar>
              <w:top w:w="65" w:type="dxa"/>
              <w:bottom w:w="65" w:type="dxa"/>
              <w:left w:w="65" w:type="dxa"/>
              <w:right w:w="65" w:type="dxa"/>
            </w:tcMar>
          </w:tcPr>
          <w:p>
            <w:pPr>
              <w:spacing w:before="30" w:after="30" w:line="252" w:lineRule="auto"/>
            </w:pPr>
            <w:r>
              <w:rPr>
                <w:rFonts w:ascii="Arial" w:hAnsi="Arial" w:eastAsia="宋体"/>
                <w:b w:val="0"/>
                <w:i w:val="0"/>
                <w:sz w:val="18"/>
              </w:rPr>
              <w:t>id必填</w:t>
            </w:r>
          </w:p>
        </w:tc>
        <w:tc>
          <w:tcPr>
            <w:tcW w:type="dxa" w:w="2768"/>
            <w:vAlign w:val="top"/>
            <w:tcMar>
              <w:top w:w="65" w:type="dxa"/>
              <w:bottom w:w="65" w:type="dxa"/>
              <w:left w:w="65" w:type="dxa"/>
              <w:right w:w="65" w:type="dxa"/>
            </w:tcMar>
          </w:tcPr>
          <w:p>
            <w:pPr>
              <w:spacing w:before="30" w:after="30" w:line="252" w:lineRule="auto"/>
            </w:pPr>
            <w:r>
              <w:rPr>
                <w:rFonts w:ascii="Arial" w:hAnsi="Arial" w:eastAsia="宋体"/>
                <w:b w:val="0"/>
                <w:i w:val="0"/>
                <w:sz w:val="18"/>
              </w:rPr>
              <w:t>事项当期且草稿、相关层开放；预览校验事项会计效果不破坏三表</w:t>
            </w:r>
          </w:p>
        </w:tc>
        <w:tc>
          <w:tcPr>
            <w:tcW w:type="dxa" w:w="2024"/>
            <w:vAlign w:val="top"/>
            <w:tcMar>
              <w:top w:w="65" w:type="dxa"/>
              <w:bottom w:w="65" w:type="dxa"/>
              <w:left w:w="65" w:type="dxa"/>
              <w:right w:w="65" w:type="dxa"/>
            </w:tcMar>
          </w:tcPr>
          <w:p>
            <w:pPr>
              <w:spacing w:before="30" w:after="30" w:line="252" w:lineRule="auto"/>
            </w:pPr>
            <w:r>
              <w:rPr>
                <w:rFonts w:ascii="Arial" w:hAnsi="Arial" w:eastAsia="宋体"/>
                <w:b w:val="0"/>
                <w:i w:val="0"/>
                <w:sz w:val="18"/>
              </w:rPr>
              <w:t>状态已审批，version递增；仍须重新正式计算/签核结果。</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elimination_cancel；MGR</w:t>
            </w:r>
          </w:p>
        </w:tc>
        <w:tc>
          <w:tcPr>
            <w:tcW w:type="dxa" w:w="29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id、reason必填，reason S(500)</w:t>
            </w:r>
          </w:p>
        </w:tc>
        <w:tc>
          <w:tcPr>
            <w:tcW w:type="dxa" w:w="2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事项当期且未停用；相关签核先重开</w:t>
            </w:r>
          </w:p>
        </w:tc>
        <w:tc>
          <w:tcPr>
            <w:tcW w:type="dxa" w:w="20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状态已停用，记录原因与时间；历史结果保留旧事项快照。</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consolidation_run；WR</w:t>
            </w:r>
          </w:p>
        </w:tc>
        <w:tc>
          <w:tcPr>
            <w:tcW w:type="dxa" w:w="2971"/>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unitId可选，缺省当前</w:t>
            </w:r>
          </w:p>
        </w:tc>
        <w:tc>
          <w:tcPr>
            <w:tcW w:type="dxa" w:w="2768"/>
            <w:vAlign w:val="top"/>
            <w:tcMar>
              <w:top w:w="65" w:type="dxa"/>
              <w:bottom w:w="65" w:type="dxa"/>
              <w:left w:w="65" w:type="dxa"/>
              <w:right w:w="65" w:type="dxa"/>
            </w:tcMar>
          </w:tcPr>
          <w:p>
            <w:pPr>
              <w:spacing w:before="30" w:after="30" w:line="252" w:lineRule="auto"/>
            </w:pPr>
            <w:r>
              <w:rPr>
                <w:rFonts w:ascii="Arial" w:hAnsi="Arial" w:eastAsia="宋体"/>
                <w:b w:val="0"/>
                <w:i w:val="0"/>
                <w:sz w:val="18"/>
              </w:rPr>
              <w:t>本层开放、树完整、直接源通过、下级有效已签核、无草稿；重新校验实际依赖和三表</w:t>
            </w:r>
          </w:p>
        </w:tc>
        <w:tc>
          <w:tcPr>
            <w:tcW w:type="dxa" w:w="2024"/>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新增独立已计算结果，转active，新版替换引用使祖先待重算。</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result_approve；MGR</w:t>
            </w:r>
          </w:p>
        </w:tc>
        <w:tc>
          <w:tcPr>
            <w:tcW w:type="dxa" w:w="29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resultId必填</w:t>
            </w:r>
          </w:p>
        </w:tc>
        <w:tc>
          <w:tcPr>
            <w:tcW w:type="dxa" w:w="2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当前active、有效、状态已计算、输入指纹不变、全部checks通过、下级仍有效</w:t>
            </w:r>
          </w:p>
        </w:tc>
        <w:tc>
          <w:tcPr>
            <w:tcW w:type="dxa" w:w="20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保存签核时间/角色，锁本层；上级可引用此确切版本。</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unit_reopen；MGR</w:t>
            </w:r>
          </w:p>
        </w:tc>
        <w:tc>
          <w:tcPr>
            <w:tcW w:type="dxa" w:w="2971"/>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unitId可选；reason必填S(500)；cascade缺省true</w:t>
            </w:r>
          </w:p>
        </w:tc>
        <w:tc>
          <w:tcPr>
            <w:tcW w:type="dxa" w:w="2768"/>
            <w:vAlign w:val="top"/>
            <w:tcMar>
              <w:top w:w="65" w:type="dxa"/>
              <w:bottom w:w="65" w:type="dxa"/>
              <w:left w:w="65" w:type="dxa"/>
              <w:right w:w="65" w:type="dxa"/>
            </w:tcMar>
          </w:tcPr>
          <w:p>
            <w:pPr>
              <w:spacing w:before="30" w:after="30" w:line="252" w:lineRule="auto"/>
            </w:pPr>
            <w:r>
              <w:rPr>
                <w:rFonts w:ascii="Arial" w:hAnsi="Arial" w:eastAsia="宋体"/>
                <w:b w:val="0"/>
                <w:i w:val="0"/>
                <w:sz w:val="18"/>
              </w:rPr>
              <w:t>cascade只能true；单元存在</w:t>
            </w:r>
          </w:p>
        </w:tc>
        <w:tc>
          <w:tcPr>
            <w:tcW w:type="dxa" w:w="202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当前层与祖先当月解锁，历史结果标失效，报表和审批来源原值保留。</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commentary_save；WR</w:t>
            </w:r>
          </w:p>
        </w:tc>
        <w:tc>
          <w:tcPr>
            <w:tcW w:type="dxa" w:w="29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text必填S(3000)</w:t>
            </w:r>
          </w:p>
        </w:tc>
        <w:tc>
          <w:tcPr>
            <w:tcW w:type="dxa" w:w="2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当前单元存在</w:t>
            </w:r>
          </w:p>
        </w:tc>
        <w:tc>
          <w:tcPr>
            <w:tcW w:type="dxa" w:w="20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按当前单元:期间保存经营说明、时间及角色，不改报表数字。</w:t>
            </w:r>
          </w:p>
        </w:tc>
      </w:tr>
    </w:tbl>
    <w:p>
      <w:pPr>
        <w:spacing w:after="40"/>
      </w:pPr>
    </w:p>
    <w:p>
      <w:pPr>
        <w:pStyle w:val="Heading3"/>
      </w:pPr>
      <w:bookmarkStart w:id="75" w:name="epm_75"/>
      <w:r>
        <w:rPr>
          <w:rFonts w:ascii="Arial" w:hAnsi="Arial" w:eastAsia="宋体"/>
          <w:b w:val="0"/>
          <w:i w:val="0"/>
        </w:rPr>
        <w:t>A.9.3 预算动作</w:t>
      </w:r>
      <w:bookmarkEnd w:id="75"/>
    </w:p>
    <w:tbl>
      <w:tblPr>
        <w:tblStyle w:val="TableGrid"/>
        <w:tblW w:type="auto" w:w="0"/>
        <w:jc w:val="center"/>
        <w:tblLayout w:type="fixed"/>
        <w:tblLook w:firstColumn="1" w:firstRow="1" w:lastColumn="0" w:lastRow="0" w:noHBand="0" w:noVBand="1" w:val="04A0"/>
      </w:tblPr>
      <w:tblGrid>
        <w:gridCol w:w="1854"/>
        <w:gridCol w:w="2404"/>
        <w:gridCol w:w="2706"/>
        <w:gridCol w:w="2443"/>
      </w:tblGrid>
      <w:tr>
        <w:trPr>
          <w:cantSplit/>
          <w:tblHeader w:val="true"/>
        </w:trPr>
        <w:tc>
          <w:tcPr>
            <w:tcW w:type="dxa" w:w="18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动作及权限</w:t>
            </w:r>
          </w:p>
        </w:tc>
        <w:tc>
          <w:tcPr>
            <w:tcW w:type="dxa" w:w="24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payload字段/必填</w:t>
            </w:r>
          </w:p>
        </w:tc>
        <w:tc>
          <w:tcPr>
            <w:tcW w:type="dxa" w:w="27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校验和状态前置</w:t>
            </w:r>
          </w:p>
        </w:tc>
        <w:tc>
          <w:tcPr>
            <w:tcW w:type="dxa" w:w="24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结果</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budget_layer_save；WR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layer整数0—3、amount非负B</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编制中或已退回</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改指定层并同步当前完整版本annual。</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budget_spread；WR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spread为even/seasonal</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编制中或已退回</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保存分摊；月度展示按当前方案重新投影。</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budget_driver；WR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volume非负整数、price非负B</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可编制；round(量×价,2)≥前三层合计</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保存量价并更新董事会层，前三层保留。</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budget_plan_save；WR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type为七类之一、rows数组0—200行</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可编制；每行id/name/quantity/price/amount/note按A.8.3</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完整替换该类明细，保存当前完整版本。</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budget_submit；WR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无专用字段，传</w:t>
            </w:r>
            <w:r>
              <w:rPr>
                <w:rFonts w:ascii="Consolas" w:hAnsi="Consolas" w:eastAsia="宋体"/>
                <w:b w:val="0"/>
                <w:i w:val="0"/>
                <w:sz w:val="18"/>
              </w:rPr>
              <w:t>{}</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编制中或已退回</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变审核中，原编制字段锁定。</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budget_approve；MGR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无专用字段</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仅审核中</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变已审批。</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budget_lock；MGR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无专用字段</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仅已审批</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变已锁定；修改走复制或调整。</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budget_copy；WR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name必填S(40)且唯一；scenario可选S(30)</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可从现有当前版本复制，无需强制编制中</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来源完整副本，新增编制中版本并切换到它。</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budget_switch；WR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name必填，已存在版本</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保存当前快照后加载目标完整版本</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恢复层次、分摊、状态、量价和计划，不只切换标签。</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budget_adjust_create；WR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layer整数0—3、delta有符号B且非0、reason必填S(500)</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调整后来源该层不得负；没有必须已锁定前置</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新待审批申请，保存完整来源快照。</w:t>
            </w:r>
          </w:p>
        </w:tc>
      </w:tr>
      <w:tr>
        <w:trPr>
          <w:cantSplit/>
        </w:trPr>
        <w:tc>
          <w:tcPr>
            <w:tcW w:type="dxa" w:w="1854"/>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budget_adjust_approve；MGR</w:t>
            </w:r>
          </w:p>
        </w:tc>
        <w:tc>
          <w:tcPr>
            <w:tcW w:type="dxa" w:w="2404"/>
            <w:vAlign w:val="top"/>
            <w:tcMar>
              <w:top w:w="65" w:type="dxa"/>
              <w:bottom w:w="65" w:type="dxa"/>
              <w:left w:w="65" w:type="dxa"/>
              <w:right w:w="65" w:type="dxa"/>
            </w:tcMar>
          </w:tcPr>
          <w:p>
            <w:pPr>
              <w:spacing w:before="30" w:after="30" w:line="252" w:lineRule="auto"/>
            </w:pPr>
            <w:r>
              <w:rPr>
                <w:rFonts w:ascii="Arial" w:hAnsi="Arial" w:eastAsia="宋体"/>
                <w:b w:val="0"/>
                <w:i w:val="0"/>
                <w:sz w:val="18"/>
              </w:rPr>
              <w:t>id必填</w:t>
            </w:r>
          </w:p>
        </w:tc>
        <w:tc>
          <w:tcPr>
            <w:tcW w:type="dxa" w:w="2706"/>
            <w:vAlign w:val="top"/>
            <w:tcMar>
              <w:top w:w="65" w:type="dxa"/>
              <w:bottom w:w="65" w:type="dxa"/>
              <w:left w:w="65" w:type="dxa"/>
              <w:right w:w="65" w:type="dxa"/>
            </w:tcMar>
          </w:tcPr>
          <w:p>
            <w:pPr>
              <w:spacing w:before="30" w:after="30" w:line="252" w:lineRule="auto"/>
            </w:pPr>
            <w:r>
              <w:rPr>
                <w:rFonts w:ascii="Arial" w:hAnsi="Arial" w:eastAsia="宋体"/>
                <w:b w:val="0"/>
                <w:i w:val="0"/>
                <w:sz w:val="18"/>
              </w:rPr>
              <w:t>申请待审批</w:t>
            </w:r>
          </w:p>
        </w:tc>
        <w:tc>
          <w:tcPr>
            <w:tcW w:type="dxa" w:w="2443"/>
            <w:vAlign w:val="top"/>
            <w:tcMar>
              <w:top w:w="65" w:type="dxa"/>
              <w:bottom w:w="65" w:type="dxa"/>
              <w:left w:w="65" w:type="dxa"/>
              <w:right w:w="65" w:type="dxa"/>
            </w:tcMar>
          </w:tcPr>
          <w:p>
            <w:pPr>
              <w:spacing w:before="30" w:after="30" w:line="252" w:lineRule="auto"/>
            </w:pPr>
            <w:r>
              <w:rPr>
                <w:rFonts w:ascii="Arial" w:hAnsi="Arial" w:eastAsia="宋体"/>
                <w:b w:val="0"/>
                <w:i w:val="0"/>
                <w:sz w:val="18"/>
              </w:rPr>
              <w:t>从来源快照新增已审批版本，amount加delta，记录newVersion。</w:t>
            </w:r>
          </w:p>
        </w:tc>
      </w:tr>
      <w:tr>
        <w:trPr>
          <w:cantSplit/>
        </w:trPr>
        <w:tc>
          <w:tcPr>
            <w:tcW w:type="dxa" w:w="18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budget_adjust_reject；MGR</w:t>
            </w:r>
          </w:p>
        </w:tc>
        <w:tc>
          <w:tcPr>
            <w:tcW w:type="dxa" w:w="24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id必填；reason可选S(500)</w:t>
            </w:r>
          </w:p>
        </w:tc>
        <w:tc>
          <w:tcPr>
            <w:tcW w:type="dxa" w:w="27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申请待审批</w:t>
            </w:r>
          </w:p>
        </w:tc>
        <w:tc>
          <w:tcPr>
            <w:tcW w:type="dxa" w:w="24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申请已退回、保存reviewReason，不修改原版本。</w:t>
            </w:r>
          </w:p>
        </w:tc>
      </w:tr>
    </w:tbl>
    <w:p>
      <w:pPr>
        <w:spacing w:after="40"/>
      </w:pPr>
    </w:p>
    <w:p>
      <w:r>
        <w:rPr>
          <w:rFonts w:ascii="Arial" w:hAnsi="Arial" w:eastAsia="宋体"/>
          <w:b w:val="0"/>
          <w:i w:val="0"/>
        </w:rPr>
        <w:t>预算所有动作均受集团CNY/all口径约束；只读角色不能切换持久预算版本。角色切换自身为本机会话功能，不是绕过业务权限的生产实现。</w:t>
      </w:r>
    </w:p>
    <w:p>
      <w:pPr>
        <w:pStyle w:val="Heading3"/>
      </w:pPr>
      <w:bookmarkStart w:id="76" w:name="epm_76"/>
      <w:r>
        <w:rPr>
          <w:rFonts w:ascii="Arial" w:hAnsi="Arial" w:eastAsia="宋体"/>
          <w:b w:val="0"/>
          <w:i w:val="0"/>
        </w:rPr>
        <w:t>A.9.4 已停用旧动作与浏览器导出</w:t>
      </w:r>
      <w:bookmarkEnd w:id="76"/>
    </w:p>
    <w:p>
      <w:r>
        <w:rPr>
          <w:rFonts w:ascii="Arial" w:hAnsi="Arial" w:eastAsia="宋体"/>
          <w:b w:val="0"/>
          <w:i w:val="0"/>
        </w:rPr>
        <w:t>旧journal_create、journal_save、journal_approve、rate_save、checks_run、submission_confirm、ic_confirm、signoff、period_reopen不作为本版财务旁路；调用返回中文“不适用于多层结果版本体系”及unsupported_action，不能成功写入旧state后假装完成新业务。</w:t>
      </w:r>
    </w:p>
    <w:p>
      <w:r>
        <w:rPr>
          <w:rFonts w:ascii="Arial" w:hAnsi="Arial" w:eastAsia="宋体"/>
          <w:b w:val="0"/>
          <w:i w:val="0"/>
        </w:rPr>
        <w:t>导出经营摘要、当前报表、经营分析、当前预算、结果完整证据、审计记录、下载源CSV由浏览器生成文件，不是额外服务端写API。结果导出保留单元、期间、币种、版本及状态；完整结果JSON只包含虚构业务快照，不包含会话、启动凭据或数据库文件。审计默认页面仅拿到最近200条，不等于数据库所有历史均已导出。</w:t>
      </w:r>
    </w:p>
    <w:p>
      <w:pPr>
        <w:pStyle w:val="Heading2"/>
      </w:pPr>
      <w:bookmarkStart w:id="77" w:name="epm_77"/>
      <w:r>
        <w:rPr>
          <w:rFonts w:ascii="Arial" w:hAnsi="Arial" w:eastAsia="宋体"/>
          <w:b w:val="0"/>
          <w:i w:val="0"/>
        </w:rPr>
        <w:t>A.10 科目、导入批次、系统配置及物理存储</w:t>
      </w:r>
      <w:bookmarkEnd w:id="77"/>
    </w:p>
    <w:p>
      <w:pPr>
        <w:pStyle w:val="Heading3"/>
      </w:pPr>
      <w:bookmarkStart w:id="78" w:name="epm_78"/>
      <w:r>
        <w:rPr>
          <w:rFonts w:ascii="Arial" w:hAnsi="Arial" w:eastAsia="宋体"/>
          <w:b w:val="0"/>
          <w:i w:val="0"/>
        </w:rPr>
        <w:t>A.10.1 集团科目accounts[]</w:t>
      </w:r>
      <w:bookmarkEnd w:id="78"/>
    </w:p>
    <w:tbl>
      <w:tblPr>
        <w:tblStyle w:val="TableGrid"/>
        <w:tblW w:type="auto" w:w="0"/>
        <w:jc w:val="center"/>
        <w:tblLayout w:type="fixed"/>
        <w:tblLook w:firstColumn="1" w:firstRow="1" w:lastColumn="0" w:lastRow="0" w:noHBand="0" w:noVBand="1" w:val="04A0"/>
      </w:tblPr>
      <w:tblGrid>
        <w:gridCol w:w="2205"/>
        <w:gridCol w:w="1683"/>
        <w:gridCol w:w="1486"/>
        <w:gridCol w:w="4032"/>
      </w:tblGrid>
      <w:tr>
        <w:trPr>
          <w:cantSplit/>
          <w:tblHeader w:val="true"/>
        </w:trPr>
        <w:tc>
          <w:tcPr>
            <w:tcW w:type="dxa" w:w="220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8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4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输入或默认</w:t>
            </w:r>
          </w:p>
        </w:tc>
        <w:tc>
          <w:tcPr>
            <w:tcW w:type="dxa" w:w="40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规则与存储</w:t>
            </w:r>
          </w:p>
        </w:tc>
      </w:tr>
      <w:tr>
        <w:trPr>
          <w:cantSplit/>
        </w:trPr>
        <w:tc>
          <w:tcPr>
            <w:tcW w:type="dxa" w:w="2205"/>
            <w:vAlign w:val="top"/>
            <w:tcMar>
              <w:top w:w="65" w:type="dxa"/>
              <w:bottom w:w="65" w:type="dxa"/>
              <w:left w:w="65" w:type="dxa"/>
              <w:right w:w="65" w:type="dxa"/>
            </w:tcMar>
          </w:tcPr>
          <w:p>
            <w:pPr>
              <w:spacing w:before="30" w:after="30" w:line="252" w:lineRule="auto"/>
            </w:pPr>
            <w:r>
              <w:rPr>
                <w:rFonts w:ascii="Arial" w:hAnsi="Arial" w:eastAsia="宋体"/>
                <w:b w:val="0"/>
                <w:i w:val="0"/>
                <w:sz w:val="18"/>
              </w:rPr>
              <w:t>code</w:t>
            </w:r>
          </w:p>
        </w:tc>
        <w:tc>
          <w:tcPr>
            <w:tcW w:type="dxa" w:w="1683"/>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科目编码，S(20)</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8"/>
              </w:rPr>
              <w:t>英数/下划线/短横；相同编码按更新处理。</w:t>
            </w:r>
          </w:p>
        </w:tc>
      </w:tr>
      <w:tr>
        <w:trPr>
          <w:cantSplit/>
        </w:trPr>
        <w:tc>
          <w:tcPr>
            <w:tcW w:type="dxa" w:w="22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name</w:t>
            </w:r>
          </w:p>
        </w:tc>
        <w:tc>
          <w:tcPr>
            <w:tcW w:type="dxa" w:w="1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科目名，S(100)</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中文界面显示，CSV按编码引用。</w:t>
            </w:r>
          </w:p>
        </w:tc>
      </w:tr>
      <w:tr>
        <w:trPr>
          <w:cantSplit/>
        </w:trPr>
        <w:tc>
          <w:tcPr>
            <w:tcW w:type="dxa" w:w="2205"/>
            <w:vAlign w:val="top"/>
            <w:tcMar>
              <w:top w:w="65" w:type="dxa"/>
              <w:bottom w:w="65" w:type="dxa"/>
              <w:left w:w="65" w:type="dxa"/>
              <w:right w:w="65" w:type="dxa"/>
            </w:tcMar>
          </w:tcPr>
          <w:p>
            <w:pPr>
              <w:spacing w:before="30" w:after="30" w:line="252" w:lineRule="auto"/>
            </w:pPr>
            <w:r>
              <w:rPr>
                <w:rFonts w:ascii="Arial" w:hAnsi="Arial" w:eastAsia="宋体"/>
                <w:b w:val="0"/>
                <w:i w:val="0"/>
                <w:sz w:val="18"/>
              </w:rPr>
              <w:t>type</w:t>
            </w:r>
          </w:p>
        </w:tc>
        <w:tc>
          <w:tcPr>
            <w:tcW w:type="dxa" w:w="1683"/>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报表类别，enum</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8"/>
              </w:rPr>
              <w:t>资产、负债、权益、收入、成本、费用、税费。</w:t>
            </w:r>
          </w:p>
        </w:tc>
      </w:tr>
      <w:tr>
        <w:trPr>
          <w:cantSplit/>
        </w:trPr>
        <w:tc>
          <w:tcPr>
            <w:tcW w:type="dxa" w:w="22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w:t>
            </w:r>
          </w:p>
        </w:tc>
        <w:tc>
          <w:tcPr>
            <w:tcW w:type="dxa" w:w="1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映射报表键，enum</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MGR必填</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仅BS或PL技术键；不能以会计科目名称代替。</w:t>
            </w:r>
          </w:p>
        </w:tc>
      </w:tr>
      <w:tr>
        <w:trPr>
          <w:cantSplit/>
        </w:trPr>
        <w:tc>
          <w:tcPr>
            <w:tcW w:type="dxa" w:w="2205"/>
            <w:vAlign w:val="top"/>
            <w:tcMar>
              <w:top w:w="65" w:type="dxa"/>
              <w:bottom w:w="65" w:type="dxa"/>
              <w:left w:w="65" w:type="dxa"/>
              <w:right w:w="65" w:type="dxa"/>
            </w:tcMar>
          </w:tcPr>
          <w:p>
            <w:pPr>
              <w:spacing w:before="30" w:after="30" w:line="252" w:lineRule="auto"/>
            </w:pPr>
            <w:r>
              <w:rPr>
                <w:rFonts w:ascii="Arial" w:hAnsi="Arial" w:eastAsia="宋体"/>
                <w:b w:val="0"/>
                <w:i w:val="0"/>
                <w:sz w:val="18"/>
              </w:rPr>
              <w:t>normalSide</w:t>
            </w:r>
          </w:p>
        </w:tc>
        <w:tc>
          <w:tcPr>
            <w:tcW w:type="dxa" w:w="1683"/>
            <w:vAlign w:val="top"/>
            <w:tcMar>
              <w:top w:w="65" w:type="dxa"/>
              <w:bottom w:w="65" w:type="dxa"/>
              <w:left w:w="65" w:type="dxa"/>
              <w:right w:w="65" w:type="dxa"/>
            </w:tcMar>
          </w:tcPr>
          <w:p>
            <w:pPr>
              <w:spacing w:before="30" w:after="30" w:line="252" w:lineRule="auto"/>
            </w:pPr>
            <w:r>
              <w:rPr>
                <w:rFonts w:ascii="Arial" w:hAnsi="Arial" w:eastAsia="宋体"/>
                <w:b w:val="0"/>
                <w:i w:val="0"/>
                <w:sz w:val="18"/>
              </w:rPr>
              <w:t>正常余额方向，enum</w:t>
            </w:r>
          </w:p>
        </w:tc>
        <w:tc>
          <w:tcPr>
            <w:tcW w:type="dxa" w:w="1486"/>
            <w:vAlign w:val="top"/>
            <w:tcMar>
              <w:top w:w="65" w:type="dxa"/>
              <w:bottom w:w="65" w:type="dxa"/>
              <w:left w:w="65" w:type="dxa"/>
              <w:right w:w="65" w:type="dxa"/>
            </w:tcMar>
          </w:tcPr>
          <w:p>
            <w:pPr>
              <w:spacing w:before="30" w:after="30" w:line="252" w:lineRule="auto"/>
            </w:pPr>
            <w:r>
              <w:rPr>
                <w:rFonts w:ascii="Arial" w:hAnsi="Arial" w:eastAsia="宋体"/>
                <w:b w:val="0"/>
                <w:i w:val="0"/>
                <w:sz w:val="18"/>
              </w:rPr>
              <w:t>MGR必填借/贷</w:t>
            </w:r>
          </w:p>
        </w:tc>
        <w:tc>
          <w:tcPr>
            <w:tcW w:type="dxa" w:w="4032"/>
            <w:vAlign w:val="top"/>
            <w:tcMar>
              <w:top w:w="65" w:type="dxa"/>
              <w:bottom w:w="65" w:type="dxa"/>
              <w:left w:w="65" w:type="dxa"/>
              <w:right w:w="65" w:type="dxa"/>
            </w:tcMar>
          </w:tcPr>
          <w:p>
            <w:pPr>
              <w:spacing w:before="30" w:after="30" w:line="252" w:lineRule="auto"/>
            </w:pPr>
            <w:r>
              <w:rPr>
                <w:rFonts w:ascii="Arial" w:hAnsi="Arial" w:eastAsia="宋体"/>
                <w:b w:val="0"/>
                <w:i w:val="0"/>
                <w:sz w:val="18"/>
              </w:rPr>
              <w:t>借方科目映射金额=借−贷，贷方科目映射金额=贷−借。</w:t>
            </w:r>
          </w:p>
        </w:tc>
      </w:tr>
      <w:tr>
        <w:trPr>
          <w:cantSplit/>
        </w:trPr>
        <w:tc>
          <w:tcPr>
            <w:tcW w:type="dxa" w:w="22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direction/enabled</w:t>
            </w:r>
          </w:p>
        </w:tc>
        <w:tc>
          <w:tcPr>
            <w:tcW w:type="dxa" w:w="168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历史兼容展示字段</w:t>
            </w:r>
          </w:p>
        </w:tc>
        <w:tc>
          <w:tcPr>
            <w:tcW w:type="dxa" w:w="14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初始化部分记录有值</w:t>
            </w:r>
          </w:p>
        </w:tc>
        <w:tc>
          <w:tcPr>
            <w:tcW w:type="dxa" w:w="4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当前account_save以normalSide为准，不是完整科目生效/停用/层级体系。</w:t>
            </w:r>
          </w:p>
        </w:tc>
      </w:tr>
    </w:tbl>
    <w:p>
      <w:pPr>
        <w:spacing w:after="40"/>
      </w:pPr>
    </w:p>
    <w:p>
      <w:pPr>
        <w:pStyle w:val="Heading3"/>
      </w:pPr>
      <w:bookmarkStart w:id="79" w:name="epm_79"/>
      <w:r>
        <w:rPr>
          <w:rFonts w:ascii="Arial" w:hAnsi="Arial" w:eastAsia="宋体"/>
          <w:b w:val="0"/>
          <w:i w:val="0"/>
        </w:rPr>
        <w:t>A.10.2 历史兼容导入批次trialBalances[]</w:t>
      </w:r>
      <w:bookmarkEnd w:id="79"/>
    </w:p>
    <w:tbl>
      <w:tblPr>
        <w:tblStyle w:val="TableGrid"/>
        <w:tblW w:type="auto" w:w="0"/>
        <w:jc w:val="center"/>
        <w:tblLayout w:type="fixed"/>
        <w:tblLook w:firstColumn="1" w:firstRow="1" w:lastColumn="0" w:lastRow="0" w:noHBand="0" w:noVBand="1" w:val="04A0"/>
      </w:tblPr>
      <w:tblGrid>
        <w:gridCol w:w="1501"/>
        <w:gridCol w:w="1929"/>
        <w:gridCol w:w="2377"/>
        <w:gridCol w:w="3599"/>
      </w:tblGrid>
      <w:tr>
        <w:trPr>
          <w:cantSplit/>
          <w:tblHeader w:val="true"/>
        </w:trPr>
        <w:tc>
          <w:tcPr>
            <w:tcW w:type="dxa" w:w="15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9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生成规则</w:t>
            </w:r>
          </w:p>
        </w:tc>
        <w:tc>
          <w:tcPr>
            <w:tcW w:type="dxa" w:w="35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用途</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929"/>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批次编号，S</w:t>
            </w:r>
          </w:p>
        </w:tc>
        <w:tc>
          <w:tcPr>
            <w:tcW w:type="dxa" w:w="2377"/>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历史完整源SRC-nnn；试算TB-nnn</w:t>
            </w:r>
          </w:p>
        </w:tc>
        <w:tc>
          <w:tcPr>
            <w:tcW w:type="dxa" w:w="3599"/>
            <w:vAlign w:val="top"/>
            <w:tcMar>
              <w:top w:w="65" w:type="dxa"/>
              <w:bottom w:w="65" w:type="dxa"/>
              <w:left w:w="65" w:type="dxa"/>
              <w:right w:w="65" w:type="dxa"/>
            </w:tcMar>
          </w:tcPr>
          <w:p>
            <w:pPr>
              <w:spacing w:before="30" w:after="30" w:line="252" w:lineRule="auto"/>
            </w:pPr>
            <w:r>
              <w:rPr>
                <w:rFonts w:ascii="Arial" w:hAnsi="Arial" w:eastAsia="宋体"/>
                <w:b w:val="0"/>
                <w:i w:val="0"/>
                <w:sz w:val="18"/>
              </w:rPr>
              <w:t>仅解释旧结构；本版禁用对应外部导入，不新增该类批次。当前ERP批次见A.12以后。</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w:t>
            </w:r>
          </w:p>
        </w:tc>
        <w:tc>
          <w:tcPr>
            <w:tcW w:type="dxa" w:w="19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导入期间，P</w:t>
            </w:r>
          </w:p>
        </w:tc>
        <w:tc>
          <w:tcPr>
            <w:tcW w:type="dxa" w:w="23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当前context.month</w:t>
            </w:r>
          </w:p>
        </w:tc>
        <w:tc>
          <w:tcPr>
            <w:tcW w:type="dxa" w:w="35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关联当期源保存。</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entities</w:t>
            </w:r>
          </w:p>
        </w:tc>
        <w:tc>
          <w:tcPr>
            <w:tcW w:type="dxa" w:w="1929"/>
            <w:vAlign w:val="top"/>
            <w:tcMar>
              <w:top w:w="65" w:type="dxa"/>
              <w:bottom w:w="65" w:type="dxa"/>
              <w:left w:w="65" w:type="dxa"/>
              <w:right w:w="65" w:type="dxa"/>
            </w:tcMar>
          </w:tcPr>
          <w:p>
            <w:pPr>
              <w:spacing w:before="30" w:after="30" w:line="252" w:lineRule="auto"/>
            </w:pPr>
            <w:r>
              <w:rPr>
                <w:rFonts w:ascii="Arial" w:hAnsi="Arial" w:eastAsia="宋体"/>
                <w:b w:val="0"/>
                <w:i w:val="0"/>
                <w:sz w:val="18"/>
              </w:rPr>
              <w:t>涉及法人，array</w:t>
            </w:r>
            <w:r>
              <w:rPr>
                <w:rFonts w:ascii="Arial" w:hAnsi="Arial" w:eastAsia="宋体"/>
                <w:b w:val="0"/>
                <w:i w:val="0"/>
                <w:sz w:val="18"/>
              </w:rPr>
              <w:t>&lt;ID&gt;</w:t>
            </w:r>
          </w:p>
        </w:tc>
        <w:tc>
          <w:tcPr>
            <w:tcW w:type="dxa" w:w="2377"/>
            <w:vAlign w:val="top"/>
            <w:tcMar>
              <w:top w:w="65" w:type="dxa"/>
              <w:bottom w:w="65" w:type="dxa"/>
              <w:left w:w="65" w:type="dxa"/>
              <w:right w:w="65" w:type="dxa"/>
            </w:tcMar>
          </w:tcPr>
          <w:p>
            <w:pPr>
              <w:spacing w:before="30" w:after="30" w:line="252" w:lineRule="auto"/>
            </w:pPr>
            <w:r>
              <w:rPr>
                <w:rFonts w:ascii="Arial" w:hAnsi="Arial" w:eastAsia="宋体"/>
                <w:b w:val="0"/>
                <w:i w:val="0"/>
                <w:sz w:val="18"/>
              </w:rPr>
              <w:t>成功导入的法人集合</w:t>
            </w:r>
          </w:p>
        </w:tc>
        <w:tc>
          <w:tcPr>
            <w:tcW w:type="dxa" w:w="3599"/>
            <w:vAlign w:val="top"/>
            <w:tcMar>
              <w:top w:w="65" w:type="dxa"/>
              <w:bottom w:w="65" w:type="dxa"/>
              <w:left w:w="65" w:type="dxa"/>
              <w:right w:w="65" w:type="dxa"/>
            </w:tcMar>
          </w:tcPr>
          <w:p>
            <w:pPr>
              <w:spacing w:before="30" w:after="30" w:line="252" w:lineRule="auto"/>
            </w:pPr>
            <w:r>
              <w:rPr>
                <w:rFonts w:ascii="Arial" w:hAnsi="Arial" w:eastAsia="宋体"/>
                <w:b w:val="0"/>
                <w:i w:val="0"/>
                <w:sz w:val="18"/>
              </w:rPr>
              <w:t>失败整批没有成功批次。</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rowCount</w:t>
            </w:r>
          </w:p>
        </w:tc>
        <w:tc>
          <w:tcPr>
            <w:tcW w:type="dxa" w:w="19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成功处理记录数，integer</w:t>
            </w:r>
          </w:p>
        </w:tc>
        <w:tc>
          <w:tcPr>
            <w:tcW w:type="dxa" w:w="23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导入时统计</w:t>
            </w:r>
          </w:p>
        </w:tc>
        <w:tc>
          <w:tcPr>
            <w:tcW w:type="dxa" w:w="35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完整源按唯一法人/区/项/月记录数，试算按法人科目数。</w:t>
            </w:r>
          </w:p>
        </w:tc>
      </w:tr>
      <w:tr>
        <w:trPr>
          <w:cantSplit/>
        </w:trPr>
        <w:tc>
          <w:tcPr>
            <w:tcW w:type="dxa" w:w="1501"/>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sourceName</w:t>
            </w:r>
          </w:p>
        </w:tc>
        <w:tc>
          <w:tcPr>
            <w:tcW w:type="dxa" w:w="1929"/>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来源文件名，S</w:t>
            </w:r>
          </w:p>
        </w:tc>
        <w:tc>
          <w:tcPr>
            <w:tcW w:type="dxa" w:w="2377"/>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请求提供或默认</w:t>
            </w:r>
          </w:p>
        </w:tc>
        <w:tc>
          <w:tcPr>
            <w:tcW w:type="dxa" w:w="3599"/>
            <w:vAlign w:val="top"/>
            <w:tcMar>
              <w:top w:w="65" w:type="dxa"/>
              <w:bottom w:w="65" w:type="dxa"/>
              <w:left w:w="65" w:type="dxa"/>
              <w:right w:w="65" w:type="dxa"/>
            </w:tcMar>
          </w:tcPr>
          <w:p>
            <w:pPr>
              <w:spacing w:before="30" w:after="30" w:line="252" w:lineRule="auto"/>
            </w:pPr>
            <w:r>
              <w:rPr>
                <w:rFonts w:ascii="Arial" w:hAnsi="Arial" w:eastAsia="宋体"/>
                <w:b w:val="0"/>
                <w:i w:val="0"/>
                <w:sz w:val="18"/>
              </w:rPr>
              <w:t>只记来源说明，不保存用户电脑任意路径，也不表示已保存原始附件二进制。</w:t>
            </w:r>
          </w:p>
        </w:tc>
      </w:tr>
      <w:tr>
        <w:trPr>
          <w:cantSplit/>
        </w:trPr>
        <w:tc>
          <w:tcPr>
            <w:tcW w:type="dxa" w:w="15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importedAt</w:t>
            </w:r>
          </w:p>
        </w:tc>
        <w:tc>
          <w:tcPr>
            <w:tcW w:type="dxa" w:w="19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导入时间，ISO</w:t>
            </w:r>
          </w:p>
        </w:tc>
        <w:tc>
          <w:tcPr>
            <w:tcW w:type="dxa" w:w="23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5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用于批次追溯。</w:t>
            </w:r>
          </w:p>
        </w:tc>
      </w:tr>
    </w:tbl>
    <w:p>
      <w:pPr>
        <w:spacing w:after="40"/>
      </w:pPr>
    </w:p>
    <w:p>
      <w:pPr>
        <w:pStyle w:val="Heading3"/>
      </w:pPr>
      <w:bookmarkStart w:id="80" w:name="epm_80"/>
      <w:r>
        <w:rPr>
          <w:rFonts w:ascii="Arial" w:hAnsi="Arial" w:eastAsia="宋体"/>
          <w:b w:val="0"/>
          <w:i w:val="0"/>
        </w:rPr>
        <w:t>A.10.3 系统与模型控制字段</w:t>
      </w:r>
      <w:bookmarkEnd w:id="80"/>
    </w:p>
    <w:tbl>
      <w:tblPr>
        <w:tblStyle w:val="TableGrid"/>
        <w:tblW w:type="auto" w:w="0"/>
        <w:jc w:val="center"/>
        <w:tblLayout w:type="fixed"/>
        <w:tblLook w:firstColumn="1" w:firstRow="1" w:lastColumn="0" w:lastRow="0" w:noHBand="0" w:noVBand="1" w:val="04A0"/>
      </w:tblPr>
      <w:tblGrid>
        <w:gridCol w:w="2254"/>
        <w:gridCol w:w="1467"/>
        <w:gridCol w:w="2254"/>
        <w:gridCol w:w="3431"/>
      </w:tblGrid>
      <w:tr>
        <w:trPr>
          <w:cantSplit/>
          <w:tblHeader w:val="true"/>
        </w:trPr>
        <w:tc>
          <w:tcPr>
            <w:tcW w:type="dxa" w:w="22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路径</w:t>
            </w:r>
          </w:p>
        </w:tc>
        <w:tc>
          <w:tcPr>
            <w:tcW w:type="dxa" w:w="14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2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默认/规则</w:t>
            </w:r>
          </w:p>
        </w:tc>
        <w:tc>
          <w:tcPr>
            <w:tcW w:type="dxa" w:w="34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来源和作用</w:t>
            </w:r>
          </w:p>
        </w:tc>
      </w:tr>
      <w:tr>
        <w:trPr>
          <w:cantSplit/>
        </w:trPr>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schemaVersion</w:t>
            </w:r>
          </w:p>
        </w:tc>
        <w:tc>
          <w:tcPr>
            <w:tcW w:type="dxa" w:w="1467"/>
            <w:vAlign w:val="top"/>
            <w:tcMar>
              <w:top w:w="65" w:type="dxa"/>
              <w:bottom w:w="65" w:type="dxa"/>
              <w:left w:w="65" w:type="dxa"/>
              <w:right w:w="65" w:type="dxa"/>
            </w:tcMar>
          </w:tcPr>
          <w:p>
            <w:pPr>
              <w:spacing w:before="30" w:after="30" w:line="252" w:lineRule="auto"/>
            </w:pPr>
            <w:r>
              <w:rPr>
                <w:rFonts w:ascii="Arial" w:hAnsi="Arial" w:eastAsia="宋体"/>
                <w:b w:val="0"/>
                <w:i w:val="0"/>
                <w:sz w:val="18"/>
              </w:rPr>
              <w:t>存储模型版本，integer</w:t>
            </w:r>
          </w:p>
        </w:tc>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4</w:t>
            </w:r>
          </w:p>
        </w:tc>
        <w:tc>
          <w:tcPr>
            <w:tcW w:type="dxa" w:w="3431"/>
            <w:vAlign w:val="top"/>
            <w:tcMar>
              <w:top w:w="65" w:type="dxa"/>
              <w:bottom w:w="65" w:type="dxa"/>
              <w:left w:w="65" w:type="dxa"/>
              <w:right w:w="65" w:type="dxa"/>
            </w:tcMar>
          </w:tcPr>
          <w:p>
            <w:pPr>
              <w:spacing w:before="30" w:after="30" w:line="252" w:lineRule="auto"/>
            </w:pPr>
            <w:r>
              <w:rPr>
                <w:rFonts w:ascii="Arial" w:hAnsi="Arial" w:eastAsia="宋体"/>
                <w:b w:val="0"/>
                <w:i w:val="0"/>
                <w:sz w:val="18"/>
              </w:rPr>
              <w:t>首次种子写入；打开旧库先只读识别，错误版本拒绝改写。</w:t>
            </w:r>
          </w:p>
        </w:tc>
      </w:tr>
      <w:tr>
        <w:trPr>
          <w:cantSplit/>
        </w:trPr>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product</w:t>
            </w:r>
          </w:p>
        </w:tc>
        <w:tc>
          <w:tcPr>
            <w:tcW w:type="dxa" w:w="14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产品标识，S</w:t>
            </w:r>
          </w:p>
        </w:tc>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SelfDevelopedEPM-Foundation-Demo</w:t>
            </w:r>
          </w:p>
        </w:tc>
        <w:tc>
          <w:tcPr>
            <w:tcW w:type="dxa" w:w="34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与旧Demo/旧Frappe运行包隔离。</w:t>
            </w:r>
          </w:p>
        </w:tc>
      </w:tr>
      <w:tr>
        <w:trPr>
          <w:cantSplit/>
        </w:trPr>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companyName/settings.companyName</w:t>
            </w:r>
          </w:p>
        </w:tc>
        <w:tc>
          <w:tcPr>
            <w:tcW w:type="dxa" w:w="1467"/>
            <w:vAlign w:val="top"/>
            <w:tcMar>
              <w:top w:w="65" w:type="dxa"/>
              <w:bottom w:w="65" w:type="dxa"/>
              <w:left w:w="65" w:type="dxa"/>
              <w:right w:w="65" w:type="dxa"/>
            </w:tcMar>
          </w:tcPr>
          <w:p>
            <w:pPr>
              <w:spacing w:before="30" w:after="30" w:line="252" w:lineRule="auto"/>
            </w:pPr>
            <w:r>
              <w:rPr>
                <w:rFonts w:ascii="Arial" w:hAnsi="Arial" w:eastAsia="宋体"/>
                <w:b w:val="0"/>
                <w:i w:val="0"/>
                <w:sz w:val="18"/>
              </w:rPr>
              <w:t>公司抬头，S(100)</w:t>
            </w:r>
          </w:p>
        </w:tc>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杭州天元宠物用品有限公司</w:t>
            </w:r>
          </w:p>
        </w:tc>
        <w:tc>
          <w:tcPr>
            <w:tcW w:type="dxa" w:w="3431"/>
            <w:vAlign w:val="top"/>
            <w:tcMar>
              <w:top w:w="65" w:type="dxa"/>
              <w:bottom w:w="65" w:type="dxa"/>
              <w:left w:w="65" w:type="dxa"/>
              <w:right w:w="65" w:type="dxa"/>
            </w:tcMar>
          </w:tcPr>
          <w:p>
            <w:pPr>
              <w:spacing w:before="30" w:after="30" w:line="252" w:lineRule="auto"/>
            </w:pPr>
            <w:r>
              <w:rPr>
                <w:rFonts w:ascii="Arial" w:hAnsi="Arial" w:eastAsia="宋体"/>
                <w:b w:val="0"/>
                <w:i w:val="0"/>
                <w:sz w:val="18"/>
              </w:rPr>
              <w:t>MGR通过settings_save同步更新两处。</w:t>
            </w:r>
          </w:p>
        </w:tc>
      </w:tr>
      <w:tr>
        <w:trPr>
          <w:cantSplit/>
        </w:trPr>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settings.fiscalYear</w:t>
            </w:r>
          </w:p>
        </w:tc>
        <w:tc>
          <w:tcPr>
            <w:tcW w:type="dxa" w:w="14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财政年度，number</w:t>
            </w:r>
          </w:p>
        </w:tc>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固定2026</w:t>
            </w:r>
          </w:p>
        </w:tc>
        <w:tc>
          <w:tcPr>
            <w:tcW w:type="dxa" w:w="34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不允许通过改设置重标历史报表年度。</w:t>
            </w:r>
          </w:p>
        </w:tc>
      </w:tr>
      <w:tr>
        <w:trPr>
          <w:cantSplit/>
        </w:trPr>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settings.language</w:t>
            </w:r>
          </w:p>
        </w:tc>
        <w:tc>
          <w:tcPr>
            <w:tcW w:type="dxa" w:w="1467"/>
            <w:vAlign w:val="top"/>
            <w:tcMar>
              <w:top w:w="65" w:type="dxa"/>
              <w:bottom w:w="65" w:type="dxa"/>
              <w:left w:w="65" w:type="dxa"/>
              <w:right w:w="65" w:type="dxa"/>
            </w:tcMar>
          </w:tcPr>
          <w:p>
            <w:pPr>
              <w:spacing w:before="30" w:after="30" w:line="252" w:lineRule="auto"/>
            </w:pPr>
            <w:r>
              <w:rPr>
                <w:rFonts w:ascii="Arial" w:hAnsi="Arial" w:eastAsia="宋体"/>
                <w:b w:val="0"/>
                <w:i w:val="0"/>
                <w:sz w:val="18"/>
              </w:rPr>
              <w:t>界面语言，S</w:t>
            </w:r>
          </w:p>
        </w:tc>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简体中文</w:t>
            </w:r>
          </w:p>
        </w:tc>
        <w:tc>
          <w:tcPr>
            <w:tcW w:type="dxa" w:w="3431"/>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本版固定，非用户自由语言切换设置。</w:t>
            </w:r>
          </w:p>
        </w:tc>
      </w:tr>
      <w:tr>
        <w:trPr>
          <w:cantSplit/>
        </w:trPr>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settings.unit</w:t>
            </w:r>
          </w:p>
        </w:tc>
        <w:tc>
          <w:tcPr>
            <w:tcW w:type="dxa" w:w="14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基础金额口径，S</w:t>
            </w:r>
          </w:p>
        </w:tc>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本位币万元</w:t>
            </w:r>
          </w:p>
        </w:tc>
        <w:tc>
          <w:tcPr>
            <w:tcW w:type="dxa" w:w="34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币种和结果实际单位另由法人/单元/快照决定。</w:t>
            </w:r>
          </w:p>
        </w:tc>
      </w:tr>
      <w:tr>
        <w:trPr>
          <w:cantSplit/>
        </w:trPr>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modelPolicy.version</w:t>
            </w:r>
          </w:p>
        </w:tc>
        <w:tc>
          <w:tcPr>
            <w:tcW w:type="dxa" w:w="1467"/>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当前模型版本，S</w:t>
            </w:r>
          </w:p>
        </w:tc>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FOUNDATION-20261028</w:t>
            </w:r>
          </w:p>
        </w:tc>
        <w:tc>
          <w:tcPr>
            <w:tcW w:type="dxa" w:w="3431"/>
            <w:vAlign w:val="top"/>
            <w:tcMar>
              <w:top w:w="65" w:type="dxa"/>
              <w:bottom w:w="65" w:type="dxa"/>
              <w:left w:w="65" w:type="dxa"/>
              <w:right w:w="65" w:type="dxa"/>
            </w:tcMar>
          </w:tcPr>
          <w:p>
            <w:pPr>
              <w:spacing w:before="30" w:after="30" w:line="252" w:lineRule="auto"/>
            </w:pPr>
            <w:r>
              <w:rPr>
                <w:rFonts w:ascii="Arial" w:hAnsi="Arial" w:eastAsia="宋体"/>
                <w:b w:val="0"/>
                <w:i w:val="0"/>
                <w:sz w:val="18"/>
              </w:rPr>
              <w:t>从空初始化，模型版本与新产品隔离，与sourceInfo.engineVersion及schemaVersion=4共同追溯。</w:t>
            </w:r>
          </w:p>
        </w:tc>
      </w:tr>
      <w:tr>
        <w:trPr>
          <w:cantSplit/>
        </w:trPr>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modelPolicy.year</w:t>
            </w:r>
          </w:p>
        </w:tc>
        <w:tc>
          <w:tcPr>
            <w:tcW w:type="dxa" w:w="14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会计年度，integer</w:t>
            </w:r>
          </w:p>
        </w:tc>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w:t>
            </w:r>
          </w:p>
        </w:tc>
        <w:tc>
          <w:tcPr>
            <w:tcW w:type="dxa" w:w="34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初始无实际数据截止月；凭证按各期完整范围导入，不自动预填未来。</w:t>
            </w:r>
          </w:p>
        </w:tc>
      </w:tr>
      <w:tr>
        <w:trPr>
          <w:cantSplit/>
        </w:trPr>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modelPolicy.sourceUnit</w:t>
            </w:r>
          </w:p>
        </w:tc>
        <w:tc>
          <w:tcPr>
            <w:tcW w:type="dxa" w:w="1467"/>
            <w:vAlign w:val="top"/>
            <w:tcMar>
              <w:top w:w="65" w:type="dxa"/>
              <w:bottom w:w="65" w:type="dxa"/>
              <w:left w:w="65" w:type="dxa"/>
              <w:right w:w="65" w:type="dxa"/>
            </w:tcMar>
          </w:tcPr>
          <w:p>
            <w:pPr>
              <w:spacing w:before="30" w:after="30" w:line="252" w:lineRule="auto"/>
            </w:pPr>
            <w:r>
              <w:rPr>
                <w:rFonts w:ascii="Arial" w:hAnsi="Arial" w:eastAsia="宋体"/>
                <w:b w:val="0"/>
                <w:i w:val="0"/>
                <w:sz w:val="18"/>
              </w:rPr>
              <w:t>源报表单位，S</w:t>
            </w:r>
          </w:p>
        </w:tc>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本位币万元（六位小数，保留到分）</w:t>
            </w:r>
          </w:p>
        </w:tc>
        <w:tc>
          <w:tcPr>
            <w:tcW w:type="dxa" w:w="3431"/>
            <w:vAlign w:val="top"/>
            <w:tcMar>
              <w:top w:w="65" w:type="dxa"/>
              <w:bottom w:w="65" w:type="dxa"/>
              <w:left w:w="65" w:type="dxa"/>
              <w:right w:w="65" w:type="dxa"/>
            </w:tcMar>
          </w:tcPr>
          <w:p>
            <w:pPr>
              <w:spacing w:before="30" w:after="30" w:line="252" w:lineRule="auto"/>
            </w:pPr>
            <w:r>
              <w:rPr>
                <w:rFonts w:ascii="Arial" w:hAnsi="Arial" w:eastAsia="宋体"/>
                <w:b w:val="0"/>
                <w:i w:val="0"/>
                <w:sz w:val="18"/>
              </w:rPr>
              <w:t>与字段M单位统一。</w:t>
            </w:r>
          </w:p>
        </w:tc>
      </w:tr>
      <w:tr>
        <w:trPr>
          <w:cantSplit/>
        </w:trPr>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modelPolicy.erpSourceUnit</w:t>
            </w:r>
          </w:p>
        </w:tc>
        <w:tc>
          <w:tcPr>
            <w:tcW w:type="dxa" w:w="14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ERP原账单位，S</w:t>
            </w:r>
          </w:p>
        </w:tc>
        <w:tc>
          <w:tcPr>
            <w:tcW w:type="dxa" w:w="22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法人本位币元（两位小数）</w:t>
            </w:r>
          </w:p>
        </w:tc>
        <w:tc>
          <w:tcPr>
            <w:tcW w:type="dxa" w:w="34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与字段Y字符串一致，和预算B区分。</w:t>
            </w:r>
          </w:p>
        </w:tc>
      </w:tr>
      <w:tr>
        <w:trPr>
          <w:cantSplit/>
        </w:trPr>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periods</w:t>
            </w:r>
          </w:p>
        </w:tc>
        <w:tc>
          <w:tcPr>
            <w:tcW w:type="dxa" w:w="1467"/>
            <w:vAlign w:val="top"/>
            <w:tcMar>
              <w:top w:w="65" w:type="dxa"/>
              <w:bottom w:w="65" w:type="dxa"/>
              <w:left w:w="65" w:type="dxa"/>
              <w:right w:w="65" w:type="dxa"/>
            </w:tcMar>
          </w:tcPr>
          <w:p>
            <w:pPr>
              <w:spacing w:before="30" w:after="30" w:line="252" w:lineRule="auto"/>
            </w:pPr>
            <w:r>
              <w:rPr>
                <w:rFonts w:ascii="Arial" w:hAnsi="Arial" w:eastAsia="宋体"/>
                <w:b w:val="0"/>
                <w:i w:val="0"/>
                <w:sz w:val="18"/>
              </w:rPr>
              <w:t>旧预算兼容期间节点，object</w:t>
            </w:r>
          </w:p>
        </w:tc>
        <w:tc>
          <w:tcPr>
            <w:tcW w:type="dxa" w:w="2254"/>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预算代码可能建立</w:t>
            </w:r>
          </w:p>
        </w:tc>
        <w:tc>
          <w:tcPr>
            <w:tcW w:type="dxa" w:w="3431"/>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不能当新合并签核控制来源；新控制使用unitPeriods/resultValidity/results。</w:t>
            </w:r>
          </w:p>
        </w:tc>
      </w:tr>
    </w:tbl>
    <w:p>
      <w:pPr>
        <w:spacing w:after="40"/>
      </w:pPr>
    </w:p>
    <w:p>
      <w:pPr>
        <w:pStyle w:val="Heading3"/>
      </w:pPr>
      <w:bookmarkStart w:id="81" w:name="epm_81"/>
      <w:r>
        <w:rPr>
          <w:rFonts w:ascii="Arial" w:hAnsi="Arial" w:eastAsia="宋体"/>
          <w:b w:val="0"/>
          <w:i w:val="0"/>
        </w:rPr>
        <w:t>A.10.4 SQLite实际表</w:t>
      </w:r>
      <w:bookmarkEnd w:id="81"/>
    </w:p>
    <w:p>
      <w:r>
        <w:rPr>
          <w:rFonts w:ascii="Arial" w:hAnsi="Arial" w:eastAsia="宋体"/>
          <w:b w:val="0"/>
          <w:i w:val="0"/>
        </w:rPr>
        <w:t xml:space="preserve">文件为默认数据目录下 </w:t>
      </w:r>
      <w:r>
        <w:rPr>
          <w:rFonts w:ascii="Consolas" w:hAnsi="Consolas" w:eastAsia="宋体"/>
          <w:b w:val="0"/>
          <w:i w:val="0"/>
          <w:sz w:val="18"/>
        </w:rPr>
        <w:t>epm-demo.sqlite3</w:t>
      </w:r>
      <w:r>
        <w:rPr>
          <w:rFonts w:ascii="Arial" w:hAnsi="Arial" w:eastAsia="宋体"/>
          <w:b w:val="0"/>
          <w:i w:val="0"/>
        </w:rPr>
        <w:t xml:space="preserve">，新版默认目录 </w:t>
      </w:r>
      <w:r>
        <w:rPr>
          <w:rFonts w:ascii="Consolas" w:hAnsi="Consolas" w:eastAsia="宋体"/>
          <w:b w:val="0"/>
          <w:i w:val="0"/>
          <w:sz w:val="18"/>
        </w:rPr>
        <w:t>%LOCALAPPDATA%\TianyuanEPMFoundationDemo</w:t>
      </w:r>
      <w:r>
        <w:rPr>
          <w:rFonts w:ascii="Arial" w:hAnsi="Arial" w:eastAsia="宋体"/>
          <w:b w:val="0"/>
          <w:i w:val="0"/>
        </w:rPr>
        <w:t>。当前仅有业务state和audit两张显式建表，以及SQLite因AUTOINCREMENT维护的内部序列表。本文不把JSON对象虚构成已经实现的关系表。</w:t>
      </w:r>
    </w:p>
    <w:tbl>
      <w:tblPr>
        <w:tblStyle w:val="TableGrid"/>
        <w:tblW w:type="auto" w:w="0"/>
        <w:jc w:val="center"/>
        <w:tblLayout w:type="fixed"/>
        <w:tblLook w:firstColumn="1" w:firstRow="1" w:lastColumn="0" w:lastRow="0" w:noHBand="0" w:noVBand="1" w:val="04A0"/>
      </w:tblPr>
      <w:tblGrid>
        <w:gridCol w:w="1529"/>
        <w:gridCol w:w="2601"/>
        <w:gridCol w:w="1316"/>
        <w:gridCol w:w="3960"/>
      </w:tblGrid>
      <w:tr>
        <w:trPr>
          <w:cantSplit/>
          <w:tblHeader w:val="true"/>
        </w:trPr>
        <w:tc>
          <w:tcPr>
            <w:tcW w:type="dxa" w:w="1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物理表.列</w:t>
            </w:r>
          </w:p>
        </w:tc>
        <w:tc>
          <w:tcPr>
            <w:tcW w:type="dxa" w:w="26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实际SQLite类型/约束</w:t>
            </w:r>
          </w:p>
        </w:tc>
        <w:tc>
          <w:tcPr>
            <w:tcW w:type="dxa" w:w="131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存储内容</w:t>
            </w:r>
          </w:p>
        </w:tc>
        <w:tc>
          <w:tcPr>
            <w:tcW w:type="dxa" w:w="39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写入规则</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state.id</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INTEGER PRIMARY KEY，CHECK(id=1)</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唯一账套状态行</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固定1，不接受客户端新增多个账套行。</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state.revision</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INTEGER NOT NULL</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全账套乐观并发版本</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初始0；每个成功业务命令加1，冲突/失败不增加。</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完整JSON业务文档</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entities、units、sources、fxRates、eliminations、results、budget等均在此JSON中。</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audit.id</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INTEGER PRIMARY KEY AUTOINCREMENT</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审计流水序号</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服务端追加生成。</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audit.time</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ISO时间文本</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按服务运行主机时区生成。</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audit.role</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操作演示角色</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不是生产实名用户或签名证书。</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audit.action</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成功命令名</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初始化为demo_initialize；业务操作使用实际action。</w:t>
            </w:r>
          </w:p>
        </w:tc>
      </w:tr>
      <w:tr>
        <w:trPr>
          <w:cantSplit/>
        </w:trPr>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audit.detail</w:t>
            </w:r>
          </w:p>
        </w:tc>
        <w:tc>
          <w:tcPr>
            <w:tcW w:type="dxa" w:w="26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TEXT NOT NULL</w:t>
            </w:r>
          </w:p>
        </w:tc>
        <w:tc>
          <w:tcPr>
            <w:tcW w:type="dxa" w:w="131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中文业务结果说明</w:t>
            </w:r>
          </w:p>
        </w:tc>
        <w:tc>
          <w:tcPr>
            <w:tcW w:type="dxa" w:w="39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由领域命令返回，不让客户端提交“成功记录”。</w:t>
            </w:r>
          </w:p>
        </w:tc>
      </w:tr>
      <w:tr>
        <w:trPr>
          <w:cantSplit/>
        </w:trPr>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audit.revision</w:t>
            </w:r>
          </w:p>
        </w:tc>
        <w:tc>
          <w:tcPr>
            <w:tcW w:type="dxa" w:w="2601"/>
            <w:vAlign w:val="top"/>
            <w:tcMar>
              <w:top w:w="65" w:type="dxa"/>
              <w:bottom w:w="65" w:type="dxa"/>
              <w:left w:w="65" w:type="dxa"/>
              <w:right w:w="65" w:type="dxa"/>
            </w:tcMar>
          </w:tcPr>
          <w:p>
            <w:pPr>
              <w:spacing w:before="30" w:after="30" w:line="252" w:lineRule="auto"/>
            </w:pPr>
            <w:r>
              <w:rPr>
                <w:rFonts w:ascii="Arial" w:hAnsi="Arial" w:eastAsia="宋体"/>
                <w:b w:val="0"/>
                <w:i w:val="0"/>
                <w:sz w:val="18"/>
              </w:rPr>
              <w:t>INTEGER NOT NULL</w:t>
            </w:r>
          </w:p>
        </w:tc>
        <w:tc>
          <w:tcPr>
            <w:tcW w:type="dxa" w:w="1316"/>
            <w:vAlign w:val="top"/>
            <w:tcMar>
              <w:top w:w="65" w:type="dxa"/>
              <w:bottom w:w="65" w:type="dxa"/>
              <w:left w:w="65" w:type="dxa"/>
              <w:right w:w="65" w:type="dxa"/>
            </w:tcMar>
          </w:tcPr>
          <w:p>
            <w:pPr>
              <w:spacing w:before="30" w:after="30" w:line="252" w:lineRule="auto"/>
            </w:pPr>
            <w:r>
              <w:rPr>
                <w:rFonts w:ascii="Arial" w:hAnsi="Arial" w:eastAsia="宋体"/>
                <w:b w:val="0"/>
                <w:i w:val="0"/>
                <w:sz w:val="18"/>
              </w:rPr>
              <w:t>该成功操作后的全局版本</w:t>
            </w:r>
          </w:p>
        </w:tc>
        <w:tc>
          <w:tcPr>
            <w:tcW w:type="dxa" w:w="3960"/>
            <w:vAlign w:val="top"/>
            <w:tcMar>
              <w:top w:w="65" w:type="dxa"/>
              <w:bottom w:w="65" w:type="dxa"/>
              <w:left w:w="65" w:type="dxa"/>
              <w:right w:w="65" w:type="dxa"/>
            </w:tcMar>
          </w:tcPr>
          <w:p>
            <w:pPr>
              <w:spacing w:before="30" w:after="30" w:line="252" w:lineRule="auto"/>
            </w:pPr>
            <w:r>
              <w:rPr>
                <w:rFonts w:ascii="Arial" w:hAnsi="Arial" w:eastAsia="宋体"/>
                <w:b w:val="0"/>
                <w:i w:val="0"/>
                <w:sz w:val="18"/>
              </w:rPr>
              <w:t>与同事务state.revision一致；初始化为0。</w:t>
            </w:r>
          </w:p>
        </w:tc>
      </w:tr>
    </w:tbl>
    <w:p>
      <w:pPr>
        <w:spacing w:after="40"/>
      </w:pPr>
    </w:p>
    <w:p>
      <w:r>
        <w:rPr>
          <w:rFonts w:ascii="Arial" w:hAnsi="Arial" w:eastAsia="宋体"/>
          <w:b w:val="0"/>
          <w:i w:val="0"/>
        </w:rPr>
        <w:t>写操作使用BEGIN IMMEDIATE事务、busy_timeout=15000毫秒、journal_mode=WAL。一次命令内先检查revision、权限和领域规则，成功后更新state并追加audit，再commit；抛错时rollback。业务读接口返回最近200条审计记录，库中旧审计不由该读取限制删除。应用追加审计不等同具备外部不可篡改存证能力。</w:t>
      </w:r>
    </w:p>
    <w:p>
      <w:pPr>
        <w:pStyle w:val="Heading3"/>
      </w:pPr>
      <w:bookmarkStart w:id="82" w:name="epm_82"/>
      <w:r>
        <w:rPr>
          <w:rFonts w:ascii="Arial" w:hAnsi="Arial" w:eastAsia="宋体"/>
          <w:b w:val="0"/>
          <w:i w:val="0"/>
        </w:rPr>
        <w:t>A.10.5 JSON对象到物理存储映射</w:t>
      </w:r>
      <w:bookmarkEnd w:id="82"/>
    </w:p>
    <w:tbl>
      <w:tblPr>
        <w:tblStyle w:val="TableGrid"/>
        <w:tblW w:type="auto" w:w="0"/>
        <w:jc w:val="center"/>
        <w:tblLayout w:type="fixed"/>
        <w:tblLook w:firstColumn="1" w:firstRow="1" w:lastColumn="0" w:lastRow="0" w:noHBand="0" w:noVBand="1" w:val="04A0"/>
      </w:tblPr>
      <w:tblGrid>
        <w:gridCol w:w="1074"/>
        <w:gridCol w:w="2691"/>
        <w:gridCol w:w="2729"/>
        <w:gridCol w:w="2913"/>
      </w:tblGrid>
      <w:tr>
        <w:trPr>
          <w:cantSplit/>
          <w:tblHeader w:val="true"/>
        </w:trPr>
        <w:tc>
          <w:tcPr>
            <w:tcW w:type="dxa" w:w="10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业务对象</w:t>
            </w:r>
          </w:p>
        </w:tc>
        <w:tc>
          <w:tcPr>
            <w:tcW w:type="dxa" w:w="26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实际JSON路径</w:t>
            </w:r>
          </w:p>
        </w:tc>
        <w:tc>
          <w:tcPr>
            <w:tcW w:type="dxa" w:w="27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业务定位键</w:t>
            </w:r>
          </w:p>
        </w:tc>
        <w:tc>
          <w:tcPr>
            <w:tcW w:type="dxa" w:w="29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当前查询/索引事实</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法人、范围、真实持股</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document.entities / units / ownership</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法人id、单元id、parent-child</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应用读取JSON后校验/查找；没有独立entity/unit/ownership关系表或数据库外键。</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完整三表源</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document.sources[月][法人]</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月份字符串＋法人ID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每次完整替换当期法人源，历史副本保存在结果中。</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分类汇率</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document.fxRates[]</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month＋sourceCurrency＋targetCurrency＋active及版本</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唯一有效率由应用校验，没有数据库唯一复合索引。</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分层抵销</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document.eliminations[]</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id；同月sourceId唯一</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唯一性/最低共同层由应用实现。</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计算结果</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document.results[]</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id；单元＋月＋version</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快照和批准元数据同处JSON；旧report保留。</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结果有效性</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document.resultValidity[结果ID]</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结果ID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和历史金额分离。</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当前关账链</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document.unitPeriods[单元:月]</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单元ID＋月份</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activeResultId、locked、staleReason等。</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预算当前/版本/调整</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document.budget / versions[] / adjustments[]</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版本name、调整id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复制和切换为深拷贝，非独立SQL版本表。</w:t>
            </w:r>
          </w:p>
        </w:tc>
      </w:tr>
      <w:tr>
        <w:trPr>
          <w:cantSplit/>
        </w:trPr>
        <w:tc>
          <w:tcPr>
            <w:tcW w:type="dxa" w:w="1074"/>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经营说明</w:t>
            </w:r>
          </w:p>
        </w:tc>
        <w:tc>
          <w:tcPr>
            <w:tcW w:type="dxa" w:w="2691"/>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document.commentaries[单元:月]</w:t>
            </w:r>
          </w:p>
        </w:tc>
        <w:tc>
          <w:tcPr>
            <w:tcW w:type="dxa" w:w="2729"/>
            <w:vAlign w:val="top"/>
            <w:tcMar>
              <w:top w:w="65" w:type="dxa"/>
              <w:bottom w:w="65" w:type="dxa"/>
              <w:left w:w="65" w:type="dxa"/>
              <w:right w:w="65" w:type="dxa"/>
            </w:tcMar>
          </w:tcPr>
          <w:p>
            <w:pPr>
              <w:spacing w:before="30" w:after="30" w:line="252" w:lineRule="auto"/>
            </w:pPr>
            <w:r>
              <w:rPr>
                <w:rFonts w:ascii="Arial" w:hAnsi="Arial" w:eastAsia="宋体"/>
                <w:b w:val="0"/>
                <w:i w:val="0"/>
                <w:sz w:val="18"/>
              </w:rPr>
              <w:t>单元ID＋月份</w:t>
            </w:r>
          </w:p>
        </w:tc>
        <w:tc>
          <w:tcPr>
            <w:tcW w:type="dxa" w:w="2913"/>
            <w:vAlign w:val="top"/>
            <w:tcMar>
              <w:top w:w="65" w:type="dxa"/>
              <w:bottom w:w="65" w:type="dxa"/>
              <w:left w:w="65" w:type="dxa"/>
              <w:right w:w="65" w:type="dxa"/>
            </w:tcMar>
          </w:tcPr>
          <w:p>
            <w:pPr>
              <w:spacing w:before="30" w:after="30" w:line="252" w:lineRule="auto"/>
            </w:pPr>
            <w:r>
              <w:rPr>
                <w:rFonts w:ascii="Arial" w:hAnsi="Arial" w:eastAsia="宋体"/>
                <w:b w:val="0"/>
                <w:i w:val="0"/>
                <w:sz w:val="18"/>
              </w:rPr>
              <w:t>text、updatedAt、role。</w:t>
            </w:r>
          </w:p>
        </w:tc>
      </w:tr>
      <w:tr>
        <w:trPr>
          <w:cantSplit/>
        </w:trPr>
        <w:tc>
          <w:tcPr>
            <w:tcW w:type="dxa" w:w="10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科目/导入批次</w:t>
            </w:r>
          </w:p>
        </w:tc>
        <w:tc>
          <w:tcPr>
            <w:tcW w:type="dxa" w:w="26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document.accounts / trialBalances</w:t>
            </w:r>
          </w:p>
        </w:tc>
        <w:tc>
          <w:tcPr>
            <w:tcW w:type="dxa" w:w="27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科目code、批次id</w:t>
            </w:r>
          </w:p>
        </w:tc>
        <w:tc>
          <w:tcPr>
            <w:tcW w:type="dxa" w:w="2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与完整源及预算对象同事务保存。</w:t>
            </w:r>
          </w:p>
        </w:tc>
      </w:tr>
    </w:tbl>
    <w:p>
      <w:pPr>
        <w:spacing w:after="40"/>
      </w:pPr>
    </w:p>
    <w:p>
      <w:r>
        <w:rPr>
          <w:rFonts w:ascii="Arial" w:hAnsi="Arial" w:eastAsia="宋体"/>
          <w:b w:val="0"/>
          <w:i w:val="0"/>
        </w:rPr>
        <w:t>正式多用户项目可拆分为法人、合并范围成员、报送版本、报表行、汇率版本/明细、抵销凭证/分录、结果/依赖、预算/版本/明细、身份和审计等关系表，建立唯一索引、外键、组织隔离与迁移版本。这是后续设计建议，不是本次软件已有表结构。</w:t>
      </w:r>
    </w:p>
    <w:p>
      <w:r>
        <w:rPr>
          <w:rFonts w:ascii="Arial" w:hAnsi="Arial" w:eastAsia="宋体"/>
          <w:b w:val="0"/>
          <w:i w:val="0"/>
        </w:rPr>
        <w:t>备份应先安全退出服务，再复制整个新版数据目录；WAL运行时只复制一个sqlite3主文件可能遗漏已提交数据。新版本识别旧product或旧schema时只读拒绝，不自动迁移或覆盖旧库。</w:t>
      </w:r>
    </w:p>
    <w:p>
      <w:pPr>
        <w:pStyle w:val="Heading2"/>
      </w:pPr>
      <w:bookmarkStart w:id="83" w:name="epm_83"/>
      <w:r>
        <w:rPr>
          <w:rFonts w:ascii="Arial" w:hAnsi="Arial" w:eastAsia="宋体"/>
          <w:b w:val="0"/>
          <w:i w:val="0"/>
        </w:rPr>
        <w:t>A.11 错误码、事务结果与字段验收</w:t>
      </w:r>
      <w:bookmarkEnd w:id="83"/>
    </w:p>
    <w:tbl>
      <w:tblPr>
        <w:tblStyle w:val="TableGrid"/>
        <w:tblW w:type="auto" w:w="0"/>
        <w:jc w:val="center"/>
        <w:tblLayout w:type="fixed"/>
        <w:tblLook w:firstColumn="1" w:firstRow="1" w:lastColumn="0" w:lastRow="0" w:noHBand="0" w:noVBand="1" w:val="04A0"/>
      </w:tblPr>
      <w:tblGrid>
        <w:gridCol w:w="2614"/>
        <w:gridCol w:w="2033"/>
        <w:gridCol w:w="2357"/>
        <w:gridCol w:w="2401"/>
      </w:tblGrid>
      <w:tr>
        <w:trPr>
          <w:cantSplit/>
          <w:tblHeader w:val="true"/>
        </w:trPr>
        <w:tc>
          <w:tcPr>
            <w:tcW w:type="dxa" w:w="26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code / HTTP</w:t>
            </w:r>
          </w:p>
        </w:tc>
        <w:tc>
          <w:tcPr>
            <w:tcW w:type="dxa" w:w="203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触发条件</w:t>
            </w:r>
          </w:p>
        </w:tc>
        <w:tc>
          <w:tcPr>
            <w:tcW w:type="dxa" w:w="23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字段或状态关联</w:t>
            </w:r>
          </w:p>
        </w:tc>
        <w:tc>
          <w:tcPr>
            <w:tcW w:type="dxa" w:w="24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用户应见的处理方向</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validation / 400</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大部分类型、必填、金额精度、范围、余额和来源校验失败</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source、rate、member、budget等</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中文准确指出字段/期间/差额，修正后重提；不提交半批。</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revision_conflict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请求revision不等当前revision</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state.revision</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刷新读取最新状态后核对再保存；前端仅此类409自动刷新。</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period_locked / 409</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受影响单元或祖先仍签核保护</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unitPeriods.locked</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负责人从适当小合并重开及祖先，再修改。</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incomplete_workflow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缺源、无有效签核下级、草稿抵销、签核前置不满足</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preconditions / result</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先完成下级或本层事项，不能把预览当正式结果。</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stale_result / 409</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签核目标非当前有效结果或输入指纹已变</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activeResultId / inputFingerprint</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重新计算，再签核新版本。</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financial_check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正式计算的三表勾稽未通过</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checks / passed</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核对源与抵销，不用CTA/利润/经营现金流补差。</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invalid_state / 409</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重复审批/停用，或预算动作状态不符</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approvalStatus、status</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回到当前真实状态执行允许动作。</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budget_locked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已提交、审批、锁定预算直接编制</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budget.status</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复制新版本或发起独立调整。</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forbidden / 403</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只读写入或非负责人执行MGR动作</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sessionRole / capabilities</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切换演示职责仅供本机验证；生产需正式授权方案。</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unauthorized / 401</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无有效会话或启动凭据错误</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会话</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从EXE重新打开，不用邮箱/谷歌账号猜登录。</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csrf / 403</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会话安全校验缺失或失效</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X-CSRF-Token</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重新从当前页面读取，不公开校验值。</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invalid_origin / 403、invalid_host / 403</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来源/Host不符本机指定端口</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HTTP请求头</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使用启动器实际打开的本机地址。</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content_type / 415、body_too_large / 413</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非JSON或请求正文过大</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Content-Type、Content-Length</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按JSON及文件上限提交。</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unsupported_action / 404</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调用旧财务旁路或未知多层动作</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action</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改用本附录正式动作；不能显示假成功。</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unknown_action / 404</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未知预算动作</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action</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核对预算动作枚举。</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incompatible_database / 409</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数据目录产品或模型版本不符</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schemaVersion / product</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保留旧目录，使用新版独立数据目录，不自动覆盖。</w:t>
            </w:r>
          </w:p>
        </w:tc>
      </w:tr>
      <w:tr>
        <w:trPr>
          <w:cantSplit/>
        </w:trPr>
        <w:tc>
          <w:tcPr>
            <w:tcW w:type="dxa" w:w="2614"/>
            <w:vAlign w:val="top"/>
            <w:tcMar>
              <w:top w:w="65" w:type="dxa"/>
              <w:bottom w:w="65" w:type="dxa"/>
              <w:left w:w="65" w:type="dxa"/>
              <w:right w:w="65" w:type="dxa"/>
            </w:tcMar>
          </w:tcPr>
          <w:p>
            <w:pPr>
              <w:spacing w:before="30" w:after="30" w:line="252" w:lineRule="auto"/>
            </w:pPr>
            <w:r>
              <w:rPr>
                <w:rFonts w:ascii="Arial" w:hAnsi="Arial" w:eastAsia="宋体"/>
                <w:b w:val="0"/>
                <w:i w:val="0"/>
                <w:sz w:val="18"/>
              </w:rPr>
              <w:t>open_directory / 500</w:t>
            </w:r>
          </w:p>
        </w:tc>
        <w:tc>
          <w:tcPr>
            <w:tcW w:type="dxa" w:w="2033"/>
            <w:vAlign w:val="top"/>
            <w:tcMar>
              <w:top w:w="65" w:type="dxa"/>
              <w:bottom w:w="65" w:type="dxa"/>
              <w:left w:w="65" w:type="dxa"/>
              <w:right w:w="65" w:type="dxa"/>
            </w:tcMar>
          </w:tcPr>
          <w:p>
            <w:pPr>
              <w:spacing w:before="30" w:after="30" w:line="252" w:lineRule="auto"/>
            </w:pPr>
            <w:r>
              <w:rPr>
                <w:rFonts w:ascii="Arial" w:hAnsi="Arial" w:eastAsia="宋体"/>
                <w:b w:val="0"/>
                <w:i w:val="0"/>
                <w:sz w:val="18"/>
              </w:rPr>
              <w:t>Windows无法自动打开目录</w:t>
            </w:r>
          </w:p>
        </w:tc>
        <w:tc>
          <w:tcPr>
            <w:tcW w:type="dxa" w:w="2357"/>
            <w:vAlign w:val="top"/>
            <w:tcMar>
              <w:top w:w="65" w:type="dxa"/>
              <w:bottom w:w="65" w:type="dxa"/>
              <w:left w:w="65" w:type="dxa"/>
              <w:right w:w="65" w:type="dxa"/>
            </w:tcMar>
          </w:tcPr>
          <w:p>
            <w:pPr>
              <w:spacing w:before="30" w:after="30" w:line="252" w:lineRule="auto"/>
            </w:pPr>
            <w:r>
              <w:rPr>
                <w:rFonts w:ascii="Arial" w:hAnsi="Arial" w:eastAsia="宋体"/>
                <w:b w:val="0"/>
                <w:i w:val="0"/>
                <w:sz w:val="18"/>
              </w:rPr>
              <w:t>runtime.dataDir</w:t>
            </w:r>
          </w:p>
        </w:tc>
        <w:tc>
          <w:tcPr>
            <w:tcW w:type="dxa" w:w="2401"/>
            <w:vAlign w:val="top"/>
            <w:tcMar>
              <w:top w:w="65" w:type="dxa"/>
              <w:bottom w:w="65" w:type="dxa"/>
              <w:left w:w="65" w:type="dxa"/>
              <w:right w:w="65" w:type="dxa"/>
            </w:tcMar>
          </w:tcPr>
          <w:p>
            <w:pPr>
              <w:spacing w:before="30" w:after="30" w:line="252" w:lineRule="auto"/>
            </w:pPr>
            <w:r>
              <w:rPr>
                <w:rFonts w:ascii="Arial" w:hAnsi="Arial" w:eastAsia="宋体"/>
                <w:b w:val="0"/>
                <w:i w:val="0"/>
                <w:sz w:val="18"/>
              </w:rPr>
              <w:t>复制真实路径手工打开。</w:t>
            </w:r>
          </w:p>
        </w:tc>
      </w:tr>
      <w:tr>
        <w:trPr>
          <w:cantSplit/>
        </w:trPr>
        <w:tc>
          <w:tcPr>
            <w:tcW w:type="dxa" w:w="26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internal / 500</w:t>
            </w:r>
          </w:p>
        </w:tc>
        <w:tc>
          <w:tcPr>
            <w:tcW w:type="dxa" w:w="20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未预料的服务内部错误</w:t>
            </w:r>
          </w:p>
        </w:tc>
        <w:tc>
          <w:tcPr>
            <w:tcW w:type="dxa" w:w="23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服务运行</w:t>
            </w:r>
          </w:p>
        </w:tc>
        <w:tc>
          <w:tcPr>
            <w:tcW w:type="dxa" w:w="24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显示中文失败，保留私有日志供本机排错；不将凭据和数据库上传公开仓库。</w:t>
            </w:r>
          </w:p>
        </w:tc>
      </w:tr>
    </w:tbl>
    <w:p>
      <w:pPr>
        <w:spacing w:after="40"/>
      </w:pPr>
    </w:p>
    <w:p>
      <w:pPr>
        <w:pStyle w:val="Heading3"/>
      </w:pPr>
      <w:bookmarkStart w:id="84" w:name="epm_84"/>
      <w:r>
        <w:rPr>
          <w:rFonts w:ascii="Arial" w:hAnsi="Arial" w:eastAsia="宋体"/>
          <w:b w:val="0"/>
          <w:i w:val="0"/>
        </w:rPr>
        <w:t>A.11.1 字段层最低验收矩阵</w:t>
      </w:r>
      <w:bookmarkEnd w:id="84"/>
    </w:p>
    <w:tbl>
      <w:tblPr>
        <w:tblStyle w:val="TableGrid"/>
        <w:tblW w:type="auto" w:w="0"/>
        <w:jc w:val="center"/>
        <w:tblLayout w:type="fixed"/>
        <w:tblLook w:firstColumn="1" w:firstRow="1" w:lastColumn="0" w:lastRow="0" w:noHBand="0" w:noVBand="1" w:val="04A0"/>
      </w:tblPr>
      <w:tblGrid>
        <w:gridCol w:w="713"/>
        <w:gridCol w:w="2707"/>
        <w:gridCol w:w="3037"/>
        <w:gridCol w:w="2949"/>
      </w:tblGrid>
      <w:tr>
        <w:trPr>
          <w:cantSplit/>
          <w:tblHeader w:val="true"/>
        </w:trPr>
        <w:tc>
          <w:tcPr>
            <w:tcW w:type="dxa" w:w="7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验收编号</w:t>
            </w:r>
          </w:p>
        </w:tc>
        <w:tc>
          <w:tcPr>
            <w:tcW w:type="dxa" w:w="27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输入/操作</w:t>
            </w:r>
          </w:p>
        </w:tc>
        <w:tc>
          <w:tcPr>
            <w:tcW w:type="dxa" w:w="30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应有结果</w:t>
            </w:r>
          </w:p>
        </w:tc>
        <w:tc>
          <w:tcPr>
            <w:tcW w:type="dxa" w:w="294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证据位置</w:t>
            </w:r>
          </w:p>
        </w:tc>
      </w:tr>
      <w:tr>
        <w:trPr>
          <w:cantSplit/>
        </w:trPr>
        <w:tc>
          <w:tcPr>
            <w:tcW w:type="dxa" w:w="713"/>
            <w:vAlign w:val="top"/>
            <w:tcMar>
              <w:top w:w="65" w:type="dxa"/>
              <w:bottom w:w="65" w:type="dxa"/>
              <w:left w:w="65" w:type="dxa"/>
              <w:right w:w="65" w:type="dxa"/>
            </w:tcMar>
          </w:tcPr>
          <w:p>
            <w:pPr>
              <w:spacing w:before="30" w:after="30" w:line="252" w:lineRule="auto"/>
            </w:pPr>
            <w:r>
              <w:rPr>
                <w:rFonts w:ascii="Arial" w:hAnsi="Arial" w:eastAsia="宋体"/>
                <w:b w:val="0"/>
                <w:i w:val="0"/>
                <w:sz w:val="18"/>
              </w:rPr>
              <w:t>FD-01</w:t>
            </w:r>
          </w:p>
        </w:tc>
        <w:tc>
          <w:tcPr>
            <w:tcW w:type="dxa" w:w="2707"/>
            <w:vAlign w:val="top"/>
            <w:tcMar>
              <w:top w:w="65" w:type="dxa"/>
              <w:bottom w:w="65" w:type="dxa"/>
              <w:left w:w="65" w:type="dxa"/>
              <w:right w:w="65" w:type="dxa"/>
            </w:tcMar>
          </w:tcPr>
          <w:p>
            <w:pPr>
              <w:spacing w:before="30" w:after="30" w:line="252" w:lineRule="auto"/>
            </w:pPr>
            <w:r>
              <w:rPr>
                <w:rFonts w:ascii="Arial" w:hAnsi="Arial" w:eastAsia="宋体"/>
                <w:b w:val="0"/>
                <w:i w:val="0"/>
                <w:sz w:val="18"/>
              </w:rPr>
              <w:t>把财务M字段填空、true、NaN、超过6位的有效小数或超范围；预算B超过2位</w:t>
            </w:r>
          </w:p>
        </w:tc>
        <w:tc>
          <w:tcPr>
            <w:tcW w:type="dxa" w:w="3037"/>
            <w:vAlign w:val="top"/>
            <w:tcMar>
              <w:top w:w="65" w:type="dxa"/>
              <w:bottom w:w="65" w:type="dxa"/>
              <w:left w:w="65" w:type="dxa"/>
              <w:right w:w="65" w:type="dxa"/>
            </w:tcMar>
          </w:tcPr>
          <w:p>
            <w:pPr>
              <w:spacing w:before="30" w:after="30" w:line="252" w:lineRule="auto"/>
            </w:pPr>
            <w:r>
              <w:rPr>
                <w:rFonts w:ascii="Arial" w:hAnsi="Arial" w:eastAsia="宋体"/>
                <w:b w:val="0"/>
                <w:i w:val="0"/>
                <w:sz w:val="18"/>
              </w:rPr>
              <w:t>明确拒绝；revision不变</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金额校验和真实HTTP负例。</w:t>
            </w:r>
          </w:p>
        </w:tc>
      </w:tr>
      <w:tr>
        <w:trPr>
          <w:cantSplit/>
        </w:trPr>
        <w:tc>
          <w:tcPr>
            <w:tcW w:type="dxa" w:w="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FD-02</w:t>
            </w:r>
          </w:p>
        </w:tc>
        <w:tc>
          <w:tcPr>
            <w:tcW w:type="dxa" w:w="27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外部调用source_save/source_import/tb_import，包括伪造ERP来源字段</w:t>
            </w:r>
          </w:p>
        </w:tc>
        <w:tc>
          <w:tcPr>
            <w:tcW w:type="dxa" w:w="3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403 voucher_source_required，revision及业务状态不变</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当前Foundation真实HTTP负例；不以历史手工源成功测试代替。</w:t>
            </w:r>
          </w:p>
        </w:tc>
      </w:tr>
      <w:tr>
        <w:trPr>
          <w:cantSplit/>
        </w:trPr>
        <w:tc>
          <w:tcPr>
            <w:tcW w:type="dxa" w:w="713"/>
            <w:vAlign w:val="top"/>
            <w:tcMar>
              <w:top w:w="65" w:type="dxa"/>
              <w:bottom w:w="65" w:type="dxa"/>
              <w:left w:w="65" w:type="dxa"/>
              <w:right w:w="65" w:type="dxa"/>
            </w:tcMar>
          </w:tcPr>
          <w:p>
            <w:pPr>
              <w:spacing w:before="30" w:after="30" w:line="252" w:lineRule="auto"/>
            </w:pPr>
            <w:r>
              <w:rPr>
                <w:rFonts w:ascii="Arial" w:hAnsi="Arial" w:eastAsia="宋体"/>
                <w:b w:val="0"/>
                <w:i w:val="0"/>
                <w:sz w:val="18"/>
              </w:rPr>
              <w:t>FD-03</w:t>
            </w:r>
          </w:p>
        </w:tc>
        <w:tc>
          <w:tcPr>
            <w:tcW w:type="dxa" w:w="2707"/>
            <w:vAlign w:val="top"/>
            <w:tcMar>
              <w:top w:w="65" w:type="dxa"/>
              <w:bottom w:w="65" w:type="dxa"/>
              <w:left w:w="65" w:type="dxa"/>
              <w:right w:w="65" w:type="dxa"/>
            </w:tcMar>
          </w:tcPr>
          <w:p>
            <w:pPr>
              <w:spacing w:before="30" w:after="30" w:line="252" w:lineRule="auto"/>
            </w:pPr>
            <w:r>
              <w:rPr>
                <w:rFonts w:ascii="Arial" w:hAnsi="Arial" w:eastAsia="宋体"/>
                <w:b w:val="0"/>
                <w:i w:val="0"/>
                <w:sz w:val="18"/>
              </w:rPr>
              <w:t>重开受影响链，更正原外部现金销售凭证后停用旧批次、重导，重新生成法人三表并导入更新后的独立余额表核对</w:t>
            </w:r>
          </w:p>
        </w:tc>
        <w:tc>
          <w:tcPr>
            <w:tcW w:type="dxa" w:w="3037"/>
            <w:vAlign w:val="top"/>
            <w:tcMar>
              <w:top w:w="65" w:type="dxa"/>
              <w:bottom w:w="65" w:type="dxa"/>
              <w:left w:w="65" w:type="dxa"/>
              <w:right w:w="65" w:type="dxa"/>
            </w:tcMar>
          </w:tcPr>
          <w:p>
            <w:pPr>
              <w:spacing w:before="30" w:after="30" w:line="252" w:lineRule="auto"/>
            </w:pPr>
            <w:r>
              <w:rPr>
                <w:rFonts w:ascii="Arial" w:hAnsi="Arial" w:eastAsia="宋体"/>
                <w:b w:val="0"/>
                <w:i w:val="0"/>
                <w:sz w:val="18"/>
              </w:rPr>
              <w:t>旧结果失效；只有当前凭证源和最新余额均通过，重新匹配、审批、计算和签核后才生成新版本，历史副本保留</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当前从零凭证主线；核对补注不能修改金额，不引用旧版预置集团2660/780作为本版默认。</w:t>
            </w:r>
          </w:p>
        </w:tc>
      </w:tr>
      <w:tr>
        <w:trPr>
          <w:cantSplit/>
        </w:trPr>
        <w:tc>
          <w:tcPr>
            <w:tcW w:type="dxa" w:w="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FD-04</w:t>
            </w:r>
          </w:p>
        </w:tc>
        <w:tc>
          <w:tcPr>
            <w:tcW w:type="dxa" w:w="27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伪造erpMatchId并通过elimination_save手建sales，或复用投资权益sourceId</w:t>
            </w:r>
          </w:p>
        </w:tc>
        <w:tc>
          <w:tcPr>
            <w:tcW w:type="dxa" w:w="3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手工sales为403；投资来源重复原子拒绝；不得重复扣减收入或投资</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Foundation外部边界及领域校验。</w:t>
            </w:r>
          </w:p>
        </w:tc>
      </w:tr>
      <w:tr>
        <w:trPr>
          <w:cantSplit/>
        </w:trPr>
        <w:tc>
          <w:tcPr>
            <w:tcW w:type="dxa" w:w="713"/>
            <w:vAlign w:val="top"/>
            <w:tcMar>
              <w:top w:w="65" w:type="dxa"/>
              <w:bottom w:w="65" w:type="dxa"/>
              <w:left w:w="65" w:type="dxa"/>
              <w:right w:w="65" w:type="dxa"/>
            </w:tcMar>
          </w:tcPr>
          <w:p>
            <w:pPr>
              <w:spacing w:before="30" w:after="30" w:line="252" w:lineRule="auto"/>
            </w:pPr>
            <w:r>
              <w:rPr>
                <w:rFonts w:ascii="Arial" w:hAnsi="Arial" w:eastAsia="宋体"/>
                <w:b w:val="0"/>
                <w:i w:val="0"/>
                <w:sz w:val="18"/>
              </w:rPr>
              <w:t>FD-05</w:t>
            </w:r>
          </w:p>
        </w:tc>
        <w:tc>
          <w:tcPr>
            <w:tcW w:type="dxa" w:w="2707"/>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独立USD2期源先增加内部销售收入/对应成本1月4、2月5，再按4/5抵销，月率8/6</w:t>
            </w:r>
          </w:p>
        </w:tc>
        <w:tc>
          <w:tcPr>
            <w:tcW w:type="dxa" w:w="3037"/>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抵销后月收入11.12/11.10，折算合计155.56；不能在未增加内部交易的基线上直接减9</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独立纯函数回归场景；旧ERP历史证明不作为本次Foundation从零UI／HTTP通过记录，也不表示开放手工源／销售接口。</w:t>
            </w:r>
          </w:p>
        </w:tc>
      </w:tr>
      <w:tr>
        <w:trPr>
          <w:cantSplit/>
        </w:trPr>
        <w:tc>
          <w:tcPr>
            <w:tcW w:type="dxa" w:w="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FD-06</w:t>
            </w:r>
          </w:p>
        </w:tc>
        <w:tc>
          <w:tcPr>
            <w:tcW w:type="dxa" w:w="27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期末率7.2改7.3，其余率不动</w:t>
            </w:r>
          </w:p>
        </w:tc>
        <w:tc>
          <w:tcPr>
            <w:tcW w:type="dxa" w:w="3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利润不变，CTA86、现金汇率影响110，历史74/90保留</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rate版本、结果快照、UI钻取。</w:t>
            </w:r>
          </w:p>
        </w:tc>
      </w:tr>
      <w:tr>
        <w:trPr>
          <w:cantSplit/>
        </w:trPr>
        <w:tc>
          <w:tcPr>
            <w:tcW w:type="dxa" w:w="713"/>
            <w:vAlign w:val="top"/>
            <w:tcMar>
              <w:top w:w="65" w:type="dxa"/>
              <w:bottom w:w="65" w:type="dxa"/>
              <w:left w:w="65" w:type="dxa"/>
              <w:right w:w="65" w:type="dxa"/>
            </w:tcMar>
          </w:tcPr>
          <w:p>
            <w:pPr>
              <w:spacing w:before="30" w:after="30" w:line="252" w:lineRule="auto"/>
            </w:pPr>
            <w:r>
              <w:rPr>
                <w:rFonts w:ascii="Arial" w:hAnsi="Arial" w:eastAsia="宋体"/>
                <w:b w:val="0"/>
                <w:i w:val="0"/>
                <w:sz w:val="18"/>
              </w:rPr>
              <w:t>FD-07</w:t>
            </w:r>
          </w:p>
        </w:tc>
        <w:tc>
          <w:tcPr>
            <w:tcW w:type="dxa" w:w="2707"/>
            <w:vAlign w:val="top"/>
            <w:tcMar>
              <w:top w:w="65" w:type="dxa"/>
              <w:bottom w:w="65" w:type="dxa"/>
              <w:left w:w="65" w:type="dxa"/>
              <w:right w:w="65" w:type="dxa"/>
            </w:tcMar>
          </w:tcPr>
          <w:p>
            <w:pPr>
              <w:spacing w:before="30" w:after="30" w:line="252" w:lineRule="auto"/>
            </w:pPr>
            <w:r>
              <w:rPr>
                <w:rFonts w:ascii="Arial" w:hAnsi="Arial" w:eastAsia="宋体"/>
                <w:b w:val="0"/>
                <w:i w:val="0"/>
                <w:sz w:val="18"/>
              </w:rPr>
              <w:t>OS单元从USD改CNY并保存</w:t>
            </w:r>
          </w:p>
        </w:tc>
        <w:tc>
          <w:tcPr>
            <w:tcW w:type="dxa" w:w="3037"/>
            <w:vAlign w:val="top"/>
            <w:tcMar>
              <w:top w:w="65" w:type="dxa"/>
              <w:bottom w:w="65" w:type="dxa"/>
              <w:left w:w="65" w:type="dxa"/>
              <w:right w:w="65" w:type="dxa"/>
            </w:tcMar>
          </w:tcPr>
          <w:p>
            <w:pPr>
              <w:spacing w:before="30" w:after="30" w:line="252" w:lineRule="auto"/>
            </w:pPr>
            <w:r>
              <w:rPr>
                <w:rFonts w:ascii="Arial" w:hAnsi="Arial" w:eastAsia="宋体"/>
                <w:b w:val="0"/>
                <w:i w:val="0"/>
                <w:sz w:val="18"/>
              </w:rPr>
              <w:t>响应200，新context币种CNY；旧失效快照仍USD；新计算收入700CNY</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真实HTTP上下文回归。</w:t>
            </w:r>
          </w:p>
        </w:tc>
      </w:tr>
      <w:tr>
        <w:trPr>
          <w:cantSplit/>
        </w:trPr>
        <w:tc>
          <w:tcPr>
            <w:tcW w:type="dxa" w:w="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FD-08</w:t>
            </w:r>
          </w:p>
        </w:tc>
        <w:tc>
          <w:tcPr>
            <w:tcW w:type="dxa" w:w="27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业务计划quantity=1.25、price=2，amount=2.50</w:t>
            </w:r>
          </w:p>
        </w:tc>
        <w:tc>
          <w:tcPr>
            <w:tcW w:type="dxa" w:w="3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允许；若amount不等乘积则拒绝</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budget_plan_save。</w:t>
            </w:r>
          </w:p>
        </w:tc>
      </w:tr>
      <w:tr>
        <w:trPr>
          <w:cantSplit/>
        </w:trPr>
        <w:tc>
          <w:tcPr>
            <w:tcW w:type="dxa" w:w="713"/>
            <w:vAlign w:val="top"/>
            <w:tcMar>
              <w:top w:w="65" w:type="dxa"/>
              <w:bottom w:w="65" w:type="dxa"/>
              <w:left w:w="65" w:type="dxa"/>
              <w:right w:w="65" w:type="dxa"/>
            </w:tcMar>
          </w:tcPr>
          <w:p>
            <w:pPr>
              <w:spacing w:before="30" w:after="30" w:line="252" w:lineRule="auto"/>
            </w:pPr>
            <w:r>
              <w:rPr>
                <w:rFonts w:ascii="Arial" w:hAnsi="Arial" w:eastAsia="宋体"/>
                <w:b w:val="0"/>
                <w:i w:val="0"/>
                <w:sz w:val="18"/>
              </w:rPr>
              <w:t>FD-09</w:t>
            </w:r>
          </w:p>
        </w:tc>
        <w:tc>
          <w:tcPr>
            <w:tcW w:type="dxa" w:w="2707"/>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销售驱动volume=1.25</w:t>
            </w:r>
          </w:p>
        </w:tc>
        <w:tc>
          <w:tcPr>
            <w:tcW w:type="dxa" w:w="3037"/>
            <w:vAlign w:val="top"/>
            <w:tcMar>
              <w:top w:w="65" w:type="dxa"/>
              <w:bottom w:w="65" w:type="dxa"/>
              <w:left w:w="65" w:type="dxa"/>
              <w:right w:w="65" w:type="dxa"/>
            </w:tcMar>
          </w:tcPr>
          <w:p>
            <w:pPr>
              <w:spacing w:before="30" w:after="30" w:line="252" w:lineRule="auto"/>
            </w:pPr>
            <w:r>
              <w:rPr>
                <w:rFonts w:ascii="Arial" w:hAnsi="Arial" w:eastAsia="宋体"/>
                <w:b w:val="0"/>
                <w:i w:val="0"/>
                <w:sz w:val="18"/>
              </w:rPr>
              <w:t>拒绝数量非整数</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budget_driver。</w:t>
            </w:r>
          </w:p>
        </w:tc>
      </w:tr>
      <w:tr>
        <w:trPr>
          <w:cantSplit/>
        </w:trPr>
        <w:tc>
          <w:tcPr>
            <w:tcW w:type="dxa" w:w="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FD-10</w:t>
            </w:r>
          </w:p>
        </w:tc>
        <w:tc>
          <w:tcPr>
            <w:tcW w:type="dxa" w:w="27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锁定预算后直接改层金额，再申请独立调整并审批</w:t>
            </w:r>
          </w:p>
        </w:tc>
        <w:tc>
          <w:tcPr>
            <w:tcW w:type="dxa" w:w="3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直接改拒绝；批准新版本，旧锁定版原值保留</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预算真实HTTP/浏览器流程。</w:t>
            </w:r>
          </w:p>
        </w:tc>
      </w:tr>
      <w:tr>
        <w:trPr>
          <w:cantSplit/>
        </w:trPr>
        <w:tc>
          <w:tcPr>
            <w:tcW w:type="dxa" w:w="713"/>
            <w:vAlign w:val="top"/>
            <w:tcMar>
              <w:top w:w="65" w:type="dxa"/>
              <w:bottom w:w="65" w:type="dxa"/>
              <w:left w:w="65" w:type="dxa"/>
              <w:right w:w="65" w:type="dxa"/>
            </w:tcMar>
          </w:tcPr>
          <w:p>
            <w:pPr>
              <w:spacing w:before="30" w:after="30" w:line="252" w:lineRule="auto"/>
            </w:pPr>
            <w:r>
              <w:rPr>
                <w:rFonts w:ascii="Arial" w:hAnsi="Arial" w:eastAsia="宋体"/>
                <w:b w:val="0"/>
                <w:i w:val="0"/>
                <w:sz w:val="18"/>
              </w:rPr>
              <w:t>FD-11</w:t>
            </w:r>
          </w:p>
        </w:tc>
        <w:tc>
          <w:tcPr>
            <w:tcW w:type="dxa" w:w="2707"/>
            <w:vAlign w:val="top"/>
            <w:tcMar>
              <w:top w:w="65" w:type="dxa"/>
              <w:bottom w:w="65" w:type="dxa"/>
              <w:left w:w="65" w:type="dxa"/>
              <w:right w:w="65" w:type="dxa"/>
            </w:tcMar>
          </w:tcPr>
          <w:p>
            <w:pPr>
              <w:spacing w:before="30" w:after="30" w:line="252" w:lineRule="auto"/>
            </w:pPr>
            <w:r>
              <w:rPr>
                <w:rFonts w:ascii="Arial" w:hAnsi="Arial" w:eastAsia="宋体"/>
                <w:b w:val="0"/>
                <w:i w:val="0"/>
                <w:sz w:val="18"/>
              </w:rPr>
              <w:t>旧全局revision保存或审计只读直调写API</w:t>
            </w:r>
          </w:p>
        </w:tc>
        <w:tc>
          <w:tcPr>
            <w:tcW w:type="dxa" w:w="3037"/>
            <w:vAlign w:val="top"/>
            <w:tcMar>
              <w:top w:w="65" w:type="dxa"/>
              <w:bottom w:w="65" w:type="dxa"/>
              <w:left w:w="65" w:type="dxa"/>
              <w:right w:w="65" w:type="dxa"/>
            </w:tcMar>
          </w:tcPr>
          <w:p>
            <w:pPr>
              <w:spacing w:before="30" w:after="30" w:line="252" w:lineRule="auto"/>
            </w:pPr>
            <w:r>
              <w:rPr>
                <w:rFonts w:ascii="Arial" w:hAnsi="Arial" w:eastAsia="宋体"/>
                <w:b w:val="0"/>
                <w:i w:val="0"/>
                <w:sz w:val="18"/>
              </w:rPr>
              <w:t>分别409/403，不写成功审计</w:t>
            </w:r>
          </w:p>
        </w:tc>
        <w:tc>
          <w:tcPr>
            <w:tcW w:type="dxa" w:w="2949"/>
            <w:vAlign w:val="top"/>
            <w:tcMar>
              <w:top w:w="65" w:type="dxa"/>
              <w:bottom w:w="65" w:type="dxa"/>
              <w:left w:w="65" w:type="dxa"/>
              <w:right w:w="65" w:type="dxa"/>
            </w:tcMar>
          </w:tcPr>
          <w:p>
            <w:pPr>
              <w:spacing w:before="30" w:after="30" w:line="252" w:lineRule="auto"/>
            </w:pPr>
            <w:r>
              <w:rPr>
                <w:rFonts w:ascii="Arial" w:hAnsi="Arial" w:eastAsia="宋体"/>
                <w:b w:val="0"/>
                <w:i w:val="0"/>
                <w:sz w:val="18"/>
              </w:rPr>
              <w:t>Store事务、权限接口。</w:t>
            </w:r>
          </w:p>
        </w:tc>
      </w:tr>
      <w:tr>
        <w:trPr>
          <w:cantSplit/>
        </w:trPr>
        <w:tc>
          <w:tcPr>
            <w:tcW w:type="dxa" w:w="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FD-12</w:t>
            </w:r>
          </w:p>
        </w:tc>
        <w:tc>
          <w:tcPr>
            <w:tcW w:type="dxa" w:w="27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先保存并签核独立凭证算例，再重开、停用原批次并导入更正后的凭证、余额，重生源</w:t>
            </w:r>
          </w:p>
        </w:tc>
        <w:tc>
          <w:tcPr>
            <w:tcW w:type="dxa" w:w="30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旧结果sourceSnapshots及balanceSnapshots保留计算时原金额、原凭证行和核对依据；当前源另有新版本，不用最新值冒充历史</w:t>
            </w:r>
          </w:p>
        </w:tc>
        <w:tc>
          <w:tcPr>
            <w:tcW w:type="dxa" w:w="294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原凭证batchId/sourceRow、sourceSnapshots、balanceSnapshots及浏览器历史钻取。</w:t>
            </w:r>
          </w:p>
        </w:tc>
      </w:tr>
    </w:tbl>
    <w:p>
      <w:pPr>
        <w:spacing w:after="40"/>
      </w:pPr>
    </w:p>
    <w:p>
      <w:r>
        <w:rPr>
          <w:rFonts w:ascii="Arial" w:hAnsi="Arial" w:eastAsia="宋体"/>
          <w:b w:val="0"/>
          <w:i w:val="0"/>
        </w:rPr>
        <w:t>本附录依据backend/engine.py、multilevel_domain.py、consolidation.py、multilevel_seed.py、store.py、server.py和legacy_engine.py中实际复用的预算分支，以及frontend/src中真实表单编写。旧legacy_engine中的旧财务动作和旧finance测试仅为历史参考，未计入当前财务字段能力。ERP专有ledger.py、erp_domain.py、ledger_seed.py及LEDGER-CONTRACT.md见后续A.12—A.21。文档后续升级应与PRD、系统说明、产品说明、用户手册一起全量更新，并重新核对动作、字段、状态和验收映射。</w:t>
      </w:r>
    </w:p>
    <w:p>
      <w:pPr>
        <w:pStyle w:val="Heading2"/>
      </w:pPr>
      <w:bookmarkStart w:id="85" w:name="epm_85"/>
      <w:r>
        <w:rPr>
          <w:rFonts w:ascii="Arial" w:hAnsi="Arial" w:eastAsia="宋体"/>
          <w:b w:val="0"/>
          <w:i w:val="0"/>
        </w:rPr>
        <w:t>A.12 ERP接入总对象、文件与适配配置</w:t>
      </w:r>
      <w:bookmarkEnd w:id="85"/>
    </w:p>
    <w:p>
      <w:r>
        <w:rPr>
          <w:rFonts w:ascii="Arial" w:hAnsi="Arial" w:eastAsia="宋体"/>
          <w:b w:val="0"/>
          <w:i w:val="0"/>
        </w:rPr>
        <w:t xml:space="preserve">ERP对象实际存储于 </w:t>
      </w:r>
      <w:r>
        <w:rPr>
          <w:rFonts w:ascii="Consolas" w:hAnsi="Consolas" w:eastAsia="宋体"/>
          <w:b w:val="0"/>
          <w:i w:val="0"/>
          <w:sz w:val="18"/>
        </w:rPr>
        <w:t>state.document.erp</w:t>
      </w:r>
      <w:r>
        <w:rPr>
          <w:rFonts w:ascii="Arial" w:hAnsi="Arial" w:eastAsia="宋体"/>
          <w:b w:val="0"/>
          <w:i w:val="0"/>
        </w:rPr>
        <w:t>。保留前述主数据、合并、预算和治理对象，新增的ERP对象不替代真实法人或管理范围。默认业务ERP为空，亦没有法人、财务源或三层初始化结果；用户从档案创建后，依次导入账务、生成单体、余额核对、匹配、审批和逐层计算。</w:t>
      </w:r>
    </w:p>
    <w:p>
      <w:pPr>
        <w:pStyle w:val="Heading3"/>
      </w:pPr>
      <w:bookmarkStart w:id="86" w:name="epm_86"/>
      <w:r>
        <w:rPr>
          <w:rFonts w:ascii="Arial" w:hAnsi="Arial" w:eastAsia="宋体"/>
          <w:b w:val="0"/>
          <w:i w:val="0"/>
        </w:rPr>
        <w:t>A.12.1 ERP根对象</w:t>
      </w:r>
      <w:bookmarkEnd w:id="86"/>
    </w:p>
    <w:tbl>
      <w:tblPr>
        <w:tblStyle w:val="TableGrid"/>
        <w:tblW w:type="auto" w:w="0"/>
        <w:jc w:val="center"/>
        <w:tblLayout w:type="fixed"/>
        <w:tblLook w:firstColumn="1" w:firstRow="1" w:lastColumn="0" w:lastRow="0" w:noHBand="0" w:noVBand="1" w:val="04A0"/>
      </w:tblPr>
      <w:tblGrid>
        <w:gridCol w:w="2562"/>
        <w:gridCol w:w="1615"/>
        <w:gridCol w:w="1768"/>
        <w:gridCol w:w="3461"/>
      </w:tblGrid>
      <w:tr>
        <w:trPr>
          <w:cantSplit/>
          <w:tblHeader w:val="true"/>
        </w:trPr>
        <w:tc>
          <w:tcPr>
            <w:tcW w:type="dxa" w:w="256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来源/默认</w:t>
            </w:r>
          </w:p>
        </w:tc>
        <w:tc>
          <w:tcPr>
            <w:tcW w:type="dxa" w:w="34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状态、精度与关联</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erp.version</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ERP输入修改版本，integer</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初始1，输入变更递增</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不等于source.version、全局revision或结果version。匹配读取和报表生成不意味着再造ERP输入版本。</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erp.adapter</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文件适配器，enum</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generic或nc65，初始generic</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文件解释模式，不表示与NC服务建立网络连接。</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erp.mappings[]</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按法人科目映射，array</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erp_mapping_save</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保留旧版本，active=false不参与新生成。</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erp.openings[]</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年初余额行，array</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erp_opening_import</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原账金额Y；允许科目按客商/交易号拆分。</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erp.vouchers[]</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原凭证规范化分录，array</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erp_voucher_import</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本币借贷Y、原字段rawFields、凭证唯一键和来源行。</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erp.batches[]</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文件处理批次，array</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服务端创建</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mapping/opening/voucher/balance；停用批次及行保留历史。</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erp.bookMappings[]</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账簿到法人的映射，array</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负责人适配配置</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用于后续NC导入确定法人及本位币。</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erp.counterpartyMappings[]</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辅助客商到内部/外部的映射，array</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负责人适配配置</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列+编码定位；EXTERNAL为明确外部。</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erp.importOptions</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NC辅助/关联号解释，object</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默认辅助核算1、结算号</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影响后续导入；不重写已导入行，重配后须停用旧NC批次并重导。</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erp.annotations[]</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规范化核对补注日志，array</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补注命令生成</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只改规范化客商、ref或现金分类，不改原金额/日期/科目/rawFields。</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erp.reports[法人:月]</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法人凭证派生结果，map</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erp_report_generate</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GET只投影当前月为erp.reports[法人ID]。</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erp.matchingByScope[单元:月]</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内部匹配结果，map</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GET当前单元当前期投影名为erp.matching。</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erpArchives[]</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旧版兼容历史归档，array</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本版不通过载样例动作创建</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旧测试/历史字段不作为本版从零初始化业务；不是自动备份产品。</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bootstrap.erp.integration</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文件接入信息，object</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只读</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adapter、mode、onlineConnected=false、amountUnit=元、reportUnit=本位币万元最多6位。</w:t>
            </w:r>
          </w:p>
        </w:tc>
      </w:tr>
      <w:tr>
        <w:trPr>
          <w:cantSplit/>
        </w:trPr>
        <w:tc>
          <w:tcPr>
            <w:tcW w:type="dxa" w:w="2562"/>
            <w:vAlign w:val="top"/>
            <w:tcMar>
              <w:top w:w="65" w:type="dxa"/>
              <w:bottom w:w="65" w:type="dxa"/>
              <w:left w:w="65" w:type="dxa"/>
              <w:right w:w="65" w:type="dxa"/>
            </w:tcMar>
          </w:tcPr>
          <w:p>
            <w:pPr>
              <w:spacing w:before="30" w:after="30" w:line="252" w:lineRule="auto"/>
            </w:pPr>
            <w:r>
              <w:rPr>
                <w:rFonts w:ascii="Arial" w:hAnsi="Arial" w:eastAsia="宋体"/>
                <w:b w:val="0"/>
                <w:i w:val="0"/>
                <w:sz w:val="18"/>
              </w:rPr>
              <w:t>bootstrap.erp.templates</w:t>
            </w:r>
          </w:p>
        </w:tc>
        <w:tc>
          <w:tcPr>
            <w:tcW w:type="dxa" w:w="1615"/>
            <w:vAlign w:val="top"/>
            <w:tcMar>
              <w:top w:w="65" w:type="dxa"/>
              <w:bottom w:w="65" w:type="dxa"/>
              <w:left w:w="65" w:type="dxa"/>
              <w:right w:w="65" w:type="dxa"/>
            </w:tcMar>
          </w:tcPr>
          <w:p>
            <w:pPr>
              <w:spacing w:before="30" w:after="30" w:line="252" w:lineRule="auto"/>
            </w:pPr>
            <w:r>
              <w:rPr>
                <w:rFonts w:ascii="Arial" w:hAnsi="Arial" w:eastAsia="宋体"/>
                <w:b w:val="0"/>
                <w:i w:val="0"/>
                <w:sz w:val="18"/>
              </w:rPr>
              <w:t>空结构文件表头，object</w:t>
            </w:r>
          </w:p>
        </w:tc>
        <w:tc>
          <w:tcPr>
            <w:tcW w:type="dxa" w:w="1768"/>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w:t>
            </w:r>
          </w:p>
        </w:tc>
        <w:tc>
          <w:tcPr>
            <w:tcW w:type="dxa" w:w="3461"/>
            <w:vAlign w:val="top"/>
            <w:tcMar>
              <w:top w:w="65" w:type="dxa"/>
              <w:bottom w:w="65" w:type="dxa"/>
              <w:left w:w="65" w:type="dxa"/>
              <w:right w:w="65" w:type="dxa"/>
            </w:tcMar>
          </w:tcPr>
          <w:p>
            <w:pPr>
              <w:spacing w:before="30" w:after="30" w:line="252" w:lineRule="auto"/>
            </w:pPr>
            <w:r>
              <w:rPr>
                <w:rFonts w:ascii="Arial" w:hAnsi="Arial" w:eastAsia="宋体"/>
                <w:b w:val="0"/>
                <w:i w:val="0"/>
                <w:sz w:val="18"/>
              </w:rPr>
              <w:t>mappingCsv/openingCsv/voucherCsv/nc65Csv/balanceCsv；不预填企业科目、账簿、凭证和配置金额。独立演示文件由用户另行导入。</w:t>
            </w:r>
          </w:p>
        </w:tc>
      </w:tr>
      <w:tr>
        <w:trPr>
          <w:cantSplit/>
        </w:trPr>
        <w:tc>
          <w:tcPr>
            <w:tcW w:type="dxa" w:w="256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bootstrap.erp.demoEliminationConflicts[]</w:t>
            </w:r>
          </w:p>
        </w:tc>
        <w:tc>
          <w:tcPr>
            <w:tcW w:type="dxa" w:w="16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旧模式兼容冲突，array</w:t>
            </w:r>
          </w:p>
        </w:tc>
        <w:tc>
          <w:tcPr>
            <w:tcW w:type="dxa" w:w="17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本版空初始为空</w:t>
            </w:r>
          </w:p>
        </w:tc>
        <w:tc>
          <w:tcPr>
            <w:tcW w:type="dxa" w:w="34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新用户无需停用不存在的100/50预置；若兼容测试涉及旧事项，不能与自动事项双计。</w:t>
            </w:r>
          </w:p>
        </w:tc>
      </w:tr>
    </w:tbl>
    <w:p>
      <w:pPr>
        <w:spacing w:after="40"/>
      </w:pPr>
    </w:p>
    <w:p>
      <w:pPr>
        <w:pStyle w:val="Heading3"/>
      </w:pPr>
      <w:bookmarkStart w:id="87" w:name="epm_87"/>
      <w:r>
        <w:rPr>
          <w:rFonts w:ascii="Arial" w:hAnsi="Arial" w:eastAsia="宋体"/>
          <w:b w:val="0"/>
          <w:i w:val="0"/>
        </w:rPr>
        <w:t>A.12.2 导入文件公共字段</w:t>
      </w:r>
      <w:bookmarkEnd w:id="87"/>
    </w:p>
    <w:tbl>
      <w:tblPr>
        <w:tblStyle w:val="TableGrid"/>
        <w:tblW w:type="auto" w:w="0"/>
        <w:jc w:val="center"/>
        <w:tblLayout w:type="fixed"/>
        <w:tblLook w:firstColumn="1" w:firstRow="1" w:lastColumn="0" w:lastRow="0" w:noHBand="0" w:noVBand="1" w:val="04A0"/>
      </w:tblPr>
      <w:tblGrid>
        <w:gridCol w:w="1710"/>
        <w:gridCol w:w="1915"/>
        <w:gridCol w:w="2788"/>
        <w:gridCol w:w="2993"/>
      </w:tblGrid>
      <w:tr>
        <w:trPr>
          <w:cantSplit/>
          <w:tblHeader w:val="true"/>
        </w:trPr>
        <w:tc>
          <w:tcPr>
            <w:tcW w:type="dxa" w:w="17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w:t>
            </w:r>
          </w:p>
        </w:tc>
        <w:tc>
          <w:tcPr>
            <w:tcW w:type="dxa" w:w="19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类型、必填及默认</w:t>
            </w:r>
          </w:p>
        </w:tc>
        <w:tc>
          <w:tcPr>
            <w:tcW w:type="dxa" w:w="27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处理规则</w:t>
            </w:r>
          </w:p>
        </w:tc>
        <w:tc>
          <w:tcPr>
            <w:tcW w:type="dxa" w:w="29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失败边界</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csv</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UTF-8文本；与文件方式择一</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直接提交CSV内容，UTF-8编码字节≤9000000</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存在csv字符串时优先按文本方式处理。</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fileBase64</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base64文本；文件方式必填</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解码后文件≤8000000字节</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无效base64整笔拒绝。</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fileName</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S；文件方式建议必填</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用于识别.csv/.xlsx/.xls；可沿用sourceName</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不接受旧.xls；须在Excel/WPS另存xlsx或UTF-8 CSV。</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sheetName</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S；可选</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xlsx缺省第一张工作表，传值须精确存在</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找不到工作表拒绝；不擅自拼多表。</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sourceName</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S(180)；默认文件名或业务默认名</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保存到批次说明；不是用户电脑任意路径访问权限</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仅文本来源，当前不在数据库另存原文件二进制附件。</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amountUnit</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enum；期初/凭证缺省元</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元或万元，先精确转为Y；不得按数值大小猜单位</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以万元传1.234567可精确到元分；再小精度不能无损转为元两位时拒绝。</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columnMap</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object；可选</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内部标准键→文件实际列名；常规字段可使用别名</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ERP适配NC的固定字段仍按NC契约解释；不代表任意脚本转换。</w:t>
            </w:r>
          </w:p>
        </w:tc>
      </w:tr>
      <w:tr>
        <w:trPr>
          <w:cantSplit/>
        </w:trPr>
        <w:tc>
          <w:tcPr>
            <w:tcW w:type="dxa" w:w="17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format</w:t>
            </w:r>
          </w:p>
        </w:tc>
        <w:tc>
          <w:tcPr>
            <w:tcW w:type="dxa" w:w="19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enum；凭证可选</w:t>
            </w:r>
          </w:p>
        </w:tc>
        <w:tc>
          <w:tcPr>
            <w:tcW w:type="dxa" w:w="27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nc65或通用generic，缺省当前adapter</w:t>
            </w:r>
          </w:p>
        </w:tc>
        <w:tc>
          <w:tcPr>
            <w:tcW w:type="dxa" w:w="2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NC与通用币种含义不同，不可错选后再手工乘汇率。</w:t>
            </w:r>
          </w:p>
        </w:tc>
      </w:tr>
      <w:tr>
        <w:trPr>
          <w:cantSplit/>
        </w:trPr>
        <w:tc>
          <w:tcPr>
            <w:tcW w:type="dxa" w:w="1710"/>
            <w:vAlign w:val="top"/>
            <w:tcMar>
              <w:top w:w="65" w:type="dxa"/>
              <w:bottom w:w="65" w:type="dxa"/>
              <w:left w:w="65" w:type="dxa"/>
              <w:right w:w="65" w:type="dxa"/>
            </w:tcMar>
          </w:tcPr>
          <w:p>
            <w:pPr>
              <w:spacing w:before="30" w:after="30" w:line="252" w:lineRule="auto"/>
            </w:pPr>
            <w:r>
              <w:rPr>
                <w:rFonts w:ascii="Arial" w:hAnsi="Arial" w:eastAsia="宋体"/>
                <w:b w:val="0"/>
                <w:i w:val="0"/>
                <w:sz w:val="18"/>
              </w:rPr>
              <w:t>postedConfirmed</w:t>
            </w:r>
          </w:p>
        </w:tc>
        <w:tc>
          <w:tcPr>
            <w:tcW w:type="dxa" w:w="1915"/>
            <w:vAlign w:val="top"/>
            <w:tcMar>
              <w:top w:w="65" w:type="dxa"/>
              <w:bottom w:w="65" w:type="dxa"/>
              <w:left w:w="65" w:type="dxa"/>
              <w:right w:w="65" w:type="dxa"/>
            </w:tcMar>
          </w:tcPr>
          <w:p>
            <w:pPr>
              <w:spacing w:before="30" w:after="30" w:line="252" w:lineRule="auto"/>
            </w:pPr>
            <w:r>
              <w:rPr>
                <w:rFonts w:ascii="Arial" w:hAnsi="Arial" w:eastAsia="宋体"/>
                <w:b w:val="0"/>
                <w:i w:val="0"/>
                <w:sz w:val="18"/>
              </w:rPr>
              <w:t>boolean；NC必需true</w:t>
            </w:r>
          </w:p>
        </w:tc>
        <w:tc>
          <w:tcPr>
            <w:tcW w:type="dxa" w:w="2788"/>
            <w:vAlign w:val="top"/>
            <w:tcMar>
              <w:top w:w="65" w:type="dxa"/>
              <w:bottom w:w="65" w:type="dxa"/>
              <w:left w:w="65" w:type="dxa"/>
              <w:right w:w="65" w:type="dxa"/>
            </w:tcMar>
          </w:tcPr>
          <w:p>
            <w:pPr>
              <w:spacing w:before="30" w:after="30" w:line="252" w:lineRule="auto"/>
            </w:pPr>
            <w:r>
              <w:rPr>
                <w:rFonts w:ascii="Arial" w:hAnsi="Arial" w:eastAsia="宋体"/>
                <w:b w:val="0"/>
                <w:i w:val="0"/>
                <w:sz w:val="18"/>
              </w:rPr>
              <w:t>记录用户确认文件只含已记账业务凭证</w:t>
            </w:r>
          </w:p>
        </w:tc>
        <w:tc>
          <w:tcPr>
            <w:tcW w:type="dxa" w:w="2993"/>
            <w:vAlign w:val="top"/>
            <w:tcMar>
              <w:top w:w="65" w:type="dxa"/>
              <w:bottom w:w="65" w:type="dxa"/>
              <w:left w:w="65" w:type="dxa"/>
              <w:right w:w="65" w:type="dxa"/>
            </w:tcMar>
          </w:tcPr>
          <w:p>
            <w:pPr>
              <w:spacing w:before="30" w:after="30" w:line="252" w:lineRule="auto"/>
            </w:pPr>
            <w:r>
              <w:rPr>
                <w:rFonts w:ascii="Arial" w:hAnsi="Arial" w:eastAsia="宋体"/>
                <w:b w:val="0"/>
                <w:i w:val="0"/>
                <w:sz w:val="18"/>
              </w:rPr>
              <w:t>NC48列无记账状态，系统不声称向ERP核验已过账。</w:t>
            </w:r>
          </w:p>
        </w:tc>
      </w:tr>
    </w:tbl>
    <w:p>
      <w:pPr>
        <w:spacing w:after="40"/>
      </w:pPr>
    </w:p>
    <w:p>
      <w:r>
        <w:rPr>
          <w:rFonts w:ascii="Arial" w:hAnsi="Arial" w:eastAsia="宋体"/>
          <w:b w:val="0"/>
          <w:i w:val="0"/>
        </w:rPr>
        <w:t>ERP元金额解析允许去千分逗号、括号负数等明确数值格式，但转为元后必须两位以内；无效文本/非有限数拒绝。XLSX读取使用本地ZIP/XML；拒绝公式单元格，用户应先粘贴为值；不执行宏、公式、外链。不保存Excel外链连接。表头会去BOM、前导星号及空白后识别；标准化后重复表头拒绝。CSV文件支持UTF-8和gb18030解码，推荐UTF-8。凭证日期按2026年处理；数字样式为日期时按Excel日期格式读取，编码列应保持文本以避免前导零在上游丢失。</w:t>
      </w:r>
    </w:p>
    <w:p>
      <w:r>
        <w:rPr>
          <w:rFonts w:ascii="Arial" w:hAnsi="Arial" w:eastAsia="宋体"/>
          <w:b w:val="0"/>
          <w:i w:val="0"/>
        </w:rPr>
        <w:t>解析器合同为每批最多100000数据行、xlsx最多300列；服务接口较小的8MB上传/9MB文本限制优先适用。不能把纯函数内部较大的保护阈值当作HTTP可以上传更大文件的承诺。</w:t>
      </w:r>
    </w:p>
    <w:p>
      <w:pPr>
        <w:pStyle w:val="Heading3"/>
      </w:pPr>
      <w:bookmarkStart w:id="88" w:name="epm_88"/>
      <w:r>
        <w:rPr>
          <w:rFonts w:ascii="Arial" w:hAnsi="Arial" w:eastAsia="宋体"/>
          <w:b w:val="0"/>
          <w:i w:val="0"/>
        </w:rPr>
        <w:t>A.12.3 NC账簿、客商和关联号配置</w:t>
      </w:r>
      <w:bookmarkEnd w:id="88"/>
    </w:p>
    <w:tbl>
      <w:tblPr>
        <w:tblStyle w:val="TableGrid"/>
        <w:tblW w:type="auto" w:w="0"/>
        <w:jc w:val="center"/>
        <w:tblLayout w:type="fixed"/>
        <w:tblLook w:firstColumn="1" w:firstRow="1" w:lastColumn="0" w:lastRow="0" w:noHBand="0" w:noVBand="1" w:val="04A0"/>
      </w:tblPr>
      <w:tblGrid>
        <w:gridCol w:w="2734"/>
        <w:gridCol w:w="1942"/>
        <w:gridCol w:w="1746"/>
        <w:gridCol w:w="2984"/>
      </w:tblGrid>
      <w:tr>
        <w:trPr>
          <w:cantSplit/>
          <w:tblHeader w:val="true"/>
        </w:trPr>
        <w:tc>
          <w:tcPr>
            <w:tcW w:type="dxa" w:w="27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字段路径</w:t>
            </w:r>
          </w:p>
        </w:tc>
        <w:tc>
          <w:tcPr>
            <w:tcW w:type="dxa" w:w="19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7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必填/默认</w:t>
            </w:r>
          </w:p>
        </w:tc>
        <w:tc>
          <w:tcPr>
            <w:tcW w:type="dxa" w:w="29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校验与解释</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bookMappings[].bookCode</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NC核算账簿编码，S(80)</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每项必填，唯一</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真实值由企业确认，不能凭公司名称猜测。</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bookMappings[].entityId</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EPM法人ID，ID</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引用真实entities.id；同一账簿唯一归法人。</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bookMappings[].functionalCurrency</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法人记账本位币，enum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可缺省法人currency</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传入必须等于法人档案；不取NC交易币种冒充本位币。</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counterpartyMappings[].code</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客商辅助值，S(80)</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与选中辅助列的真实单元格值匹配；未知非空值不自动视为外部。</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counterpartyMappings[].column</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限定辅助来源列，enum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可空表示该编码通用映射</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只能辅助核算1至9；同列+code唯一。有列映射优先，无列通用映射作为后备。</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counterpartyMappings[].entityId</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内部对方或外部，ID/EXTERNAL</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内部引用entities.id；EXTERNAL明确外部，不是某个虚构法人。</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importOptions.auxiliaryColumn</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单选兼容字段，enum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缺省辅助核算1</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必须为辅助核算1—9；多选时仍保留合法兼容值。</w:t>
            </w:r>
          </w:p>
        </w:tc>
      </w:tr>
      <w:tr>
        <w:trPr>
          <w:cantSplit/>
        </w:trPr>
        <w:tc>
          <w:tcPr>
            <w:tcW w:type="dxa" w:w="27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importOptions.auxiliaryColumns</w:t>
            </w:r>
          </w:p>
        </w:tc>
        <w:tc>
          <w:tcPr>
            <w:tcW w:type="dxa" w:w="19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多列核对，array</w:t>
            </w:r>
            <w:r>
              <w:rPr>
                <w:rFonts w:ascii="Arial" w:hAnsi="Arial" w:eastAsia="宋体"/>
                <w:b w:val="0"/>
                <w:i w:val="0"/>
                <w:sz w:val="18"/>
              </w:rPr>
              <w:t>&lt;enum&gt;</w:t>
            </w:r>
          </w:p>
        </w:tc>
        <w:tc>
          <w:tcPr>
            <w:tcW w:type="dxa" w:w="17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可选，缺省单列数组；非空且不重复</w:t>
            </w:r>
          </w:p>
        </w:tc>
        <w:tc>
          <w:tcPr>
            <w:tcW w:type="dxa" w:w="2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每列须在导入文件存在；多列映到不同内部法人或内外部冲突时列差异。</w:t>
            </w:r>
          </w:p>
        </w:tc>
      </w:tr>
      <w:tr>
        <w:trPr>
          <w:cantSplit/>
        </w:trPr>
        <w:tc>
          <w:tcPr>
            <w:tcW w:type="dxa" w:w="2734"/>
            <w:vAlign w:val="top"/>
            <w:tcMar>
              <w:top w:w="65" w:type="dxa"/>
              <w:bottom w:w="65" w:type="dxa"/>
              <w:left w:w="65" w:type="dxa"/>
              <w:right w:w="65" w:type="dxa"/>
            </w:tcMar>
          </w:tcPr>
          <w:p>
            <w:pPr>
              <w:spacing w:before="30" w:after="30" w:line="252" w:lineRule="auto"/>
            </w:pPr>
            <w:r>
              <w:rPr>
                <w:rFonts w:ascii="Arial" w:hAnsi="Arial" w:eastAsia="宋体"/>
                <w:b w:val="0"/>
                <w:i w:val="0"/>
                <w:sz w:val="18"/>
              </w:rPr>
              <w:t>importOptions.referenceColumn</w:t>
            </w:r>
          </w:p>
        </w:tc>
        <w:tc>
          <w:tcPr>
            <w:tcW w:type="dxa" w:w="1942"/>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共同交易号列，enum</w:t>
            </w:r>
          </w:p>
        </w:tc>
        <w:tc>
          <w:tcPr>
            <w:tcW w:type="dxa" w:w="1746"/>
            <w:vAlign w:val="top"/>
            <w:tcMar>
              <w:top w:w="65" w:type="dxa"/>
              <w:bottom w:w="65" w:type="dxa"/>
              <w:left w:w="65" w:type="dxa"/>
              <w:right w:w="65" w:type="dxa"/>
            </w:tcMar>
          </w:tcPr>
          <w:p>
            <w:pPr>
              <w:spacing w:before="30" w:after="30" w:line="252" w:lineRule="auto"/>
            </w:pPr>
            <w:r>
              <w:rPr>
                <w:rFonts w:ascii="Arial" w:hAnsi="Arial" w:eastAsia="宋体"/>
                <w:b w:val="0"/>
                <w:i w:val="0"/>
                <w:sz w:val="18"/>
              </w:rPr>
              <w:t>缺省结算号</w:t>
            </w:r>
          </w:p>
        </w:tc>
        <w:tc>
          <w:tcPr>
            <w:tcW w:type="dxa" w:w="2984"/>
            <w:vAlign w:val="top"/>
            <w:tcMar>
              <w:top w:w="65" w:type="dxa"/>
              <w:bottom w:w="65" w:type="dxa"/>
              <w:left w:w="65" w:type="dxa"/>
              <w:right w:w="65" w:type="dxa"/>
            </w:tcMar>
          </w:tcPr>
          <w:p>
            <w:pPr>
              <w:spacing w:before="30" w:after="30" w:line="252" w:lineRule="auto"/>
            </w:pPr>
            <w:r>
              <w:rPr>
                <w:rFonts w:ascii="Arial" w:hAnsi="Arial" w:eastAsia="宋体"/>
                <w:b w:val="0"/>
                <w:i w:val="0"/>
                <w:sz w:val="18"/>
              </w:rPr>
              <w:t>结算号、核销号或空；为空/原值空时不能自动按摘要或金额配对。</w:t>
            </w:r>
          </w:p>
        </w:tc>
      </w:tr>
    </w:tbl>
    <w:p>
      <w:pPr>
        <w:spacing w:after="40"/>
      </w:pPr>
    </w:p>
    <w:p>
      <w:r>
        <w:rPr>
          <w:rFonts w:ascii="Arial" w:hAnsi="Arial" w:eastAsia="宋体"/>
          <w:b w:val="0"/>
          <w:i w:val="0"/>
        </w:rPr>
        <w:t>保存适配配置增加erp.version，但不重新解释已固定的规范化凭证行，因此不把旧源冒充新规则重新导入。原账簿/客商原值仍在rawFields；要让修改后的映射适用于旧NC文件，应先停用旧批次，再按新配置重新导入，之后重生法人源与匹配。</w:t>
      </w:r>
    </w:p>
    <w:p>
      <w:pPr>
        <w:pStyle w:val="Heading2"/>
      </w:pPr>
      <w:bookmarkStart w:id="89" w:name="epm_89"/>
      <w:r>
        <w:rPr>
          <w:rFonts w:ascii="Arial" w:hAnsi="Arial" w:eastAsia="宋体"/>
          <w:b w:val="0"/>
          <w:i w:val="0"/>
        </w:rPr>
        <w:t>A.13 ERP科目映射、年初余额和批次</w:t>
      </w:r>
      <w:bookmarkEnd w:id="89"/>
    </w:p>
    <w:p>
      <w:pPr>
        <w:pStyle w:val="Heading3"/>
      </w:pPr>
      <w:bookmarkStart w:id="90" w:name="epm_90"/>
      <w:r>
        <w:rPr>
          <w:rFonts w:ascii="Arial" w:hAnsi="Arial" w:eastAsia="宋体"/>
          <w:b w:val="0"/>
          <w:i w:val="0"/>
        </w:rPr>
        <w:t>A.13.1 erp.mappings[]</w:t>
      </w:r>
      <w:bookmarkEnd w:id="90"/>
    </w:p>
    <w:p>
      <w:r>
        <w:rPr>
          <w:rFonts w:ascii="Arial" w:hAnsi="Arial" w:eastAsia="宋体"/>
          <w:b w:val="0"/>
          <w:i w:val="0"/>
        </w:rPr>
        <w:t>与集团科目accounts[]区分：ERP映射以“法人+ERP科目编码”唯一，可把不同法人不同科目映射到同一集团报表字段。生成单体三表使用此映射，不直接读取集团accounts的科目code。</w:t>
      </w:r>
    </w:p>
    <w:tbl>
      <w:tblPr>
        <w:tblStyle w:val="TableGrid"/>
        <w:tblW w:type="auto" w:w="0"/>
        <w:jc w:val="center"/>
        <w:tblLayout w:type="fixed"/>
        <w:tblLook w:firstColumn="1" w:firstRow="1" w:lastColumn="0" w:lastRow="0" w:noHBand="0" w:noVBand="1" w:val="04A0"/>
      </w:tblPr>
      <w:tblGrid>
        <w:gridCol w:w="1643"/>
        <w:gridCol w:w="1643"/>
        <w:gridCol w:w="2384"/>
        <w:gridCol w:w="3737"/>
      </w:tblGrid>
      <w:tr>
        <w:trPr>
          <w:cantSplit/>
          <w:tblHeader w:val="true"/>
        </w:trPr>
        <w:tc>
          <w:tcPr>
            <w:tcW w:type="dxa" w:w="16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输入/默认</w:t>
            </w:r>
          </w:p>
        </w:tc>
        <w:tc>
          <w:tcPr>
            <w:tcW w:type="dxa" w:w="37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规则和来源</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法人ID，ID</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每行必填</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CSV法人编码可匹配法人id/code/name，须唯一。</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ERP科目编码，S(60)</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同法人不可重复有效映射；不同法人可相同编码。</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name</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ERP科目名称，S</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rows对象必填S(100)；CSV可缺省编码，最多120字符</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仅名称，不执行科目层级汇总规则。</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集团报表字段，enum</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必填BS或PL键，可识别已定义中文项目名</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BS/PL方向决定报表金额符号，不能把借贷两侧无方向粗加。</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normalSide</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正常方向，enum</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必填借/贷</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CSV兼容debit/credit、D/C；试算显示本字段，规范报表生成按映射field的资产/费用与负债/权益/收入方向处理。</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version</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该法人科目映射版本，integer</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服务端新建1、同键最大旧版本+1</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旧同键记录active=false，保留留档。</w:t>
            </w:r>
          </w:p>
        </w:tc>
      </w:tr>
      <w:tr>
        <w:trPr>
          <w:cantSplit/>
        </w:trPr>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w:t>
            </w:r>
          </w:p>
        </w:tc>
        <w:tc>
          <w:tcPr>
            <w:tcW w:type="dxa" w:w="1643"/>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解析来源行，integer</w:t>
            </w:r>
          </w:p>
        </w:tc>
        <w:tc>
          <w:tcPr>
            <w:tcW w:type="dxa" w:w="2384"/>
            <w:vAlign w:val="top"/>
            <w:tcMar>
              <w:top w:w="65" w:type="dxa"/>
              <w:bottom w:w="65" w:type="dxa"/>
              <w:left w:w="65" w:type="dxa"/>
              <w:right w:w="65" w:type="dxa"/>
            </w:tcMar>
          </w:tcPr>
          <w:p>
            <w:pPr>
              <w:spacing w:before="30" w:after="30" w:line="252" w:lineRule="auto"/>
            </w:pPr>
            <w:r>
              <w:rPr>
                <w:rFonts w:ascii="Arial" w:hAnsi="Arial" w:eastAsia="宋体"/>
                <w:b w:val="0"/>
                <w:i w:val="0"/>
                <w:sz w:val="18"/>
              </w:rPr>
              <w:t>CSV从表头后第2行开始</w:t>
            </w:r>
          </w:p>
        </w:tc>
        <w:tc>
          <w:tcPr>
            <w:tcW w:type="dxa" w:w="3737"/>
            <w:vAlign w:val="top"/>
            <w:tcMar>
              <w:top w:w="65" w:type="dxa"/>
              <w:bottom w:w="65" w:type="dxa"/>
              <w:left w:w="65" w:type="dxa"/>
              <w:right w:w="65" w:type="dxa"/>
            </w:tcMar>
          </w:tcPr>
          <w:p>
            <w:pPr>
              <w:spacing w:before="30" w:after="30" w:line="252" w:lineRule="auto"/>
            </w:pPr>
            <w:r>
              <w:rPr>
                <w:rFonts w:ascii="Arial" w:hAnsi="Arial" w:eastAsia="宋体"/>
                <w:b w:val="0"/>
                <w:i w:val="0"/>
                <w:sz w:val="18"/>
              </w:rPr>
              <w:t>rows对象方式由批次分配来源序号。</w:t>
            </w:r>
          </w:p>
        </w:tc>
      </w:tr>
      <w:tr>
        <w:trPr>
          <w:cantSplit/>
        </w:trPr>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id/batchId/active</w:t>
            </w:r>
          </w:p>
        </w:tc>
        <w:tc>
          <w:tcPr>
            <w:tcW w:type="dxa" w:w="16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来源标识、批次、有效标志</w:t>
            </w:r>
          </w:p>
        </w:tc>
        <w:tc>
          <w:tcPr>
            <w:tcW w:type="dxa" w:w="23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7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含于法人ledgerFingerprint和快照；批次停用不自动激活更早版本。</w:t>
            </w:r>
          </w:p>
        </w:tc>
      </w:tr>
    </w:tbl>
    <w:p>
      <w:pPr>
        <w:spacing w:after="40"/>
      </w:pPr>
    </w:p>
    <w:p>
      <w:r>
        <w:rPr>
          <w:rFonts w:ascii="Arial" w:hAnsi="Arial" w:eastAsia="宋体"/>
          <w:b w:val="0"/>
          <w:i w:val="0"/>
        </w:rPr>
        <w:t>科目映射CSV固定推荐表头“法人编码,科目编码,科目名称,报表字段,余额方向”。保存映射后，受影响法人及其祖先从年初各期的源/匹配/自动抵销/结果均需更新；存在签核链时先重开。</w:t>
      </w:r>
    </w:p>
    <w:p>
      <w:pPr>
        <w:pStyle w:val="Heading3"/>
      </w:pPr>
      <w:bookmarkStart w:id="91" w:name="epm_91"/>
      <w:r>
        <w:rPr>
          <w:rFonts w:ascii="Arial" w:hAnsi="Arial" w:eastAsia="宋体"/>
          <w:b w:val="0"/>
          <w:i w:val="0"/>
        </w:rPr>
        <w:t>A.13.2 erp.openings[]年初余额</w:t>
      </w:r>
      <w:bookmarkEnd w:id="91"/>
    </w:p>
    <w:tbl>
      <w:tblPr>
        <w:tblStyle w:val="TableGrid"/>
        <w:tblW w:type="auto" w:w="0"/>
        <w:jc w:val="center"/>
        <w:tblLayout w:type="fixed"/>
        <w:tblLook w:firstColumn="1" w:firstRow="1" w:lastColumn="0" w:lastRow="0" w:noHBand="0" w:noVBand="1" w:val="04A0"/>
      </w:tblPr>
      <w:tblGrid>
        <w:gridCol w:w="2067"/>
        <w:gridCol w:w="1480"/>
        <w:gridCol w:w="2325"/>
        <w:gridCol w:w="3534"/>
      </w:tblGrid>
      <w:tr>
        <w:trPr>
          <w:cantSplit/>
          <w:tblHeader w:val="true"/>
        </w:trPr>
        <w:tc>
          <w:tcPr>
            <w:tcW w:type="dxa" w:w="20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4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3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输入/默认</w:t>
            </w:r>
          </w:p>
        </w:tc>
        <w:tc>
          <w:tcPr>
            <w:tcW w:type="dxa" w:w="35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校验和用途</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法人ID，ID</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与本位币和后续凭证归属一致。</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year</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会计年度，integer</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必填2026</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只支持2026年年初，不接收任意中途日期作为期初。</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accountCode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ERP科目，S(60)</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必须有本法人有效科目映射；损益期初余额必须0。</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本位币，enum</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必填CNY/USD</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必须等于法人记账本位币。</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期初借/贷余额，Y</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文件期初借方余额/期初贷方余额，可空视0</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一行只能一边非0；可红字负额；每法人合计借=贷。零余额可明确报送。</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counterpartyId</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内部对方ID，ID或空</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内部明细条件必填</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通用期初列“内部往来对方”可给法人编码或EXTERNAL/外部；不能把其他未知字符串擅自当外部。</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counterpartyCode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原对方值，S</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解析保留</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外部也保留原值；与reference一起构成明细定位。</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counterpartyStatus</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对方解析状态，enum</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internal/external/unspecified</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非零AR/AP缺明确客商或ref会进入内部匹配差异，不拿总额强配。</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reference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共同交易关联号，S(120)</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内部AR/AP明细条件必填</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相同科目可按不同客商/ref拆行；不得同键重复。</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openingRetainedCny</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已确认期初CNY留存，Y</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USD期初留存非0条件必填</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按导入amountUnit转成元字符串；生成源再÷10000成万元6位。仅填在对应留存科目资料，不能整张重复相加。</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rawFields</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解析保留原字段，object</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以规范化列头、去首尾空白的原单元格文本留档，不是原xlsx二进制文件。</w:t>
            </w:r>
          </w:p>
        </w:tc>
      </w:tr>
      <w:tr>
        <w:trPr>
          <w:cantSplit/>
        </w:trPr>
        <w:tc>
          <w:tcPr>
            <w:tcW w:type="dxa" w:w="20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w:t>
            </w:r>
          </w:p>
        </w:tc>
        <w:tc>
          <w:tcPr>
            <w:tcW w:type="dxa" w:w="14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期初规范行ID，S</w:t>
            </w:r>
          </w:p>
        </w:tc>
        <w:tc>
          <w:tcPr>
            <w:tcW w:type="dxa" w:w="2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服务端OPEN-摘要</w:t>
            </w:r>
          </w:p>
        </w:tc>
        <w:tc>
          <w:tcPr>
            <w:tcW w:type="dxa" w:w="35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由法人/年度/科目/对方代码及ID/ref确定；重新导入版本由batchId和active区分。</w:t>
            </w:r>
          </w:p>
        </w:tc>
      </w:tr>
      <w:tr>
        <w:trPr>
          <w:cantSplit/>
        </w:trPr>
        <w:tc>
          <w:tcPr>
            <w:tcW w:type="dxa" w:w="2067"/>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sourceRow/batchId/active</w:t>
            </w:r>
          </w:p>
        </w:tc>
        <w:tc>
          <w:tcPr>
            <w:tcW w:type="dxa" w:w="1480"/>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来源行、批次、有效标记</w:t>
            </w:r>
          </w:p>
        </w:tc>
        <w:tc>
          <w:tcPr>
            <w:tcW w:type="dxa" w:w="2325"/>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w:t>
            </w:r>
          </w:p>
        </w:tc>
        <w:tc>
          <w:tcPr>
            <w:tcW w:type="dxa" w:w="3534"/>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当前行参与生成须自身及批次均active。</w:t>
            </w:r>
          </w:p>
        </w:tc>
      </w:tr>
    </w:tbl>
    <w:p>
      <w:pPr>
        <w:spacing w:after="40"/>
      </w:pPr>
    </w:p>
    <w:p>
      <w:r>
        <w:rPr>
          <w:rFonts w:ascii="Arial" w:hAnsi="Arial" w:eastAsia="宋体"/>
          <w:b w:val="0"/>
          <w:i w:val="0"/>
        </w:rPr>
        <w:t>推荐CSV为“法人编码,会计年度,科目编码,币种,期初借方余额,期初贷方余额,内部往来对方,交易关联号,期初人民币留存收益”。期初科目明细每法人整体平衡；AR/AP拆分明细不能同时再加同额总账汇总行造成重复。</w:t>
      </w:r>
    </w:p>
    <w:p>
      <w:pPr>
        <w:pStyle w:val="Heading3"/>
      </w:pPr>
      <w:bookmarkStart w:id="92" w:name="epm_92"/>
      <w:r>
        <w:rPr>
          <w:rFonts w:ascii="Arial" w:hAnsi="Arial" w:eastAsia="宋体"/>
          <w:b w:val="0"/>
          <w:i w:val="0"/>
        </w:rPr>
        <w:t>A.13.3 erp.batches[]</w:t>
      </w:r>
      <w:bookmarkEnd w:id="92"/>
    </w:p>
    <w:tbl>
      <w:tblPr>
        <w:tblStyle w:val="TableGrid"/>
        <w:tblW w:type="auto" w:w="0"/>
        <w:jc w:val="center"/>
        <w:tblLayout w:type="fixed"/>
        <w:tblLook w:firstColumn="1" w:firstRow="1" w:lastColumn="0" w:lastRow="0" w:noHBand="0" w:noVBand="1" w:val="04A0"/>
      </w:tblPr>
      <w:tblGrid>
        <w:gridCol w:w="2184"/>
        <w:gridCol w:w="1951"/>
        <w:gridCol w:w="2560"/>
        <w:gridCol w:w="2711"/>
      </w:tblGrid>
      <w:tr>
        <w:trPr>
          <w:cantSplit/>
          <w:tblHeader w:val="true"/>
        </w:trPr>
        <w:tc>
          <w:tcPr>
            <w:tcW w:type="dxa" w:w="21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9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5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生成/默认</w:t>
            </w:r>
          </w:p>
        </w:tc>
        <w:tc>
          <w:tcPr>
            <w:tcW w:type="dxa" w:w="27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生命周期</w:t>
            </w:r>
          </w:p>
        </w:tc>
      </w:tr>
      <w:tr>
        <w:trPr>
          <w:cantSplit/>
        </w:trPr>
        <w:tc>
          <w:tcPr>
            <w:tcW w:type="dxa" w:w="2184"/>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951"/>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批次ID，S</w:t>
            </w:r>
          </w:p>
        </w:tc>
        <w:tc>
          <w:tcPr>
            <w:tcW w:type="dxa" w:w="2560"/>
            <w:vAlign w:val="top"/>
            <w:tcMar>
              <w:top w:w="65" w:type="dxa"/>
              <w:bottom w:w="65" w:type="dxa"/>
              <w:left w:w="65" w:type="dxa"/>
              <w:right w:w="65" w:type="dxa"/>
            </w:tcMar>
          </w:tcPr>
          <w:p>
            <w:pPr>
              <w:spacing w:before="30" w:after="30" w:line="252" w:lineRule="auto"/>
            </w:pPr>
            <w:r>
              <w:rPr>
                <w:rFonts w:ascii="Arial" w:hAnsi="Arial" w:eastAsia="宋体"/>
                <w:b w:val="0"/>
                <w:i w:val="0"/>
                <w:sz w:val="18"/>
              </w:rPr>
              <w:t>ERP-BATCH-00001递增</w:t>
            </w:r>
          </w:p>
        </w:tc>
        <w:tc>
          <w:tcPr>
            <w:tcW w:type="dxa" w:w="2711"/>
            <w:vAlign w:val="top"/>
            <w:tcMar>
              <w:top w:w="65" w:type="dxa"/>
              <w:bottom w:w="65" w:type="dxa"/>
              <w:left w:w="65" w:type="dxa"/>
              <w:right w:w="65" w:type="dxa"/>
            </w:tcMar>
          </w:tcPr>
          <w:p>
            <w:pPr>
              <w:spacing w:before="30" w:after="30" w:line="252" w:lineRule="auto"/>
            </w:pPr>
            <w:r>
              <w:rPr>
                <w:rFonts w:ascii="Arial" w:hAnsi="Arial" w:eastAsia="宋体"/>
                <w:b w:val="0"/>
                <w:i w:val="0"/>
                <w:sz w:val="18"/>
              </w:rPr>
              <w:t>引用batchId追原来源；不是ERP远程批次号。</w:t>
            </w:r>
          </w:p>
        </w:tc>
      </w:tr>
      <w:tr>
        <w:trPr>
          <w:cantSplit/>
        </w:trPr>
        <w:tc>
          <w:tcPr>
            <w:tcW w:type="dxa" w:w="2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kind</w:t>
            </w:r>
          </w:p>
        </w:tc>
        <w:tc>
          <w:tcPr>
            <w:tcW w:type="dxa" w:w="1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批次类型，enum</w:t>
            </w:r>
          </w:p>
        </w:tc>
        <w:tc>
          <w:tcPr>
            <w:tcW w:type="dxa" w:w="25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mapping/opening/voucher/balance</w:t>
            </w:r>
          </w:p>
        </w:tc>
        <w:tc>
          <w:tcPr>
            <w:tcW w:type="dxa" w:w="27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影响相应输入；balance仅为外部核对基准，不产生分录。</w:t>
            </w:r>
          </w:p>
        </w:tc>
      </w:tr>
      <w:tr>
        <w:trPr>
          <w:cantSplit/>
        </w:trPr>
        <w:tc>
          <w:tcPr>
            <w:tcW w:type="dxa" w:w="218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sourceName</w:t>
            </w:r>
          </w:p>
        </w:tc>
        <w:tc>
          <w:tcPr>
            <w:tcW w:type="dxa" w:w="1951"/>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来源文件说明，S(180)</w:t>
            </w:r>
          </w:p>
        </w:tc>
        <w:tc>
          <w:tcPr>
            <w:tcW w:type="dxa" w:w="256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请求或默认</w:t>
            </w:r>
          </w:p>
        </w:tc>
        <w:tc>
          <w:tcPr>
            <w:tcW w:type="dxa" w:w="2711"/>
            <w:vAlign w:val="top"/>
            <w:tcMar>
              <w:top w:w="65" w:type="dxa"/>
              <w:bottom w:w="65" w:type="dxa"/>
              <w:left w:w="65" w:type="dxa"/>
              <w:right w:w="65" w:type="dxa"/>
            </w:tcMar>
          </w:tcPr>
          <w:p>
            <w:pPr>
              <w:spacing w:before="30" w:after="30" w:line="252" w:lineRule="auto"/>
            </w:pPr>
            <w:r>
              <w:rPr>
                <w:rFonts w:ascii="Arial" w:hAnsi="Arial" w:eastAsia="宋体"/>
                <w:b w:val="0"/>
                <w:i w:val="0"/>
                <w:sz w:val="18"/>
              </w:rPr>
              <w:t>不包含私有数据库、会话或系统路径凭据。</w:t>
            </w:r>
          </w:p>
        </w:tc>
      </w:tr>
      <w:tr>
        <w:trPr>
          <w:cantSplit/>
        </w:trPr>
        <w:tc>
          <w:tcPr>
            <w:tcW w:type="dxa" w:w="2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createdAt</w:t>
            </w:r>
          </w:p>
        </w:tc>
        <w:tc>
          <w:tcPr>
            <w:tcW w:type="dxa" w:w="1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导入时间，ISO</w:t>
            </w:r>
          </w:p>
        </w:tc>
        <w:tc>
          <w:tcPr>
            <w:tcW w:type="dxa" w:w="25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27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与原凭证date分开。</w:t>
            </w:r>
          </w:p>
        </w:tc>
      </w:tr>
      <w:tr>
        <w:trPr>
          <w:cantSplit/>
        </w:trPr>
        <w:tc>
          <w:tcPr>
            <w:tcW w:type="dxa" w:w="2184"/>
            <w:vAlign w:val="top"/>
            <w:tcMar>
              <w:top w:w="65" w:type="dxa"/>
              <w:bottom w:w="65" w:type="dxa"/>
              <w:left w:w="65" w:type="dxa"/>
              <w:right w:w="65" w:type="dxa"/>
            </w:tcMar>
          </w:tcPr>
          <w:p>
            <w:pPr>
              <w:spacing w:before="30" w:after="30" w:line="252" w:lineRule="auto"/>
            </w:pPr>
            <w:r>
              <w:rPr>
                <w:rFonts w:ascii="Arial" w:hAnsi="Arial" w:eastAsia="宋体"/>
                <w:b w:val="0"/>
                <w:i w:val="0"/>
                <w:sz w:val="18"/>
              </w:rPr>
              <w:t>rowCount</w:t>
            </w:r>
          </w:p>
        </w:tc>
        <w:tc>
          <w:tcPr>
            <w:tcW w:type="dxa" w:w="1951"/>
            <w:vAlign w:val="top"/>
            <w:tcMar>
              <w:top w:w="65" w:type="dxa"/>
              <w:bottom w:w="65" w:type="dxa"/>
              <w:left w:w="65" w:type="dxa"/>
              <w:right w:w="65" w:type="dxa"/>
            </w:tcMar>
          </w:tcPr>
          <w:p>
            <w:pPr>
              <w:spacing w:before="30" w:after="30" w:line="252" w:lineRule="auto"/>
            </w:pPr>
            <w:r>
              <w:rPr>
                <w:rFonts w:ascii="Arial" w:hAnsi="Arial" w:eastAsia="宋体"/>
                <w:b w:val="0"/>
                <w:i w:val="0"/>
                <w:sz w:val="18"/>
              </w:rPr>
              <w:t>解析记录数，integer</w:t>
            </w:r>
          </w:p>
        </w:tc>
        <w:tc>
          <w:tcPr>
            <w:tcW w:type="dxa" w:w="2560"/>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服务端统计</w:t>
            </w:r>
          </w:p>
        </w:tc>
        <w:tc>
          <w:tcPr>
            <w:tcW w:type="dxa" w:w="2711"/>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不是会计凭证张数，同一凭证可多行。</w:t>
            </w:r>
          </w:p>
        </w:tc>
      </w:tr>
      <w:tr>
        <w:trPr>
          <w:cantSplit/>
        </w:trPr>
        <w:tc>
          <w:tcPr>
            <w:tcW w:type="dxa" w:w="2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entityIds</w:t>
            </w:r>
          </w:p>
        </w:tc>
        <w:tc>
          <w:tcPr>
            <w:tcW w:type="dxa" w:w="1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涉及法人，array</w:t>
            </w:r>
            <w:r>
              <w:rPr>
                <w:rFonts w:ascii="Arial" w:hAnsi="Arial" w:eastAsia="宋体"/>
                <w:b w:val="0"/>
                <w:i w:val="0"/>
                <w:sz w:val="18"/>
              </w:rPr>
              <w:t>&lt;ID&gt;</w:t>
            </w:r>
          </w:p>
        </w:tc>
        <w:tc>
          <w:tcPr>
            <w:tcW w:type="dxa" w:w="25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从行集合去重排序</w:t>
            </w:r>
          </w:p>
        </w:tc>
        <w:tc>
          <w:tcPr>
            <w:tcW w:type="dxa" w:w="27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用于签核开放及失效范围判断。</w:t>
            </w:r>
          </w:p>
        </w:tc>
      </w:tr>
      <w:tr>
        <w:trPr>
          <w:cantSplit/>
        </w:trPr>
        <w:tc>
          <w:tcPr>
            <w:tcW w:type="dxa" w:w="2184"/>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w:t>
            </w:r>
          </w:p>
        </w:tc>
        <w:tc>
          <w:tcPr>
            <w:tcW w:type="dxa" w:w="1951"/>
            <w:vAlign w:val="top"/>
            <w:tcMar>
              <w:top w:w="65" w:type="dxa"/>
              <w:bottom w:w="65" w:type="dxa"/>
              <w:left w:w="65" w:type="dxa"/>
              <w:right w:w="65" w:type="dxa"/>
            </w:tcMar>
          </w:tcPr>
          <w:p>
            <w:pPr>
              <w:spacing w:before="30" w:after="30" w:line="252" w:lineRule="auto"/>
            </w:pPr>
            <w:r>
              <w:rPr>
                <w:rFonts w:ascii="Arial" w:hAnsi="Arial" w:eastAsia="宋体"/>
                <w:b w:val="0"/>
                <w:i w:val="0"/>
                <w:sz w:val="18"/>
              </w:rPr>
              <w:t>当时接入适配器，enum</w:t>
            </w:r>
          </w:p>
        </w:tc>
        <w:tc>
          <w:tcPr>
            <w:tcW w:type="dxa" w:w="2560"/>
            <w:vAlign w:val="top"/>
            <w:tcMar>
              <w:top w:w="65" w:type="dxa"/>
              <w:bottom w:w="65" w:type="dxa"/>
              <w:left w:w="65" w:type="dxa"/>
              <w:right w:w="65" w:type="dxa"/>
            </w:tcMar>
          </w:tcPr>
          <w:p>
            <w:pPr>
              <w:spacing w:before="30" w:after="30" w:line="252" w:lineRule="auto"/>
            </w:pPr>
            <w:r>
              <w:rPr>
                <w:rFonts w:ascii="Arial" w:hAnsi="Arial" w:eastAsia="宋体"/>
                <w:b w:val="0"/>
                <w:i w:val="0"/>
                <w:sz w:val="18"/>
              </w:rPr>
              <w:t>generic/nc65</w:t>
            </w:r>
          </w:p>
        </w:tc>
        <w:tc>
          <w:tcPr>
            <w:tcW w:type="dxa" w:w="2711"/>
            <w:vAlign w:val="top"/>
            <w:tcMar>
              <w:top w:w="65" w:type="dxa"/>
              <w:bottom w:w="65" w:type="dxa"/>
              <w:left w:w="65" w:type="dxa"/>
              <w:right w:w="65" w:type="dxa"/>
            </w:tcMar>
          </w:tcPr>
          <w:p>
            <w:pPr>
              <w:spacing w:before="30" w:after="30" w:line="252" w:lineRule="auto"/>
            </w:pPr>
            <w:r>
              <w:rPr>
                <w:rFonts w:ascii="Arial" w:hAnsi="Arial" w:eastAsia="宋体"/>
                <w:b w:val="0"/>
                <w:i w:val="0"/>
                <w:sz w:val="18"/>
              </w:rPr>
              <w:t>原行还保留其adapter；不把后来适配设置覆盖历史解释。</w:t>
            </w:r>
          </w:p>
        </w:tc>
      </w:tr>
      <w:tr>
        <w:trPr>
          <w:cantSplit/>
        </w:trPr>
        <w:tc>
          <w:tcPr>
            <w:tcW w:type="dxa" w:w="2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postedConfirmed</w:t>
            </w:r>
          </w:p>
        </w:tc>
        <w:tc>
          <w:tcPr>
            <w:tcW w:type="dxa" w:w="1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已记账确认，boolean</w:t>
            </w:r>
          </w:p>
        </w:tc>
        <w:tc>
          <w:tcPr>
            <w:tcW w:type="dxa" w:w="25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NC输入必须true；其他可false</w:t>
            </w:r>
          </w:p>
        </w:tc>
        <w:tc>
          <w:tcPr>
            <w:tcW w:type="dxa" w:w="27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来自用户确认，不是在线NC返回状态。</w:t>
            </w:r>
          </w:p>
        </w:tc>
      </w:tr>
      <w:tr>
        <w:trPr>
          <w:cantSplit/>
        </w:trPr>
        <w:tc>
          <w:tcPr>
            <w:tcW w:type="dxa" w:w="2184"/>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status/active</w:t>
            </w:r>
          </w:p>
        </w:tc>
        <w:tc>
          <w:tcPr>
            <w:tcW w:type="dxa" w:w="1951"/>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批次状态/有效，enum+boolean</w:t>
            </w:r>
          </w:p>
        </w:tc>
        <w:tc>
          <w:tcPr>
            <w:tcW w:type="dxa" w:w="2560"/>
            <w:vAlign w:val="top"/>
            <w:tcMar>
              <w:top w:w="65" w:type="dxa"/>
              <w:bottom w:w="65" w:type="dxa"/>
              <w:left w:w="65" w:type="dxa"/>
              <w:right w:w="65" w:type="dxa"/>
            </w:tcMar>
          </w:tcPr>
          <w:p>
            <w:pPr>
              <w:spacing w:before="30" w:after="30" w:line="252" w:lineRule="auto"/>
            </w:pPr>
            <w:r>
              <w:rPr>
                <w:rFonts w:ascii="Arial" w:hAnsi="Arial" w:eastAsia="宋体"/>
                <w:b w:val="0"/>
                <w:i w:val="0"/>
                <w:sz w:val="18"/>
              </w:rPr>
              <w:t>已导入/true；停用后已停用/false</w:t>
            </w:r>
          </w:p>
        </w:tc>
        <w:tc>
          <w:tcPr>
            <w:tcW w:type="dxa" w:w="2711"/>
            <w:vAlign w:val="top"/>
            <w:tcMar>
              <w:top w:w="65" w:type="dxa"/>
              <w:bottom w:w="65" w:type="dxa"/>
              <w:left w:w="65" w:type="dxa"/>
              <w:right w:w="65" w:type="dxa"/>
            </w:tcMar>
          </w:tcPr>
          <w:p>
            <w:pPr>
              <w:spacing w:before="30" w:after="30" w:line="252" w:lineRule="auto"/>
            </w:pPr>
            <w:r>
              <w:rPr>
                <w:rFonts w:ascii="Arial" w:hAnsi="Arial" w:eastAsia="宋体"/>
                <w:b w:val="0"/>
                <w:i w:val="0"/>
                <w:sz w:val="18"/>
              </w:rPr>
              <w:t>停用连带行active=false，原行和历史快照不删。</w:t>
            </w:r>
          </w:p>
        </w:tc>
      </w:tr>
      <w:tr>
        <w:trPr>
          <w:cantSplit/>
        </w:trPr>
        <w:tc>
          <w:tcPr>
            <w:tcW w:type="dxa" w:w="2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cancelReason/cancelledAt</w:t>
            </w:r>
          </w:p>
        </w:tc>
        <w:tc>
          <w:tcPr>
            <w:tcW w:type="dxa" w:w="19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停用原因S(500)/时间ISO</w:t>
            </w:r>
          </w:p>
        </w:tc>
        <w:tc>
          <w:tcPr>
            <w:tcW w:type="dxa" w:w="25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负责人停用必填原因</w:t>
            </w:r>
          </w:p>
        </w:tc>
        <w:tc>
          <w:tcPr>
            <w:tcW w:type="dxa" w:w="27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相关来源失效，之后须更正重导/重生/重配；不能用同批次重复叠加金额。</w:t>
            </w:r>
          </w:p>
        </w:tc>
      </w:tr>
    </w:tbl>
    <w:p>
      <w:pPr>
        <w:spacing w:after="40"/>
      </w:pPr>
    </w:p>
    <w:p>
      <w:pPr>
        <w:pStyle w:val="Heading2"/>
      </w:pPr>
      <w:bookmarkStart w:id="93" w:name="epm_93"/>
      <w:r>
        <w:rPr>
          <w:rFonts w:ascii="Arial" w:hAnsi="Arial" w:eastAsia="宋体"/>
          <w:b w:val="0"/>
          <w:i w:val="0"/>
        </w:rPr>
        <w:t>A.14 ERP规范化原凭证字段</w:t>
      </w:r>
      <w:bookmarkEnd w:id="93"/>
    </w:p>
    <w:p>
      <w:pPr>
        <w:pStyle w:val="Heading3"/>
      </w:pPr>
      <w:bookmarkStart w:id="94" w:name="epm_94"/>
      <w:r>
        <w:rPr>
          <w:rFonts w:ascii="Arial" w:hAnsi="Arial" w:eastAsia="宋体"/>
          <w:b w:val="0"/>
          <w:i w:val="0"/>
        </w:rPr>
        <w:t>A.14.1 erp.vouchers[]核心</w:t>
      </w:r>
      <w:bookmarkEnd w:id="94"/>
    </w:p>
    <w:tbl>
      <w:tblPr>
        <w:tblStyle w:val="TableGrid"/>
        <w:tblW w:type="auto" w:w="0"/>
        <w:jc w:val="center"/>
        <w:tblLayout w:type="fixed"/>
        <w:tblLook w:firstColumn="1" w:firstRow="1" w:lastColumn="0" w:lastRow="0" w:noHBand="0" w:noVBand="1" w:val="04A0"/>
      </w:tblPr>
      <w:tblGrid>
        <w:gridCol w:w="1946"/>
        <w:gridCol w:w="1428"/>
        <w:gridCol w:w="2753"/>
        <w:gridCol w:w="3280"/>
      </w:tblGrid>
      <w:tr>
        <w:trPr>
          <w:cantSplit/>
          <w:tblHeader w:val="true"/>
        </w:trPr>
        <w:tc>
          <w:tcPr>
            <w:tcW w:type="dxa" w:w="19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4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7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输入/默认</w:t>
            </w:r>
          </w:p>
        </w:tc>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校验、来源和关联</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规范分录ID，S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VLINE-内容键摘要</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同一业务凭证分录键稳定；停用再导时用batchId和快照区分版本，不只靠id判定所有历史。</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entityId</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法人ID，ID</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通用文件明确；NC由bookMappings取得</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不由NC业务单元编码、交易币或集团本币推断法人。</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bookCode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核算账簿，S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NC原账簿；通用缺省法人ID</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是凭证唯一键组成，跨账簿相同凭证号不可合并为一张。</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date</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归属日期，ISO日期</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通用凭证日期/NC制单日期</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2026年；决定年度月份。业务日期仅留原字段。</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category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凭证类别，S(40)</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通用缺省记；NC类别必填</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同月相同号但不同类别是不同凭证。</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voucherId</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规范凭证号，S</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类别-原号</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用于查看与追溯，不是跨账簿的独立唯一键。</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rawVoucherNo</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ERP原凭证号，S(80)</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必填</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保留前导零等文本；不由金额推断。</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lineNo</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凭证内分录序号，integer</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1—999999</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通用可给，缺省按同凭证源行顺序；NC48列无此列，按账簿+年月+类别+号内文件顺序生成。</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voucherKey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规范整凭证键，S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法人+账簿+类别+年度月份+原号</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整张借贷平衡；同张所有分录date/currency一致。</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accountCode</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ERP科目，S(60)</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必填</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本法人有效mapping必需；未映射整批拒绝，不能默认入其他科目。</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法人本位币，enum</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通用文件需等于法人；NC由账簿映射取得</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本币借贷只按此币种入账。</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transactionCurrency</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交易币种，S</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通用等于currency；NC取原币种列</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只标识原币核对；不能据此将本币金额重复折算。</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法人本币借/贷，Y</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通用借/贷，NC本币借/贷</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一行仅一侧非0，不能双0；支持红字负借/负贷；整张sum(借−贷)=0。</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originalDebit/originalCredit</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NC原币借/贷，Y格式文本</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NC原币列，可空按0解析</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保存核对，不参与法人本币账；原币单位按明确amountUnit解释。</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summary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摘要，S(500)</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允许空；NC列需存在</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可识别损益结转关键字，不作为内部客商或交易号猜测依据。</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counterpartyId</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规范内部对方法人，ID或空</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由明示值、映射或安全承接取得</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内部不得等于本法人；EXTERNAL规范为ID空并status=external。</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counterpartyCode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原客商辅助值，S</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原值/多列组合说明</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无论是否映射都保留，补注不覆盖原NC单元格。</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counterpartyStatus</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客商状态，enum</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internal/external/unspecified/unresolved/conflict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空白未说明≠外部；未知非空≠外部；多个不同内部或内外冲突不猜。</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counterpartyAuxiliaries[]</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所选辅助原值，array</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NC每项column、code</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多个辅助映射结果不一致时保留冲突证据。</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counterpartyConflict</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客商冲突，boolean</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NC生成</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true时不能强配一个法人。</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unmappedCounterparty</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未解决客商，boolean</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NC未映射/冲突为true</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进入差异列表，补注明确内部/外部后可清false。</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reference</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双方共同关联号，S(120)</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通用交易关联号；NC选定结算号/核销号</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内部必须有共同号；不凭相同金额/摘要自动配。</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icType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内部交易类别，enum</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sales/cost/receivable/payable/空</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通用支持中文；空时按报表field推定类型，不能与field冲突。</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cashflow</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现金类别，enum</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operating/investing/financing/空</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只能cash映射行显式填写；非现金行填值整笔拒绝。</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voucherKind</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凭证类型，enum</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business或closing</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显式业务/损益结转，或摘要识别结转本年利润/本期损益/损益；整张统一closing。</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rawFields</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NC/通用原字段文本，object</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解析时留档</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不因核对补注变更；输入文件的原交易币、集团/全局本币及辅助列在此核对。</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sourceRow/batchId/active</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来源序号/批次/是否有效</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服务端生成</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sourceRow为解析数据行号；XLSX先读所选表转CSV，空物理行可能不保留，定位时联合凭证号与分录序号，不宣称原xls物理行绝对相同。</w:t>
            </w:r>
          </w:p>
        </w:tc>
      </w:tr>
      <w:tr>
        <w:trPr>
          <w:cantSplit/>
        </w:trPr>
        <w:tc>
          <w:tcPr>
            <w:tcW w:type="dxa" w:w="19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adapter</w:t>
            </w:r>
          </w:p>
        </w:tc>
        <w:tc>
          <w:tcPr>
            <w:tcW w:type="dxa" w:w="14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原行适配器，S</w:t>
            </w:r>
          </w:p>
        </w:tc>
        <w:tc>
          <w:tcPr>
            <w:tcW w:type="dxa" w:w="2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NC为nc65；通用可无</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与当时导入解释关联。</w:t>
            </w:r>
          </w:p>
        </w:tc>
      </w:tr>
      <w:tr>
        <w:trPr>
          <w:cantSplit/>
        </w:trPr>
        <w:tc>
          <w:tcPr>
            <w:tcW w:type="dxa" w:w="1946"/>
            <w:vAlign w:val="top"/>
            <w:tcMar>
              <w:top w:w="65" w:type="dxa"/>
              <w:bottom w:w="65" w:type="dxa"/>
              <w:left w:w="65" w:type="dxa"/>
              <w:right w:w="65" w:type="dxa"/>
            </w:tcMar>
          </w:tcPr>
          <w:p>
            <w:pPr>
              <w:spacing w:before="30" w:after="30" w:line="252" w:lineRule="auto"/>
            </w:pPr>
            <w:r>
              <w:rPr>
                <w:rFonts w:ascii="Arial" w:hAnsi="Arial" w:eastAsia="宋体"/>
                <w:b w:val="0"/>
                <w:i w:val="0"/>
                <w:sz w:val="18"/>
              </w:rPr>
              <w:t>annotations[]</w:t>
            </w:r>
          </w:p>
        </w:tc>
        <w:tc>
          <w:tcPr>
            <w:tcW w:type="dxa" w:w="1428"/>
            <w:vAlign w:val="top"/>
            <w:tcMar>
              <w:top w:w="65" w:type="dxa"/>
              <w:bottom w:w="65" w:type="dxa"/>
              <w:left w:w="65" w:type="dxa"/>
              <w:right w:w="65" w:type="dxa"/>
            </w:tcMar>
          </w:tcPr>
          <w:p>
            <w:pPr>
              <w:spacing w:before="30" w:after="30" w:line="252" w:lineRule="auto"/>
            </w:pPr>
            <w:r>
              <w:rPr>
                <w:rFonts w:ascii="Arial" w:hAnsi="Arial" w:eastAsia="宋体"/>
                <w:b w:val="0"/>
                <w:i w:val="0"/>
                <w:sz w:val="18"/>
              </w:rPr>
              <w:t>该行补注历史，array</w:t>
            </w:r>
          </w:p>
        </w:tc>
        <w:tc>
          <w:tcPr>
            <w:tcW w:type="dxa" w:w="2753"/>
            <w:vAlign w:val="top"/>
            <w:tcMar>
              <w:top w:w="65" w:type="dxa"/>
              <w:bottom w:w="65" w:type="dxa"/>
              <w:left w:w="65" w:type="dxa"/>
              <w:right w:w="65" w:type="dxa"/>
            </w:tcMar>
          </w:tcPr>
          <w:p>
            <w:pPr>
              <w:spacing w:before="30" w:after="30" w:line="252" w:lineRule="auto"/>
            </w:pPr>
            <w:r>
              <w:rPr>
                <w:rFonts w:ascii="Arial" w:hAnsi="Arial" w:eastAsia="宋体"/>
                <w:b w:val="0"/>
                <w:i w:val="0"/>
                <w:sz w:val="18"/>
              </w:rPr>
              <w:t>补注命令追加</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保留before/after、原因、角色和时间；历史ledgerSnapshot保留当时规范值及已存在注记录。</w:t>
            </w:r>
          </w:p>
        </w:tc>
      </w:tr>
    </w:tbl>
    <w:p>
      <w:pPr>
        <w:spacing w:after="40"/>
      </w:pPr>
    </w:p>
    <w:p>
      <w:r>
        <w:rPr>
          <w:rFonts w:ascii="Arial" w:hAnsi="Arial" w:eastAsia="宋体"/>
          <w:b w:val="0"/>
          <w:i w:val="0"/>
        </w:rPr>
        <w:t>原始完整凭证唯一定位至少包含法人、核算账簿、年度月份、类别、原号、分录序号。重复有效分录整批拒绝；错误批次先明确停用再导，不能靠把凭证号改一下重复入账。</w:t>
      </w:r>
    </w:p>
    <w:p>
      <w:pPr>
        <w:pStyle w:val="Heading3"/>
      </w:pPr>
      <w:bookmarkStart w:id="95" w:name="epm_95"/>
      <w:r>
        <w:rPr>
          <w:rFonts w:ascii="Arial" w:hAnsi="Arial" w:eastAsia="宋体"/>
          <w:b w:val="0"/>
          <w:i w:val="0"/>
        </w:rPr>
        <w:t>A.14.2 典型NC空辅助行的安全承接</w:t>
      </w:r>
      <w:bookmarkEnd w:id="95"/>
    </w:p>
    <w:tbl>
      <w:tblPr>
        <w:tblStyle w:val="TableGrid"/>
        <w:tblW w:type="auto" w:w="0"/>
        <w:jc w:val="center"/>
        <w:tblLayout w:type="fixed"/>
        <w:tblLook w:firstColumn="1" w:firstRow="1" w:lastColumn="0" w:lastRow="0" w:noHBand="0" w:noVBand="1" w:val="04A0"/>
      </w:tblPr>
      <w:tblGrid>
        <w:gridCol w:w="2875"/>
        <w:gridCol w:w="1285"/>
        <w:gridCol w:w="2495"/>
        <w:gridCol w:w="2752"/>
      </w:tblGrid>
      <w:tr>
        <w:trPr>
          <w:cantSplit/>
          <w:tblHeader w:val="true"/>
        </w:trPr>
        <w:tc>
          <w:tcPr>
            <w:tcW w:type="dxa" w:w="28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28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类型与生成依据</w:t>
            </w:r>
          </w:p>
        </w:tc>
        <w:tc>
          <w:tcPr>
            <w:tcW w:type="dxa" w:w="24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允许条件</w:t>
            </w:r>
          </w:p>
        </w:tc>
        <w:tc>
          <w:tcPr>
            <w:tcW w:type="dxa" w:w="27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禁止情况</w:t>
            </w:r>
          </w:p>
        </w:tc>
      </w:tr>
      <w:tr>
        <w:trPr>
          <w:cantSplit/>
        </w:trPr>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counterpartyBasis</w:t>
            </w:r>
          </w:p>
        </w:tc>
        <w:tc>
          <w:tcPr>
            <w:tcW w:type="dxa" w:w="1285"/>
            <w:vAlign w:val="top"/>
            <w:tcMar>
              <w:top w:w="65" w:type="dxa"/>
              <w:bottom w:w="65" w:type="dxa"/>
              <w:left w:w="65" w:type="dxa"/>
              <w:right w:w="65" w:type="dxa"/>
            </w:tcMar>
          </w:tcPr>
          <w:p>
            <w:pPr>
              <w:spacing w:before="30" w:after="30" w:line="252" w:lineRule="auto"/>
            </w:pPr>
            <w:r>
              <w:rPr>
                <w:rFonts w:ascii="Arial" w:hAnsi="Arial" w:eastAsia="宋体"/>
                <w:b w:val="0"/>
                <w:i w:val="0"/>
                <w:sz w:val="18"/>
              </w:rPr>
              <w:t>客商推导说明，S</w:t>
            </w:r>
          </w:p>
        </w:tc>
        <w:tc>
          <w:tcPr>
            <w:tcW w:type="dxa" w:w="2495"/>
            <w:vAlign w:val="top"/>
            <w:tcMar>
              <w:top w:w="65" w:type="dxa"/>
              <w:bottom w:w="65" w:type="dxa"/>
              <w:left w:w="65" w:type="dxa"/>
              <w:right w:w="65" w:type="dxa"/>
            </w:tcMar>
          </w:tcPr>
          <w:p>
            <w:pPr>
              <w:spacing w:before="30" w:after="30" w:line="252" w:lineRule="auto"/>
            </w:pPr>
            <w:r>
              <w:rPr>
                <w:rFonts w:ascii="Arial" w:hAnsi="Arial" w:eastAsia="宋体"/>
                <w:b w:val="0"/>
                <w:i w:val="0"/>
                <w:sz w:val="18"/>
              </w:rPr>
              <w:t>同一凭证只有一个明确已映射内部或外部身份，且无未映射/冲突辅助值</w:t>
            </w:r>
          </w:p>
        </w:tc>
        <w:tc>
          <w:tcPr>
            <w:tcW w:type="dxa" w:w="2752"/>
            <w:vAlign w:val="top"/>
            <w:tcMar>
              <w:top w:w="65" w:type="dxa"/>
              <w:bottom w:w="65" w:type="dxa"/>
              <w:left w:w="65" w:type="dxa"/>
              <w:right w:w="65" w:type="dxa"/>
            </w:tcMar>
          </w:tcPr>
          <w:p>
            <w:pPr>
              <w:spacing w:before="30" w:after="30" w:line="252" w:lineRule="auto"/>
            </w:pPr>
            <w:r>
              <w:rPr>
                <w:rFonts w:ascii="Arial" w:hAnsi="Arial" w:eastAsia="宋体"/>
                <w:b w:val="0"/>
                <w:i w:val="0"/>
                <w:sz w:val="18"/>
              </w:rPr>
              <w:t>多个内部法人、内外冲突、未知值不能任取。</w:t>
            </w:r>
          </w:p>
        </w:tc>
      </w:tr>
      <w:tr>
        <w:trPr>
          <w:cantSplit/>
        </w:trPr>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referenceBasis</w:t>
            </w:r>
          </w:p>
        </w:tc>
        <w:tc>
          <w:tcPr>
            <w:tcW w:type="dxa" w:w="1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共同号推导说明，S</w:t>
            </w:r>
          </w:p>
        </w:tc>
        <w:tc>
          <w:tcPr>
            <w:tcW w:type="dxa" w:w="24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同一凭证只有一个非空共同关联号</w:t>
            </w:r>
          </w:p>
        </w:tc>
        <w:tc>
          <w:tcPr>
            <w:tcW w:type="dxa" w:w="27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存在多个不同ref时整张不进行承接，防止不同业务串配。</w:t>
            </w:r>
          </w:p>
        </w:tc>
      </w:tr>
      <w:tr>
        <w:trPr>
          <w:cantSplit/>
        </w:trPr>
        <w:tc>
          <w:tcPr>
            <w:tcW w:type="dxa" w:w="2875"/>
            <w:vAlign w:val="top"/>
            <w:tcMar>
              <w:top w:w="65" w:type="dxa"/>
              <w:bottom w:w="65" w:type="dxa"/>
              <w:left w:w="65" w:type="dxa"/>
              <w:right w:w="65" w:type="dxa"/>
            </w:tcMar>
          </w:tcPr>
          <w:p>
            <w:pPr>
              <w:spacing w:before="30" w:after="30" w:line="252" w:lineRule="auto"/>
            </w:pPr>
            <w:r>
              <w:rPr>
                <w:rFonts w:ascii="Arial" w:hAnsi="Arial" w:eastAsia="宋体"/>
                <w:b w:val="0"/>
                <w:i w:val="0"/>
                <w:sz w:val="18"/>
              </w:rPr>
              <w:t>counterpartyDerivedFrom/referenceDerivedFrom</w:t>
            </w:r>
          </w:p>
        </w:tc>
        <w:tc>
          <w:tcPr>
            <w:tcW w:type="dxa" w:w="1285"/>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来源行列表，array</w:t>
            </w:r>
          </w:p>
        </w:tc>
        <w:tc>
          <w:tcPr>
            <w:tcW w:type="dxa" w:w="2495"/>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保留支持该推导的规范行ID、源序号、科目</w:t>
            </w:r>
          </w:p>
        </w:tc>
        <w:tc>
          <w:tcPr>
            <w:tcW w:type="dxa" w:w="2752"/>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不能跨凭证、跨账簿、跨月份传播。</w:t>
            </w:r>
          </w:p>
        </w:tc>
      </w:tr>
      <w:tr>
        <w:trPr>
          <w:cantSplit/>
        </w:trPr>
        <w:tc>
          <w:tcPr>
            <w:tcW w:type="dxa" w:w="28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derivedFromVoucherRows</w:t>
            </w:r>
          </w:p>
        </w:tc>
        <w:tc>
          <w:tcPr>
            <w:tcW w:type="dxa" w:w="128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综合承接依据，array</w:t>
            </w:r>
          </w:p>
        </w:tc>
        <w:tc>
          <w:tcPr>
            <w:tcW w:type="dxa" w:w="24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同时保留id、lineNo、sourceRow、accountCode</w:t>
            </w:r>
          </w:p>
        </w:tc>
        <w:tc>
          <w:tcPr>
            <w:tcW w:type="dxa" w:w="27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只有原辅助/关联值为空的收入、成本、应收、应付行可承接；不修改rawFields。</w:t>
            </w:r>
          </w:p>
        </w:tc>
      </w:tr>
    </w:tbl>
    <w:p>
      <w:pPr>
        <w:spacing w:after="40"/>
      </w:pPr>
    </w:p>
    <w:p>
      <w:r>
        <w:rPr>
          <w:rFonts w:ascii="Arial" w:hAnsi="Arial" w:eastAsia="宋体"/>
          <w:b w:val="0"/>
          <w:i w:val="0"/>
        </w:rPr>
        <w:t>该规则解决NC客商只填在应收/应付、损益行空白的典型导出。期初不是凭证，不适用此承接。明确外部可以承接，但不会要求外部交易共同号；内部仍缺共同号时继续列差异。</w:t>
      </w:r>
    </w:p>
    <w:p>
      <w:pPr>
        <w:pStyle w:val="Heading2"/>
      </w:pPr>
      <w:bookmarkStart w:id="96" w:name="epm_96"/>
      <w:r>
        <w:rPr>
          <w:rFonts w:ascii="Arial" w:hAnsi="Arial" w:eastAsia="宋体"/>
          <w:b w:val="0"/>
          <w:i w:val="0"/>
        </w:rPr>
        <w:t>A.15 用友NC6.5原48列逐字段解释</w:t>
      </w:r>
      <w:bookmarkEnd w:id="96"/>
    </w:p>
    <w:p>
      <w:r>
        <w:rPr>
          <w:rFonts w:ascii="Arial" w:hAnsi="Arial" w:eastAsia="宋体"/>
          <w:b w:val="0"/>
          <w:i w:val="0"/>
        </w:rPr>
        <w:t>本节字段顺序与用户确认的NC6.5导出表头一致。导出星号表示NC模板的上游要求；本版解析必需9个核心列（核算账簿、类别、凭证号、制单日期、摘要、科目编码、币种、本币借方、本币贷方），另外必需配置选中的辅助列及共同号列。上游星号不等于本地解析会对每个可选核对列实施相同业务必填校验。标准48列建议完整导出、保留核对，不能因多数列不入账而改写原币或集团金额。</w:t>
      </w:r>
    </w:p>
    <w:tbl>
      <w:tblPr>
        <w:tblStyle w:val="TableGrid"/>
        <w:tblW w:type="auto" w:w="0"/>
        <w:jc w:val="center"/>
        <w:tblLayout w:type="fixed"/>
        <w:tblLook w:firstColumn="1" w:firstRow="1" w:lastColumn="0" w:lastRow="0" w:noHBand="0" w:noVBand="1" w:val="04A0"/>
      </w:tblPr>
      <w:tblGrid>
        <w:gridCol w:w="1786"/>
        <w:gridCol w:w="2527"/>
        <w:gridCol w:w="5092"/>
      </w:tblGrid>
      <w:tr>
        <w:trPr>
          <w:cantSplit/>
          <w:tblHeader w:val="true"/>
        </w:trPr>
        <w:tc>
          <w:tcPr>
            <w:tcW w:type="dxa" w:w="17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序号/原字段</w:t>
            </w:r>
          </w:p>
        </w:tc>
        <w:tc>
          <w:tcPr>
            <w:tcW w:type="dxa" w:w="252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导出星号与本地类型</w:t>
            </w:r>
          </w:p>
        </w:tc>
        <w:tc>
          <w:tcPr>
            <w:tcW w:type="dxa" w:w="50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规范化目的或原值保留</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 核算账簿</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星号；S；列必有、值必填</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bookCode→bookMappings→entityId/currency；不由业务单元或交易币猜法人。</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 凭证类别编码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星号；S(40)；列和值必填</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category；参与凭证唯一键。</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 凭证号</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星号；S(80)；列和值必填</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rawVoucherNo；按原文本保留，参与唯一键。</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 附单据数</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rawFields保留，不自动生成附件或附件条数校验。</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5 制单人编码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星号；原文本；上游星号</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保留核对；不据此建立EPM账号或授予审批权限。</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6 制单日期</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星号；2026年日期；列和值必填</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date；默认期间来源；支持标准日期及日期样式单元格。</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7 摘要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星号；S(500)；列必有、值可空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summary；可识别特定损益结转，不能用来猜客商/ref。</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8 科目编码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星号；S(60)；列和值必填</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accountCode；须有该法人有效ERP映射。</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9 币种</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星号；原交易币文本；列必有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transactionCurrency；不是法人记账本位币。</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10 原币借方金额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星号；Y格式原币文本；可空0</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originalDebit及rawFields；只保核对，不与本币借方重复入账。</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11 本币借方金额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星号；Y；列必有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debit；唯一入法人账的借方口径，amountUnit明确。</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12 集团本币借方金额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只留rawFields；不是法人本币，不能再次计入借方。</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13 全局本币借方金额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只留rawFields，不重复换算/入账。</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 业务单元编码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只留核对；法人由核算账簿映射确定。</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15 单价</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只留核对；本版法人三表不由单价×数量重算账务金额。</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16 借方数量</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保留数量核对，不成为额外借方金额。</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17 贷方数量</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保留数量核对，不参与本版报表财务金额。</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18 原币贷方金额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星号；Y格式原币文本；可空0</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originalCredit及rawFields；交易币核对，不重复入账。</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19 本币贷方金额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星号；Y；列必有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credit；唯一入法人账的贷方口径。</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20 集团本币贷方金额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仅rawFields保留，不再生成法人贷方。</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21 全局本币贷方金额</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仅保核对，不以全局本币冲掉法人本币差异。</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22 结算号</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非星号；S(120)；被选作ref时列必有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按importOptions.referenceColumn选取为reference；须两边共同号，不能猜。</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23 结算日期</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非星号；原文本/日期值；可空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rawFields保留；不覆盖制单日期决定的会计期间。</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24 核销号</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非星号；S(120)；被选作ref时列必有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可替代结算号作为共同reference；二者不自动混合拼接。</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25 业务日期</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非星号；原文本/日期值；可空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保留核对，不作为当前默认会计期间来源。</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26 银行账户</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保留核对；不据此推断实际现金流类别或发起支付。</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27 票据类型</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保留核对；本版无票据生命周期。</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28 结算方式</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保留核对；不替代现金科目行分类。</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29 报税国家</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保留税务核对；没有按国家自动申报。</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30 收货国</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保留核对；不自动变更法人本位币。</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31 交易代码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保留核对；不自动当共同交易关联号使用。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32 客户VAT注册码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保留核对；不建立自动VAT计算或注册校验。</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33 供应商VAT注册码</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保留核对；不替代内部客商映射。</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34 税码</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保留核对；未映射为税务计算规则。</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35 VAT方向</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保留核对，不改变本币借贷方向。</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36 计税金额</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保留核对；不作为额外收入/成本/税费入账。</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37 组织本币汇率</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只核对；法人本币借贷已是入账额，不再次乘此率。</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38 集团本币汇率</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只核对；EPM集团报表按独立分类汇率版本折算。</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39 全局本币汇率</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非星号；原文本；可空</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只核对；不覆盖EPM期初/期末/平均/历史分类汇率。</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40 辅助核算1</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41 辅助核算2</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42 辅助核算3</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43 辅助核算4</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44 辅助核算5</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45 辅助核算6</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46 辅助核算7</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tcPr>
          <w:p>
            <w:pPr>
              <w:spacing w:before="30" w:after="30" w:line="252" w:lineRule="auto"/>
            </w:pPr>
            <w:r>
              <w:rPr>
                <w:rFonts w:ascii="Arial" w:hAnsi="Arial" w:eastAsia="宋体"/>
                <w:b w:val="0"/>
                <w:i w:val="0"/>
                <w:sz w:val="19"/>
              </w:rPr>
              <w:t>47 辅助核算8</w:t>
            </w:r>
          </w:p>
        </w:tc>
        <w:tc>
          <w:tcPr>
            <w:tcW w:type="dxa" w:w="2527"/>
            <w:vAlign w:val="top"/>
            <w:tcMar>
              <w:top w:w="65" w:type="dxa"/>
              <w:bottom w:w="65" w:type="dxa"/>
              <w:left w:w="65" w:type="dxa"/>
              <w:right w:w="65" w:type="dxa"/>
            </w:tcMar>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r>
        <w:trPr>
          <w:cantSplit/>
        </w:trPr>
        <w:tc>
          <w:tcPr>
            <w:tcW w:type="dxa" w:w="17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48 辅助核算9</w:t>
            </w:r>
          </w:p>
        </w:tc>
        <w:tc>
          <w:tcPr>
            <w:tcW w:type="dxa" w:w="252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非星号；原辅助文本；选中列必有</w:t>
            </w:r>
          </w:p>
        </w:tc>
        <w:tc>
          <w:tcPr>
            <w:tcW w:type="dxa" w:w="5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全部保留rawFields；只有被auxiliaryColumns选中者参与客商映射。按列+code或通用code解析，未知/冲突不默认外部。</w:t>
            </w:r>
          </w:p>
        </w:tc>
      </w:tr>
    </w:tbl>
    <w:p>
      <w:pPr>
        <w:spacing w:after="40"/>
      </w:pPr>
    </w:p>
    <w:p>
      <w:r>
        <w:rPr>
          <w:rFonts w:ascii="Arial" w:hAnsi="Arial" w:eastAsia="宋体"/>
          <w:b w:val="0"/>
          <w:i w:val="0"/>
        </w:rPr>
        <w:t>NC本币借贷按bookMappings确定的记账本位币生成法人账。原币金额、交易币、组织/集团/全局汇率及集团/全局金额全部保留核对，不能再次入账。完整法人三表再进入美元小合并或人民币集团分类折算。这条口径必须在页面、字段映射、导入说明、试算余额和验收中一致。</w:t>
      </w:r>
    </w:p>
    <w:p>
      <w:pPr>
        <w:pStyle w:val="Heading2"/>
      </w:pPr>
      <w:bookmarkStart w:id="97" w:name="epm_97"/>
      <w:r>
        <w:rPr>
          <w:rFonts w:ascii="Arial" w:hAnsi="Arial" w:eastAsia="宋体"/>
          <w:b w:val="0"/>
          <w:i w:val="0"/>
        </w:rPr>
        <w:t>A.16 法人凭证三表、试算余额和报表项目追溯</w:t>
      </w:r>
      <w:bookmarkEnd w:id="97"/>
    </w:p>
    <w:p>
      <w:pPr>
        <w:pStyle w:val="Heading3"/>
      </w:pPr>
      <w:bookmarkStart w:id="98" w:name="epm_98"/>
      <w:r>
        <w:rPr>
          <w:rFonts w:ascii="Arial" w:hAnsi="Arial" w:eastAsia="宋体"/>
          <w:b w:val="0"/>
          <w:i w:val="0"/>
        </w:rPr>
        <w:t>A.16.1 法人结果erp.reports[法人:月]</w:t>
      </w:r>
      <w:bookmarkEnd w:id="98"/>
    </w:p>
    <w:tbl>
      <w:tblPr>
        <w:tblStyle w:val="TableGrid"/>
        <w:tblW w:type="auto" w:w="0"/>
        <w:jc w:val="center"/>
        <w:tblLayout w:type="fixed"/>
        <w:tblLook w:firstColumn="1" w:firstRow="1" w:lastColumn="0" w:lastRow="0" w:noHBand="0" w:noVBand="1" w:val="04A0"/>
      </w:tblPr>
      <w:tblGrid>
        <w:gridCol w:w="2084"/>
        <w:gridCol w:w="1700"/>
        <w:gridCol w:w="2186"/>
        <w:gridCol w:w="3436"/>
      </w:tblGrid>
      <w:tr>
        <w:trPr>
          <w:cantSplit/>
          <w:tblHeader w:val="true"/>
        </w:trPr>
        <w:tc>
          <w:tcPr>
            <w:tcW w:type="dxa" w:w="20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7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21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生成依据</w:t>
            </w:r>
          </w:p>
        </w:tc>
        <w:tc>
          <w:tcPr>
            <w:tcW w:type="dxa" w:w="34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约束和用途</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entityId/month/currency</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法人、累计期、本位币</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当前生成目标</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只汇总该法人截至当月有效凭证及2026年年初。</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sourceVersion</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新生成三表源版本，integer</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旧当期source.version+1</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与源数据版本一致，不直接使用erp.version冒充。</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完整规范三表，object</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年初余额+有效业务凭证</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继承A.4六区结构与万元6位精度，仍须完整四勾稽及源模型校验。</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statement</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三表页面投影，object</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由source生成</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profit、balance、cash及actual，金额为本位币万元。</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trialBalance[]</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科目试算，array</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原账元两位明细汇总</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见A.16.3；与管理报表排除的结转口径一致，不把排除结转的试算冒称NC原始余额完整复刻。</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报表归因，array</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期初/凭证按field和月份归集</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每项area、field、month、amountYuan、amount、voucherRefs。</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checks[]</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完整三表校验，array</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财务内核生成</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四勾稽通过才生成；不从现金差额倒挤现金流。</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ledgerFingerprint</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输入账务指纹，SHA256</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有效映射、年初余额、截至当期凭证规范行</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正式合并核对其与当前输入相符。</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法人生成结果当前有效，boolean</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生成true，相关账务变更false</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不能靠旧已生成标签绕过重生。</w:t>
            </w:r>
          </w:p>
        </w:tc>
      </w:tr>
      <w:tr>
        <w:trPr>
          <w:cantSplit/>
        </w:trPr>
        <w:tc>
          <w:tcPr>
            <w:tcW w:type="dxa" w:w="20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generatedAt</w:t>
            </w:r>
          </w:p>
        </w:tc>
        <w:tc>
          <w:tcPr>
            <w:tcW w:type="dxa" w:w="17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生成时间，ISO</w:t>
            </w:r>
          </w:p>
        </w:tc>
        <w:tc>
          <w:tcPr>
            <w:tcW w:type="dxa" w:w="21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服务端生成</w:t>
            </w:r>
          </w:p>
        </w:tc>
        <w:tc>
          <w:tcPr>
            <w:tcW w:type="dxa" w:w="34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与凭证记账日期和结果签核时间区分。</w:t>
            </w:r>
          </w:p>
        </w:tc>
      </w:tr>
      <w:tr>
        <w:trPr>
          <w:cantSplit/>
        </w:trPr>
        <w:tc>
          <w:tcPr>
            <w:tcW w:type="dxa" w:w="2084"/>
            <w:vAlign w:val="top"/>
            <w:tcMar>
              <w:top w:w="65" w:type="dxa"/>
              <w:bottom w:w="65" w:type="dxa"/>
              <w:left w:w="65" w:type="dxa"/>
              <w:right w:w="65" w:type="dxa"/>
            </w:tcMar>
          </w:tcPr>
          <w:p>
            <w:pPr>
              <w:spacing w:before="30" w:after="30" w:line="252" w:lineRule="auto"/>
            </w:pPr>
            <w:r>
              <w:rPr>
                <w:rFonts w:ascii="Arial" w:hAnsi="Arial" w:eastAsia="宋体"/>
                <w:b w:val="0"/>
                <w:i w:val="0"/>
                <w:sz w:val="18"/>
              </w:rPr>
              <w:t>excludedClosingVouchers[]</w:t>
            </w:r>
          </w:p>
        </w:tc>
        <w:tc>
          <w:tcPr>
            <w:tcW w:type="dxa" w:w="1700"/>
            <w:vAlign w:val="top"/>
            <w:tcMar>
              <w:top w:w="65" w:type="dxa"/>
              <w:bottom w:w="65" w:type="dxa"/>
              <w:left w:w="65" w:type="dxa"/>
              <w:right w:w="65" w:type="dxa"/>
            </w:tcMar>
          </w:tcPr>
          <w:p>
            <w:pPr>
              <w:spacing w:before="30" w:after="30" w:line="252" w:lineRule="auto"/>
            </w:pPr>
            <w:r>
              <w:rPr>
                <w:rFonts w:ascii="Arial" w:hAnsi="Arial" w:eastAsia="宋体"/>
                <w:b w:val="0"/>
                <w:i w:val="0"/>
                <w:sz w:val="18"/>
              </w:rPr>
              <w:t>排除的损益结转凭证证据，array</w:t>
            </w:r>
          </w:p>
        </w:tc>
        <w:tc>
          <w:tcPr>
            <w:tcW w:type="dxa" w:w="2186"/>
            <w:vAlign w:val="top"/>
            <w:tcMar>
              <w:top w:w="65" w:type="dxa"/>
              <w:bottom w:w="65" w:type="dxa"/>
              <w:left w:w="65" w:type="dxa"/>
              <w:right w:w="65" w:type="dxa"/>
            </w:tcMar>
          </w:tcPr>
          <w:p>
            <w:pPr>
              <w:spacing w:before="30" w:after="30" w:line="252" w:lineRule="auto"/>
            </w:pPr>
            <w:r>
              <w:rPr>
                <w:rFonts w:ascii="Arial" w:hAnsi="Arial" w:eastAsia="宋体"/>
                <w:b w:val="0"/>
                <w:i w:val="0"/>
                <w:sz w:val="18"/>
              </w:rPr>
              <w:t>整张closing凭证仅含PL及retained且平衡</w:t>
            </w:r>
          </w:p>
        </w:tc>
        <w:tc>
          <w:tcPr>
            <w:tcW w:type="dxa" w:w="3436"/>
            <w:vAlign w:val="top"/>
            <w:tcMar>
              <w:top w:w="65" w:type="dxa"/>
              <w:bottom w:w="65" w:type="dxa"/>
              <w:left w:w="65" w:type="dxa"/>
              <w:right w:w="65" w:type="dxa"/>
            </w:tcMar>
          </w:tcPr>
          <w:p>
            <w:pPr>
              <w:spacing w:before="30" w:after="30" w:line="252" w:lineRule="auto"/>
            </w:pPr>
            <w:r>
              <w:rPr>
                <w:rFonts w:ascii="Arial" w:hAnsi="Arial" w:eastAsia="宋体"/>
                <w:b w:val="0"/>
                <w:i w:val="0"/>
                <w:sz w:val="18"/>
              </w:rPr>
              <w:t>保留voucherKey、reason、voucherRefs；含资产/负债/资本的错误结转拒绝，不能静默排除。</w:t>
            </w:r>
          </w:p>
        </w:tc>
      </w:tr>
    </w:tbl>
    <w:p>
      <w:pPr>
        <w:spacing w:after="40"/>
      </w:pPr>
    </w:p>
    <w:p>
      <w:r>
        <w:rPr>
          <w:rFonts w:ascii="Arial" w:hAnsi="Arial" w:eastAsia="宋体"/>
          <w:b w:val="0"/>
          <w:i w:val="0"/>
        </w:rPr>
        <w:t>生成过程：年初科目余额按映射进入BS；期间凭证按field方向形成本月及累计PL/BS变化；本期净利润只结转一次至期末retained；现金类凭证按明确分类或无歧义规则形成现金流；三表勾稽。期初PL非零、资本变化、业务凭证造成分红/额外留存变动，本版明确拒绝。</w:t>
      </w:r>
    </w:p>
    <w:p>
      <w:pPr>
        <w:pStyle w:val="Heading3"/>
      </w:pPr>
      <w:bookmarkStart w:id="99" w:name="epm_99"/>
      <w:r>
        <w:rPr>
          <w:rFonts w:ascii="Arial" w:hAnsi="Arial" w:eastAsia="宋体"/>
          <w:b w:val="0"/>
          <w:i w:val="0"/>
        </w:rPr>
        <w:t>A.16.2 ERP源metadata与ledgerSnapshot</w:t>
      </w:r>
      <w:bookmarkEnd w:id="99"/>
    </w:p>
    <w:p>
      <w:r>
        <w:rPr>
          <w:rFonts w:ascii="Arial" w:hAnsi="Arial" w:eastAsia="宋体"/>
          <w:b w:val="0"/>
          <w:i w:val="0"/>
        </w:rPr>
        <w:t>普通source_save和六列手工源不能提交以下保留元数据；这些由ERP专用生成动作在规范源校验之后附加。仅将sourceType改为erp或伪造ledgerFingerprint不能建立真实凭证来源。</w:t>
      </w:r>
    </w:p>
    <w:tbl>
      <w:tblPr>
        <w:tblStyle w:val="TableGrid"/>
        <w:tblW w:type="auto" w:w="0"/>
        <w:jc w:val="center"/>
        <w:tblLayout w:type="fixed"/>
        <w:tblLook w:firstColumn="1" w:firstRow="1" w:lastColumn="0" w:lastRow="0" w:noHBand="0" w:noVBand="1" w:val="04A0"/>
      </w:tblPr>
      <w:tblGrid>
        <w:gridCol w:w="3703"/>
        <w:gridCol w:w="1365"/>
        <w:gridCol w:w="1231"/>
        <w:gridCol w:w="3108"/>
      </w:tblGrid>
      <w:tr>
        <w:trPr>
          <w:cantSplit/>
          <w:tblHeader w:val="true"/>
        </w:trPr>
        <w:tc>
          <w:tcPr>
            <w:tcW w:type="dxa" w:w="370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3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12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保存时点</w:t>
            </w:r>
          </w:p>
        </w:tc>
        <w:tc>
          <w:tcPr>
            <w:tcW w:type="dxa" w:w="31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历史规则</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source.sourceType</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源模式，S</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ERP专用生成为erp</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手工源没有ERP血缘；读取手工源凭证追溯返回no_erp_lineage。</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source.ledgerFingerprint</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原账输入摘要，SHA256</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后续原账、映射、期初、有效批次或补注变化，须重生。</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source.ledgerTrace[]</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逐项目归因，array</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原币元amountYuan与万元amount同时存在；不可将两者直接求和。</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source.ledgerSnapshot.mappings[]</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本法人有效ERP映射副本</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保留该时点version、field、normalSide和来源批次。</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ledgerSnapshot.openings[]</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本法人年初余额副本</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包含客商/ref、元金额和rawFields。</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ledgerSnapshot.vouchers[]</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截至当期原凭证副本</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包括规范值、原金额、rawFields、推导依据和当时annotations。后续补注不回写历史。</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ledgerSnapshot.batches[]</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相关来源批次副本</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来源文件、行数、适配器和有效状态留档。</w:t>
            </w:r>
          </w:p>
        </w:tc>
      </w:tr>
      <w:tr>
        <w:trPr>
          <w:cantSplit/>
        </w:trPr>
        <w:tc>
          <w:tcPr>
            <w:tcW w:type="dxa" w:w="370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ledgerSnapshot.excludedClosingVouchers[]</w:t>
            </w:r>
          </w:p>
        </w:tc>
        <w:tc>
          <w:tcPr>
            <w:tcW w:type="dxa" w:w="13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管理口径排除依据副本</w:t>
            </w:r>
          </w:p>
        </w:tc>
        <w:tc>
          <w:tcPr>
            <w:tcW w:type="dxa" w:w="12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原始凭证仍在vouchers中；不能等同删除。</w:t>
            </w:r>
          </w:p>
        </w:tc>
      </w:tr>
      <w:tr>
        <w:trPr>
          <w:cantSplit/>
        </w:trPr>
        <w:tc>
          <w:tcPr>
            <w:tcW w:type="dxa" w:w="3703"/>
            <w:vAlign w:val="top"/>
            <w:tcMar>
              <w:top w:w="65" w:type="dxa"/>
              <w:bottom w:w="65" w:type="dxa"/>
              <w:left w:w="65" w:type="dxa"/>
              <w:right w:w="65" w:type="dxa"/>
            </w:tcMar>
          </w:tcPr>
          <w:p>
            <w:pPr>
              <w:spacing w:before="30" w:after="30" w:line="252" w:lineRule="auto"/>
            </w:pPr>
            <w:r>
              <w:rPr>
                <w:rFonts w:ascii="Arial" w:hAnsi="Arial" w:eastAsia="宋体"/>
                <w:b w:val="0"/>
                <w:i w:val="0"/>
                <w:sz w:val="18"/>
              </w:rPr>
              <w:t>ledgerSnapshot.adapter/bookMappings/counterpartyMappings/importOptions</w:t>
            </w:r>
          </w:p>
        </w:tc>
        <w:tc>
          <w:tcPr>
            <w:tcW w:type="dxa" w:w="1365"/>
            <w:vAlign w:val="top"/>
            <w:tcMar>
              <w:top w:w="65" w:type="dxa"/>
              <w:bottom w:w="65" w:type="dxa"/>
              <w:left w:w="65" w:type="dxa"/>
              <w:right w:w="65" w:type="dxa"/>
            </w:tcMar>
          </w:tcPr>
          <w:p>
            <w:pPr>
              <w:spacing w:before="30" w:after="30" w:line="252" w:lineRule="auto"/>
            </w:pPr>
            <w:r>
              <w:rPr>
                <w:rFonts w:ascii="Arial" w:hAnsi="Arial" w:eastAsia="宋体"/>
                <w:b w:val="0"/>
                <w:i w:val="0"/>
                <w:sz w:val="18"/>
              </w:rPr>
              <w:t>当时解释规则副本</w:t>
            </w:r>
          </w:p>
        </w:tc>
        <w:tc>
          <w:tcPr>
            <w:tcW w:type="dxa" w:w="1231"/>
            <w:vAlign w:val="top"/>
            <w:tcMar>
              <w:top w:w="65" w:type="dxa"/>
              <w:bottom w:w="65" w:type="dxa"/>
              <w:left w:w="65" w:type="dxa"/>
              <w:right w:w="65" w:type="dxa"/>
            </w:tcMar>
          </w:tcPr>
          <w:p>
            <w:pPr>
              <w:spacing w:before="30" w:after="30" w:line="252" w:lineRule="auto"/>
            </w:pPr>
            <w:r>
              <w:rPr>
                <w:rFonts w:ascii="Arial" w:hAnsi="Arial" w:eastAsia="宋体"/>
                <w:b w:val="0"/>
                <w:i w:val="0"/>
                <w:sz w:val="18"/>
              </w:rPr>
              <w:t>ERP生成当时</w:t>
            </w:r>
          </w:p>
        </w:tc>
        <w:tc>
          <w:tcPr>
            <w:tcW w:type="dxa" w:w="3108"/>
            <w:vAlign w:val="top"/>
            <w:tcMar>
              <w:top w:w="65" w:type="dxa"/>
              <w:bottom w:w="65" w:type="dxa"/>
              <w:left w:w="65" w:type="dxa"/>
              <w:right w:w="65" w:type="dxa"/>
            </w:tcMar>
          </w:tcPr>
          <w:p>
            <w:pPr>
              <w:spacing w:before="30" w:after="30" w:line="252" w:lineRule="auto"/>
            </w:pPr>
            <w:r>
              <w:rPr>
                <w:rFonts w:ascii="Arial" w:hAnsi="Arial" w:eastAsia="宋体"/>
                <w:b w:val="0"/>
                <w:i w:val="0"/>
                <w:sz w:val="18"/>
              </w:rPr>
              <w:t>保证历史显示使用原解释，不套最新适配规则猜过去。</w:t>
            </w:r>
          </w:p>
        </w:tc>
      </w:tr>
    </w:tbl>
    <w:p>
      <w:pPr>
        <w:spacing w:after="40"/>
      </w:pPr>
    </w:p>
    <w:p>
      <w:r>
        <w:rPr>
          <w:rFonts w:ascii="Arial" w:hAnsi="Arial" w:eastAsia="宋体"/>
          <w:b w:val="0"/>
          <w:i w:val="0"/>
        </w:rPr>
        <w:t>合并结果sourceSnapshots内保存完整ERP源及ledgerSnapshot。因此“历史集团结果→原法人报表→归因凭证→原NC字段”必须沿该历史副本读取；若打开的是当前源则basis明确为当前法人源。</w:t>
      </w:r>
    </w:p>
    <w:p>
      <w:pPr>
        <w:pStyle w:val="Heading3"/>
      </w:pPr>
      <w:bookmarkStart w:id="100" w:name="epm_100"/>
      <w:r>
        <w:rPr>
          <w:rFonts w:ascii="Arial" w:hAnsi="Arial" w:eastAsia="宋体"/>
          <w:b w:val="0"/>
          <w:i w:val="0"/>
        </w:rPr>
        <w:t>A.16.3 试算余额trialBalance[]字段</w:t>
      </w:r>
      <w:bookmarkEnd w:id="100"/>
    </w:p>
    <w:tbl>
      <w:tblPr>
        <w:tblStyle w:val="TableGrid"/>
        <w:tblW w:type="auto" w:w="0"/>
        <w:jc w:val="center"/>
        <w:tblLayout w:type="fixed"/>
        <w:tblLook w:firstColumn="1" w:firstRow="1" w:lastColumn="0" w:lastRow="0" w:noHBand="0" w:noVBand="1" w:val="04A0"/>
      </w:tblPr>
      <w:tblGrid>
        <w:gridCol w:w="2702"/>
        <w:gridCol w:w="1120"/>
        <w:gridCol w:w="2571"/>
        <w:gridCol w:w="3013"/>
      </w:tblGrid>
      <w:tr>
        <w:trPr>
          <w:cantSplit/>
          <w:tblHeader w:val="true"/>
        </w:trPr>
        <w:tc>
          <w:tcPr>
            <w:tcW w:type="dxa" w:w="27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1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类型/单位</w:t>
            </w:r>
          </w:p>
        </w:tc>
        <w:tc>
          <w:tcPr>
            <w:tcW w:type="dxa" w:w="257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来源公式</w:t>
            </w:r>
          </w:p>
        </w:tc>
        <w:tc>
          <w:tcPr>
            <w:tcW w:type="dxa" w:w="30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显示约束</w:t>
            </w:r>
          </w:p>
        </w:tc>
      </w:tr>
      <w:tr>
        <w:trPr>
          <w:cantSplit/>
        </w:trPr>
        <w:tc>
          <w:tcPr>
            <w:tcW w:type="dxa" w:w="2702"/>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accountCode/accountName</w:t>
            </w:r>
          </w:p>
        </w:tc>
        <w:tc>
          <w:tcPr>
            <w:tcW w:type="dxa" w:w="112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571"/>
            <w:vAlign w:val="top"/>
            <w:tcMar>
              <w:top w:w="65" w:type="dxa"/>
              <w:bottom w:w="65" w:type="dxa"/>
              <w:left w:w="65" w:type="dxa"/>
              <w:right w:w="65" w:type="dxa"/>
            </w:tcMar>
          </w:tcPr>
          <w:p>
            <w:pPr>
              <w:spacing w:before="30" w:after="30" w:line="252" w:lineRule="auto"/>
            </w:pPr>
            <w:r>
              <w:rPr>
                <w:rFonts w:ascii="Arial" w:hAnsi="Arial" w:eastAsia="宋体"/>
                <w:b w:val="0"/>
                <w:i w:val="0"/>
                <w:sz w:val="18"/>
              </w:rPr>
              <w:t>本法人有效mapping</w:t>
            </w:r>
          </w:p>
        </w:tc>
        <w:tc>
          <w:tcPr>
            <w:tcW w:type="dxa" w:w="3013"/>
            <w:vAlign w:val="top"/>
            <w:tcMar>
              <w:top w:w="65" w:type="dxa"/>
              <w:bottom w:w="65" w:type="dxa"/>
              <w:left w:w="65" w:type="dxa"/>
              <w:right w:w="65" w:type="dxa"/>
            </w:tcMar>
          </w:tcPr>
          <w:p>
            <w:pPr>
              <w:spacing w:before="30" w:after="30" w:line="252" w:lineRule="auto"/>
            </w:pPr>
            <w:r>
              <w:rPr>
                <w:rFonts w:ascii="Arial" w:hAnsi="Arial" w:eastAsia="宋体"/>
                <w:b w:val="0"/>
                <w:i w:val="0"/>
                <w:sz w:val="18"/>
              </w:rPr>
              <w:t>与报表项目field共同显示。</w:t>
            </w:r>
          </w:p>
        </w:tc>
      </w:tr>
      <w:tr>
        <w:trPr>
          <w:cantSplit/>
        </w:trPr>
        <w:tc>
          <w:tcPr>
            <w:tcW w:type="dxa" w:w="2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field/normalSide</w:t>
            </w:r>
          </w:p>
        </w:tc>
        <w:tc>
          <w:tcPr>
            <w:tcW w:type="dxa" w:w="11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2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mapping.field/normalSide</w:t>
            </w:r>
          </w:p>
        </w:tc>
        <w:tc>
          <w:tcPr>
            <w:tcW w:type="dxa" w:w="3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field为集团报表键；normalSide为科目方向说明。</w:t>
            </w:r>
          </w:p>
        </w:tc>
      </w:tr>
      <w:tr>
        <w:trPr>
          <w:cantSplit/>
        </w:trPr>
        <w:tc>
          <w:tcPr>
            <w:tcW w:type="dxa" w:w="2702"/>
            <w:vAlign w:val="top"/>
            <w:tcMar>
              <w:top w:w="65" w:type="dxa"/>
              <w:bottom w:w="65" w:type="dxa"/>
              <w:left w:w="65" w:type="dxa"/>
              <w:right w:w="65" w:type="dxa"/>
            </w:tcMar>
          </w:tcPr>
          <w:p>
            <w:pPr>
              <w:spacing w:before="30" w:after="30" w:line="252" w:lineRule="auto"/>
            </w:pPr>
            <w:r>
              <w:rPr>
                <w:rFonts w:ascii="Arial" w:hAnsi="Arial" w:eastAsia="宋体"/>
                <w:b w:val="0"/>
                <w:i w:val="0"/>
                <w:sz w:val="18"/>
              </w:rPr>
              <w:t>currency/unit</w:t>
            </w:r>
          </w:p>
        </w:tc>
        <w:tc>
          <w:tcPr>
            <w:tcW w:type="dxa" w:w="1120"/>
            <w:vAlign w:val="top"/>
            <w:tcMar>
              <w:top w:w="65" w:type="dxa"/>
              <w:bottom w:w="65" w:type="dxa"/>
              <w:left w:w="65" w:type="dxa"/>
              <w:right w:w="65" w:type="dxa"/>
            </w:tcMar>
          </w:tcPr>
          <w:p>
            <w:pPr>
              <w:spacing w:before="30" w:after="30" w:line="252" w:lineRule="auto"/>
            </w:pPr>
            <w:r>
              <w:rPr>
                <w:rFonts w:ascii="Arial" w:hAnsi="Arial" w:eastAsia="宋体"/>
                <w:b w:val="0"/>
                <w:i w:val="0"/>
                <w:sz w:val="18"/>
              </w:rPr>
              <w:t>enum/S</w:t>
            </w:r>
          </w:p>
        </w:tc>
        <w:tc>
          <w:tcPr>
            <w:tcW w:type="dxa" w:w="2571"/>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法人本位币；unit=元</w:t>
            </w:r>
          </w:p>
        </w:tc>
        <w:tc>
          <w:tcPr>
            <w:tcW w:type="dxa" w:w="301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不能套万元格式把原金额缩小或放大。</w:t>
            </w:r>
          </w:p>
        </w:tc>
      </w:tr>
      <w:tr>
        <w:trPr>
          <w:cantSplit/>
        </w:trPr>
        <w:tc>
          <w:tcPr>
            <w:tcW w:type="dxa" w:w="2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openingDebit/openingCredit</w:t>
            </w:r>
          </w:p>
        </w:tc>
        <w:tc>
          <w:tcPr>
            <w:tcW w:type="dxa" w:w="11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w:t>
            </w:r>
          </w:p>
        </w:tc>
        <w:tc>
          <w:tcPr>
            <w:tcW w:type="dxa" w:w="2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按期初借贷净额正负分别列借/贷</w:t>
            </w:r>
          </w:p>
        </w:tc>
        <w:tc>
          <w:tcPr>
            <w:tcW w:type="dxa" w:w="3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原期初可有负借/负贷，展示为净余额方向。</w:t>
            </w:r>
          </w:p>
        </w:tc>
      </w:tr>
      <w:tr>
        <w:trPr>
          <w:cantSplit/>
        </w:trPr>
        <w:tc>
          <w:tcPr>
            <w:tcW w:type="dxa" w:w="2702"/>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120"/>
            <w:vAlign w:val="top"/>
            <w:tcMar>
              <w:top w:w="65" w:type="dxa"/>
              <w:bottom w:w="65" w:type="dxa"/>
              <w:left w:w="65" w:type="dxa"/>
              <w:right w:w="65" w:type="dxa"/>
            </w:tcMar>
          </w:tcPr>
          <w:p>
            <w:pPr>
              <w:spacing w:before="30" w:after="30" w:line="252" w:lineRule="auto"/>
            </w:pPr>
            <w:r>
              <w:rPr>
                <w:rFonts w:ascii="Arial" w:hAnsi="Arial" w:eastAsia="宋体"/>
                <w:b w:val="0"/>
                <w:i w:val="0"/>
                <w:sz w:val="18"/>
              </w:rPr>
              <w:t>Y</w:t>
            </w:r>
          </w:p>
        </w:tc>
        <w:tc>
          <w:tcPr>
            <w:tcW w:type="dxa" w:w="2571"/>
            <w:vAlign w:val="top"/>
            <w:tcMar>
              <w:top w:w="65" w:type="dxa"/>
              <w:bottom w:w="65" w:type="dxa"/>
              <w:left w:w="65" w:type="dxa"/>
              <w:right w:w="65" w:type="dxa"/>
            </w:tcMar>
          </w:tcPr>
          <w:p>
            <w:pPr>
              <w:spacing w:before="30" w:after="30" w:line="252" w:lineRule="auto"/>
            </w:pPr>
            <w:r>
              <w:rPr>
                <w:rFonts w:ascii="Arial" w:hAnsi="Arial" w:eastAsia="宋体"/>
                <w:b w:val="0"/>
                <w:i w:val="0"/>
                <w:sz w:val="18"/>
              </w:rPr>
              <w:t>有效业务凭证当期累计借/贷发生额</w:t>
            </w:r>
          </w:p>
        </w:tc>
        <w:tc>
          <w:tcPr>
            <w:tcW w:type="dxa" w:w="3013"/>
            <w:vAlign w:val="top"/>
            <w:tcMar>
              <w:top w:w="65" w:type="dxa"/>
              <w:bottom w:w="65" w:type="dxa"/>
              <w:left w:w="65" w:type="dxa"/>
              <w:right w:w="65" w:type="dxa"/>
            </w:tcMar>
          </w:tcPr>
          <w:p>
            <w:pPr>
              <w:spacing w:before="30" w:after="30" w:line="252" w:lineRule="auto"/>
            </w:pPr>
            <w:r>
              <w:rPr>
                <w:rFonts w:ascii="Arial" w:hAnsi="Arial" w:eastAsia="宋体"/>
                <w:b w:val="0"/>
                <w:i w:val="0"/>
                <w:sz w:val="18"/>
              </w:rPr>
              <w:t>损益结转排除有独立证据，不隐藏其原凭证。</w:t>
            </w:r>
          </w:p>
        </w:tc>
      </w:tr>
      <w:tr>
        <w:trPr>
          <w:cantSplit/>
        </w:trPr>
        <w:tc>
          <w:tcPr>
            <w:tcW w:type="dxa" w:w="2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closingDebit/closingCredit</w:t>
            </w:r>
          </w:p>
        </w:tc>
        <w:tc>
          <w:tcPr>
            <w:tcW w:type="dxa" w:w="11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w:t>
            </w:r>
          </w:p>
        </w:tc>
        <w:tc>
          <w:tcPr>
            <w:tcW w:type="dxa" w:w="257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期初净额＋累计借−累计贷，再分方向</w:t>
            </w:r>
          </w:p>
        </w:tc>
        <w:tc>
          <w:tcPr>
            <w:tcW w:type="dxa" w:w="30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试算净额与报表方向不同，不能把credit正数直接当资产增加。</w:t>
            </w:r>
          </w:p>
        </w:tc>
      </w:tr>
    </w:tbl>
    <w:p>
      <w:pPr>
        <w:spacing w:after="40"/>
      </w:pPr>
    </w:p>
    <w:p>
      <w:pPr>
        <w:pStyle w:val="Heading3"/>
      </w:pPr>
      <w:bookmarkStart w:id="101" w:name="epm_101"/>
      <w:r>
        <w:rPr>
          <w:rFonts w:ascii="Arial" w:hAnsi="Arial" w:eastAsia="宋体"/>
          <w:b w:val="0"/>
          <w:i w:val="0"/>
        </w:rPr>
        <w:t>A.16.4 归因trace与原凭证引用voucherRefs</w:t>
      </w:r>
      <w:bookmarkEnd w:id="101"/>
    </w:p>
    <w:tbl>
      <w:tblPr>
        <w:tblStyle w:val="TableGrid"/>
        <w:tblW w:type="auto" w:w="0"/>
        <w:jc w:val="center"/>
        <w:tblLayout w:type="fixed"/>
        <w:tblLook w:firstColumn="1" w:firstRow="1" w:lastColumn="0" w:lastRow="0" w:noHBand="0" w:noVBand="1" w:val="04A0"/>
      </w:tblPr>
      <w:tblGrid>
        <w:gridCol w:w="3243"/>
        <w:gridCol w:w="1078"/>
        <w:gridCol w:w="3118"/>
        <w:gridCol w:w="1966"/>
      </w:tblGrid>
      <w:tr>
        <w:trPr>
          <w:cantSplit/>
          <w:tblHeader w:val="true"/>
        </w:trPr>
        <w:tc>
          <w:tcPr>
            <w:tcW w:type="dxa" w:w="32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0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类型/单位</w:t>
            </w:r>
          </w:p>
        </w:tc>
        <w:tc>
          <w:tcPr>
            <w:tcW w:type="dxa" w:w="31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19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读取边界</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trace.area</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enum</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opening、closing、profit、cashflow、monthlyProfit、monthlyCashflow</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数据区不是凭证类型。</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trace.field</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BS/PL/CF技术键</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金额归因到该具体字段，不返回所有凭证冒充该字段来源。</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trace.month</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月份字符串/null</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月度区为具体月，累计区null</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当前接口按所选累计期间列其月度归因。</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trace.amountYuan</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Y</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该归因行报表数×10000元</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用于原账对照，不能和amount混加。</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trace.amount</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M</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报表本位币万元6位</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与source对应区/字段一致。</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voucherRefs[].sourceType</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voucher或opening</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期初引用显示2026期初余额，不伪造业务凭证日期。</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voucherRefs[].id/batchId/sourceRow</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S/S/integer</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标准行、来源批次与解析行序</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联合凭证键确保定位；历史只查ledgerSnapshot。</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voucherRefs[].entityId/date/bookCode/category/voucherId/rawVoucherNo/lineNo</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ID/日期/文本/序号</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实际凭证身份</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同号跨账簿、月份、类别不能混成一张。</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voucherRefs[].accountCode/currency/transactionCurrency/debit/credit</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科目、币种及Y</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原规范化入账行</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只选归因行；同张其他行另列。</w:t>
            </w:r>
          </w:p>
        </w:tc>
      </w:tr>
      <w:tr>
        <w:trPr>
          <w:cantSplit/>
        </w:trPr>
        <w:tc>
          <w:tcPr>
            <w:tcW w:type="dxa" w:w="32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voucherRefs[].summary/counterpartyId/counterpartyCode/counterpartyStatus/reference</w:t>
            </w:r>
          </w:p>
        </w:tc>
        <w:tc>
          <w:tcPr>
            <w:tcW w:type="dxa" w:w="1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业务上下文</w:t>
            </w:r>
          </w:p>
        </w:tc>
        <w:tc>
          <w:tcPr>
            <w:tcW w:type="dxa" w:w="31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明示或安全推导的规范值</w:t>
            </w:r>
          </w:p>
        </w:tc>
        <w:tc>
          <w:tcPr>
            <w:tcW w:type="dxa" w:w="19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承接与补注有依据；不能用摘要猜内部对方。</w:t>
            </w:r>
          </w:p>
        </w:tc>
      </w:tr>
      <w:tr>
        <w:trPr>
          <w:cantSplit/>
        </w:trPr>
        <w:tc>
          <w:tcPr>
            <w:tcW w:type="dxa" w:w="3243"/>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voucherRefs[].classificationBasis</w:t>
            </w:r>
          </w:p>
        </w:tc>
        <w:tc>
          <w:tcPr>
            <w:tcW w:type="dxa" w:w="1078"/>
            <w:vAlign w:val="top"/>
            <w:tcMar>
              <w:top w:w="65" w:type="dxa"/>
              <w:bottom w:w="65" w:type="dxa"/>
              <w:left w:w="65" w:type="dxa"/>
              <w:right w:w="65" w:type="dxa"/>
            </w:tcMar>
          </w:tcPr>
          <w:p>
            <w:pPr>
              <w:spacing w:before="30" w:after="30" w:line="252" w:lineRule="auto"/>
            </w:pPr>
            <w:r>
              <w:rPr>
                <w:rFonts w:ascii="Arial" w:hAnsi="Arial" w:eastAsia="宋体"/>
                <w:b w:val="0"/>
                <w:i w:val="0"/>
                <w:sz w:val="18"/>
              </w:rPr>
              <w:t>S，现金流引用可有</w:t>
            </w:r>
          </w:p>
        </w:tc>
        <w:tc>
          <w:tcPr>
            <w:tcW w:type="dxa" w:w="3118"/>
            <w:vAlign w:val="top"/>
            <w:tcMar>
              <w:top w:w="65" w:type="dxa"/>
              <w:bottom w:w="65" w:type="dxa"/>
              <w:left w:w="65" w:type="dxa"/>
              <w:right w:w="65" w:type="dxa"/>
            </w:tcMar>
          </w:tcPr>
          <w:p>
            <w:pPr>
              <w:spacing w:before="30" w:after="30" w:line="252" w:lineRule="auto"/>
            </w:pPr>
            <w:r>
              <w:rPr>
                <w:rFonts w:ascii="Arial" w:hAnsi="Arial" w:eastAsia="宋体"/>
                <w:b w:val="0"/>
                <w:i w:val="0"/>
                <w:sz w:val="18"/>
              </w:rPr>
              <w:t>现金分录明确分类或同凭证对方无歧义分类</w:t>
            </w:r>
          </w:p>
        </w:tc>
        <w:tc>
          <w:tcPr>
            <w:tcW w:type="dxa" w:w="1966"/>
            <w:vAlign w:val="top"/>
            <w:tcMar>
              <w:top w:w="65" w:type="dxa"/>
              <w:bottom w:w="65" w:type="dxa"/>
              <w:left w:w="65" w:type="dxa"/>
              <w:right w:w="65" w:type="dxa"/>
            </w:tcMar>
          </w:tcPr>
          <w:p>
            <w:pPr>
              <w:spacing w:before="30" w:after="30" w:line="252" w:lineRule="auto"/>
            </w:pPr>
            <w:r>
              <w:rPr>
                <w:rFonts w:ascii="Arial" w:hAnsi="Arial" w:eastAsia="宋体"/>
                <w:b w:val="0"/>
                <w:i w:val="0"/>
                <w:sz w:val="18"/>
              </w:rPr>
              <w:t>多种对方活动未明确时拒绝生成，不能倒挤。</w:t>
            </w:r>
          </w:p>
        </w:tc>
      </w:tr>
    </w:tbl>
    <w:p>
      <w:pPr>
        <w:spacing w:after="40"/>
      </w:pPr>
    </w:p>
    <w:p>
      <w:pPr>
        <w:pStyle w:val="Heading3"/>
      </w:pPr>
      <w:bookmarkStart w:id="102" w:name="epm_102"/>
      <w:r>
        <w:rPr>
          <w:rFonts w:ascii="Arial" w:hAnsi="Arial" w:eastAsia="宋体"/>
          <w:b w:val="0"/>
          <w:i w:val="0"/>
        </w:rPr>
        <w:t>A.16.5 现金分类规则</w:t>
      </w:r>
      <w:bookmarkEnd w:id="102"/>
    </w:p>
    <w:p>
      <w:r>
        <w:rPr>
          <w:rFonts w:ascii="Arial" w:hAnsi="Arial" w:eastAsia="宋体"/>
          <w:b w:val="0"/>
          <w:i w:val="0"/>
        </w:rPr>
        <w:t>显式cashflow只能落在映射field=cash的原行。没有显式分类时，只有同张对方科目全部对应单一活动才推定：investment/fixed/intangible为投资；capital/shortloan/longloan为筹资；其他当前支持的对方字段为经营。经营、投资、筹资混合时要求对现金行补注，不能按净差随意分配。只有现金科目之间的平衡内部转账不重复计现金流，保留原账但不生成额外经营流量。</w:t>
      </w:r>
    </w:p>
    <w:p>
      <w:pPr>
        <w:pStyle w:val="Heading3"/>
      </w:pPr>
      <w:bookmarkStart w:id="103" w:name="epm_103"/>
      <w:r>
        <w:rPr>
          <w:rFonts w:ascii="Arial" w:hAnsi="Arial" w:eastAsia="宋体"/>
          <w:b w:val="0"/>
          <w:i w:val="0"/>
        </w:rPr>
        <w:t>A.16.6 GET /api/erp/trace精确返回</w:t>
      </w:r>
      <w:bookmarkEnd w:id="103"/>
    </w:p>
    <w:tbl>
      <w:tblPr>
        <w:tblStyle w:val="TableGrid"/>
        <w:tblW w:type="auto" w:w="0"/>
        <w:jc w:val="center"/>
        <w:tblLayout w:type="fixed"/>
        <w:tblLook w:firstColumn="1" w:firstRow="1" w:lastColumn="0" w:lastRow="0" w:noHBand="0" w:noVBand="1" w:val="04A0"/>
      </w:tblPr>
      <w:tblGrid>
        <w:gridCol w:w="2550"/>
        <w:gridCol w:w="1402"/>
        <w:gridCol w:w="2112"/>
        <w:gridCol w:w="3343"/>
      </w:tblGrid>
      <w:tr>
        <w:trPr>
          <w:cantSplit/>
          <w:tblHeader w:val="true"/>
        </w:trPr>
        <w:tc>
          <w:tcPr>
            <w:tcW w:type="dxa" w:w="25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4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类型与条件</w:t>
            </w:r>
          </w:p>
        </w:tc>
        <w:tc>
          <w:tcPr>
            <w:tcW w:type="dxa" w:w="211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334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特别规则</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请求entityId/month</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ID/P，必填</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目标法人及累计期</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需有效会话；法人源必须存在。</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请求area/field</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enum，必填</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点击的数据区和报表项目</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未知项目400 invalid_trace_field。</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请求resultId</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S，可选</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历史合并结果ID</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传入则仅从其sourceSnapshots取源；期间须一致，不回退最新账务。</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返回basis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当前法人源或历史签核输入快照</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让用户知道正在看哪个版本。</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返回sourceVersion/currency/amount/amountUnit</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integer/enum/M/S</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源版本、源币种、派生或基础项目金额；amountUnit=万元</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历史集团币种与法人源币种不同应明确标注，不能拿CNY合并金额冒充USD凭证合计。</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返回contributingFields[]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r>
              <w:rPr>
                <w:rFonts w:ascii="Arial" w:hAnsi="Arial" w:eastAsia="宋体"/>
                <w:b w:val="0"/>
                <w:i w:val="0"/>
                <w:sz w:val="18"/>
              </w:rPr>
              <w:t>&lt;field&gt;</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派生项目由哪些基础字段构成</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gross/operating/pretax/net按PL正负公式；assets/liabilities/equity/balance按BS集合。</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返回traceRows[]</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归因记录array</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所点项目实际关联的ledgerTrace</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不把同法人全部原凭证均算归因。</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返回rows[]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凭证分录array</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该项目实际归因的原分录</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含rawFields可查看原48列。</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返回openingRows[]</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期初行array</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该项目实际归因的期初来源</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与期间凭证分开。</w:t>
            </w:r>
          </w:p>
        </w:tc>
      </w:tr>
      <w:tr>
        <w:trPr>
          <w:cantSplit/>
        </w:trPr>
        <w:tc>
          <w:tcPr>
            <w:tcW w:type="dxa" w:w="25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返回relatedVoucherRows[]</w:t>
            </w:r>
          </w:p>
        </w:tc>
        <w:tc>
          <w:tcPr>
            <w:tcW w:type="dxa" w:w="14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同凭证完整借贷array</w:t>
            </w:r>
          </w:p>
        </w:tc>
        <w:tc>
          <w:tcPr>
            <w:tcW w:type="dxa" w:w="211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为了对账显示已归因分录所在整张凭证</w:t>
            </w:r>
          </w:p>
        </w:tc>
        <w:tc>
          <w:tcPr>
            <w:tcW w:type="dxa" w:w="334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另列的相关行不能冒称全部归属于当前收入/费用项目。</w:t>
            </w:r>
          </w:p>
        </w:tc>
      </w:tr>
      <w:tr>
        <w:trPr>
          <w:cantSplit/>
        </w:trPr>
        <w:tc>
          <w:tcPr>
            <w:tcW w:type="dxa" w:w="2550"/>
            <w:vAlign w:val="top"/>
            <w:tcMar>
              <w:top w:w="65" w:type="dxa"/>
              <w:bottom w:w="65" w:type="dxa"/>
              <w:left w:w="65" w:type="dxa"/>
              <w:right w:w="65" w:type="dxa"/>
            </w:tcMar>
          </w:tcPr>
          <w:p>
            <w:pPr>
              <w:spacing w:before="30" w:after="30" w:line="252" w:lineRule="auto"/>
            </w:pPr>
            <w:r>
              <w:rPr>
                <w:rFonts w:ascii="Arial" w:hAnsi="Arial" w:eastAsia="宋体"/>
                <w:b w:val="0"/>
                <w:i w:val="0"/>
                <w:sz w:val="18"/>
              </w:rPr>
              <w:t>返回ledgerSnapshot/source/trace</w:t>
            </w:r>
          </w:p>
        </w:tc>
        <w:tc>
          <w:tcPr>
            <w:tcW w:type="dxa" w:w="1402"/>
            <w:vAlign w:val="top"/>
            <w:tcMar>
              <w:top w:w="65" w:type="dxa"/>
              <w:bottom w:w="65" w:type="dxa"/>
              <w:left w:w="65" w:type="dxa"/>
              <w:right w:w="65" w:type="dxa"/>
            </w:tcMar>
          </w:tcPr>
          <w:p>
            <w:pPr>
              <w:spacing w:before="30" w:after="30" w:line="252" w:lineRule="auto"/>
            </w:pPr>
            <w:r>
              <w:rPr>
                <w:rFonts w:ascii="Arial" w:hAnsi="Arial" w:eastAsia="宋体"/>
                <w:b w:val="0"/>
                <w:i w:val="0"/>
                <w:sz w:val="18"/>
              </w:rPr>
              <w:t>对象/归因array</w:t>
            </w:r>
          </w:p>
        </w:tc>
        <w:tc>
          <w:tcPr>
            <w:tcW w:type="dxa" w:w="211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当前或历史冻结的完整证据</w:t>
            </w:r>
          </w:p>
        </w:tc>
        <w:tc>
          <w:tcPr>
            <w:tcW w:type="dxa" w:w="3343"/>
            <w:vAlign w:val="top"/>
            <w:tcMar>
              <w:top w:w="65" w:type="dxa"/>
              <w:bottom w:w="65" w:type="dxa"/>
              <w:left w:w="65" w:type="dxa"/>
              <w:right w:w="65" w:type="dxa"/>
            </w:tcMar>
          </w:tcPr>
          <w:p>
            <w:pPr>
              <w:spacing w:before="30" w:after="30" w:line="252" w:lineRule="auto"/>
            </w:pPr>
            <w:r>
              <w:rPr>
                <w:rFonts w:ascii="Arial" w:hAnsi="Arial" w:eastAsia="宋体"/>
                <w:b w:val="0"/>
                <w:i w:val="0"/>
                <w:sz w:val="18"/>
              </w:rPr>
              <w:t>不含启动凭据或会话。</w:t>
            </w:r>
          </w:p>
        </w:tc>
      </w:tr>
    </w:tbl>
    <w:p>
      <w:pPr>
        <w:spacing w:after="40"/>
      </w:pPr>
    </w:p>
    <w:p>
      <w:r>
        <w:rPr>
          <w:rFonts w:ascii="Arial" w:hAnsi="Arial" w:eastAsia="宋体"/>
          <w:b w:val="0"/>
          <w:i w:val="0"/>
        </w:rPr>
        <w:t>支持profit派生gross/operating/pretax/net；BS派生assets/liabilities/equity/balance；现金流派生change/openingcash/cash。源本身未涉及ERP时返回409 no_erp_lineage，不伪装为“零条凭证但已追溯”。</w:t>
      </w:r>
    </w:p>
    <w:p>
      <w:pPr>
        <w:pStyle w:val="Heading2"/>
      </w:pPr>
      <w:bookmarkStart w:id="104" w:name="epm_104"/>
      <w:r>
        <w:rPr>
          <w:rFonts w:ascii="Arial" w:hAnsi="Arial" w:eastAsia="宋体"/>
          <w:b w:val="0"/>
          <w:i w:val="0"/>
        </w:rPr>
        <w:t>A.17 内部交易匹配、金额差异与来源签名</w:t>
      </w:r>
      <w:bookmarkEnd w:id="104"/>
    </w:p>
    <w:p>
      <w:pPr>
        <w:pStyle w:val="Heading3"/>
      </w:pPr>
      <w:bookmarkStart w:id="105" w:name="epm_105"/>
      <w:r>
        <w:rPr>
          <w:rFonts w:ascii="Arial" w:hAnsi="Arial" w:eastAsia="宋体"/>
          <w:b w:val="0"/>
          <w:i w:val="0"/>
        </w:rPr>
        <w:t>A.17.1 当前匹配运行erp.matchingByScope[单元:月]</w:t>
      </w:r>
      <w:bookmarkEnd w:id="105"/>
    </w:p>
    <w:tbl>
      <w:tblPr>
        <w:tblStyle w:val="TableGrid"/>
        <w:tblW w:type="auto" w:w="0"/>
        <w:jc w:val="center"/>
        <w:tblLayout w:type="fixed"/>
        <w:tblLook w:firstColumn="1" w:firstRow="1" w:lastColumn="0" w:lastRow="0" w:noHBand="0" w:noVBand="1" w:val="04A0"/>
      </w:tblPr>
      <w:tblGrid>
        <w:gridCol w:w="1897"/>
        <w:gridCol w:w="1570"/>
        <w:gridCol w:w="2570"/>
        <w:gridCol w:w="3370"/>
      </w:tblGrid>
      <w:tr>
        <w:trPr>
          <w:cantSplit/>
          <w:tblHeader w:val="true"/>
        </w:trPr>
        <w:tc>
          <w:tcPr>
            <w:tcW w:type="dxa" w:w="18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类型/来源</w:t>
            </w:r>
          </w:p>
        </w:tc>
        <w:tc>
          <w:tcPr>
            <w:tcW w:type="dxa" w:w="25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语义</w:t>
            </w:r>
          </w:p>
        </w:tc>
        <w:tc>
          <w:tcPr>
            <w:tcW w:type="dxa" w:w="33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状态约束</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scopeId/month</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ID/P</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本次匹配所属层及累计期</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只返回双方最低共同合并层属于本层的事项；集团不会重返鸿旺层已匹配事项。</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matches[]</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相符内部销售或应收应付</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相符不等于已审批，必须生成草稿及负责人审批。</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differences[]</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array</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缺信息、错期、缺配对、金额或币种差等</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没有“勾选忽略即核清”动作；修来源/补注后重配，不能倒挤补差。</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inputFingerprint</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纯匹配输入摘要，SHA256</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纯模块对匹配输入与范围求摘要</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用于纯函数可重复性，不代替领域的正式输入版本。</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erpInputFingerprint</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范围输入签名，SHA256</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当前unit配置＋各叶子法人ledgerFingerprint</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用于正式生成、批量审批及计算前置一致性；不得用旧匹配审批新凭证。</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leafIds[]</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r>
              <w:rPr>
                <w:rFonts w:ascii="Arial" w:hAnsi="Arial" w:eastAsia="宋体"/>
                <w:b w:val="0"/>
                <w:i w:val="0"/>
                <w:sz w:val="18"/>
              </w:rPr>
              <w:t>&lt;ID&gt;</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运行时叶子法人集合</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范围变化须重新运行，不跨范围复用。</w:t>
            </w:r>
          </w:p>
        </w:tc>
      </w:tr>
      <w:tr>
        <w:trPr>
          <w:cantSplit/>
        </w:trPr>
        <w:tc>
          <w:tcPr>
            <w:tcW w:type="dxa" w:w="1897"/>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w:t>
            </w:r>
          </w:p>
        </w:tc>
        <w:tc>
          <w:tcPr>
            <w:tcW w:type="dxa" w:w="1570"/>
            <w:vAlign w:val="top"/>
            <w:tcMar>
              <w:top w:w="65" w:type="dxa"/>
              <w:bottom w:w="65" w:type="dxa"/>
              <w:left w:w="65" w:type="dxa"/>
              <w:right w:w="65" w:type="dxa"/>
            </w:tcMar>
          </w:tcPr>
          <w:p>
            <w:pPr>
              <w:spacing w:before="30" w:after="30" w:line="252" w:lineRule="auto"/>
            </w:pPr>
            <w:r>
              <w:rPr>
                <w:rFonts w:ascii="Arial" w:hAnsi="Arial" w:eastAsia="宋体"/>
                <w:b w:val="0"/>
                <w:i w:val="0"/>
                <w:sz w:val="18"/>
              </w:rPr>
              <w:t>boolean</w:t>
            </w:r>
          </w:p>
        </w:tc>
        <w:tc>
          <w:tcPr>
            <w:tcW w:type="dxa" w:w="257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匹配当时true，相关账务变动false</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失效仍可查看原因，但不能生成/审批。</w:t>
            </w:r>
          </w:p>
        </w:tc>
      </w:tr>
      <w:tr>
        <w:trPr>
          <w:cantSplit/>
        </w:trPr>
        <w:tc>
          <w:tcPr>
            <w:tcW w:type="dxa" w:w="18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staleReason/runAt</w:t>
            </w:r>
          </w:p>
        </w:tc>
        <w:tc>
          <w:tcPr>
            <w:tcW w:type="dxa" w:w="1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S/ISO</w:t>
            </w:r>
          </w:p>
        </w:tc>
        <w:tc>
          <w:tcPr>
            <w:tcW w:type="dxa" w:w="25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失效原因与运行时间</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同层同月匹配重跑更新当前run；不是独立全版本匹配运行表。历史合并结果和抵销保存其原引用与来源。</w:t>
            </w:r>
          </w:p>
        </w:tc>
      </w:tr>
    </w:tbl>
    <w:p>
      <w:pPr>
        <w:spacing w:after="40"/>
      </w:pPr>
    </w:p>
    <w:p>
      <w:r>
        <w:rPr>
          <w:rFonts w:ascii="Arial" w:hAnsi="Arial" w:eastAsia="宋体"/>
          <w:b w:val="0"/>
          <w:i w:val="0"/>
        </w:rPr>
        <w:t>销售匹配键为双方、共同ref、同一本位币、发生月、最低共同层；收入与成本按同一发生月等额匹配。期末内部余额按双方、ref、本位币、最低共同层累计“期初＋期间变化”，同时核对期初双方余额。跨本位币自动抵销本版不支持；差额与错期不自动转汇兑损益。</w:t>
      </w:r>
    </w:p>
    <w:p>
      <w:pPr>
        <w:pStyle w:val="Heading3"/>
      </w:pPr>
      <w:bookmarkStart w:id="106" w:name="epm_106"/>
      <w:r>
        <w:rPr>
          <w:rFonts w:ascii="Arial" w:hAnsi="Arial" w:eastAsia="宋体"/>
          <w:b w:val="0"/>
          <w:i w:val="0"/>
        </w:rPr>
        <w:t>A.17.2 matches[]相符事项</w:t>
      </w:r>
      <w:bookmarkEnd w:id="106"/>
    </w:p>
    <w:tbl>
      <w:tblPr>
        <w:tblStyle w:val="TableGrid"/>
        <w:tblW w:type="auto" w:w="0"/>
        <w:jc w:val="center"/>
        <w:tblLayout w:type="fixed"/>
        <w:tblLook w:firstColumn="1" w:firstRow="1" w:lastColumn="0" w:lastRow="0" w:noHBand="0" w:noVBand="1" w:val="04A0"/>
      </w:tblPr>
      <w:tblGrid>
        <w:gridCol w:w="1723"/>
        <w:gridCol w:w="1660"/>
        <w:gridCol w:w="3280"/>
        <w:gridCol w:w="2744"/>
      </w:tblGrid>
      <w:tr>
        <w:trPr>
          <w:cantSplit/>
          <w:tblHeader w:val="true"/>
        </w:trPr>
        <w:tc>
          <w:tcPr>
            <w:tcW w:type="dxa" w:w="17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6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中文及类型</w:t>
            </w:r>
          </w:p>
        </w:tc>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生成规则</w:t>
            </w:r>
          </w:p>
        </w:tc>
        <w:tc>
          <w:tcPr>
            <w:tcW w:type="dxa" w:w="27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精度、关联及验收</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id/matchId</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匹配事项ID，S</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MATCH-稳定业务键摘要</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不是自动抵销凭证id；后者独立AUTO-ELIM标识。</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sourceId</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原匹配业务来源，S</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业务种类、期间、匹配键摘要</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自动抵销再加入当前范围版本来源，防重复。</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unitId/month</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所属最低共同层/期间</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计算得出</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不能让用户随意选更低层或集团重复抵销。</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kind</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匹配类型，enum</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sales或balances</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sales内部收入/成本；balances内部应收/应付。</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sellerId/buyerId</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销售/应收方和采购/应付方，ID</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根据field和内部对方规范化</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双方不同且真实存在，不能以管理单元代替。</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共同本位币，enum</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双方原账一致币种</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须等于该抵销层报表币种；不同本位币列currency_mismatch。</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reference</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共同交易号，S(120)</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双方明示或安全承接ref</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缺失不能只按金额或摘要配。</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amount</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销售当月额或内部期末余额，M</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以元Decimal核等额后转换万元6位</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销售为正才生成；余额允许期末0但期初非0的正确清偿情形。</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openingAmount</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内部期初余额，M</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balances使用，sales为0</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期初双方须相符；不得只有期末相符却忽略期初差额。</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monthlyAmounts[m]</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销售逐月金额，map&lt;m,M&gt;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只有实际发生月填该额，其余月0</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累计生成effects须与逐月合计相符；不按累计金额猜月份。</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effects</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累计会计效果，object</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sales减少revenue/cost；balances减少receivable/payable</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字段数、方向和金额由计算内核再次校验。</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openingEffects</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期初效果，object</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balances减少期初receivable/payable</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销售为空；余额期初期末分别记录。</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monthlyEffects[m]</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销售逐月效果，object</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当月收入/成本等额减少</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海外USD先抵销原币，再按相应月平均率折算。</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双方原凭证/期初来源，array</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包含原账元金额、批次、科目、凭证身份、客商/ref</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匹配金额是M，引用内借贷是Y，页面及导出必须分单位。</w:t>
            </w:r>
          </w:p>
        </w:tc>
      </w:tr>
      <w:tr>
        <w:trPr>
          <w:cantSplit/>
        </w:trPr>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signature</w:t>
            </w:r>
          </w:p>
        </w:tc>
        <w:tc>
          <w:tcPr>
            <w:tcW w:type="dxa" w:w="1660"/>
            <w:vAlign w:val="top"/>
            <w:tcMar>
              <w:top w:w="65" w:type="dxa"/>
              <w:bottom w:w="65" w:type="dxa"/>
              <w:left w:w="65" w:type="dxa"/>
              <w:right w:w="65" w:type="dxa"/>
            </w:tcMar>
          </w:tcPr>
          <w:p>
            <w:pPr>
              <w:spacing w:before="30" w:after="30" w:line="252" w:lineRule="auto"/>
            </w:pPr>
            <w:r>
              <w:rPr>
                <w:rFonts w:ascii="Arial" w:hAnsi="Arial" w:eastAsia="宋体"/>
                <w:b w:val="0"/>
                <w:i w:val="0"/>
                <w:sz w:val="18"/>
              </w:rPr>
              <w:t>单项来源签名，SHA256</w:t>
            </w:r>
          </w:p>
        </w:tc>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匹配键、原行及对应映射</w:t>
            </w:r>
          </w:p>
        </w:tc>
        <w:tc>
          <w:tcPr>
            <w:tcW w:type="dxa" w:w="2744"/>
            <w:vAlign w:val="top"/>
            <w:tcMar>
              <w:top w:w="65" w:type="dxa"/>
              <w:bottom w:w="65" w:type="dxa"/>
              <w:left w:w="65" w:type="dxa"/>
              <w:right w:w="65" w:type="dxa"/>
            </w:tcMar>
          </w:tcPr>
          <w:p>
            <w:pPr>
              <w:spacing w:before="30" w:after="30" w:line="252" w:lineRule="auto"/>
            </w:pPr>
            <w:r>
              <w:rPr>
                <w:rFonts w:ascii="Arial" w:hAnsi="Arial" w:eastAsia="宋体"/>
                <w:b w:val="0"/>
                <w:i w:val="0"/>
                <w:sz w:val="18"/>
              </w:rPr>
              <w:t>与运行范围erpInputFingerprint不同，两层均留证据。</w:t>
            </w:r>
          </w:p>
        </w:tc>
      </w:tr>
      <w:tr>
        <w:trPr>
          <w:cantSplit/>
        </w:trPr>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6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匹配结论，S</w:t>
            </w:r>
          </w:p>
        </w:tc>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匹配通过</w:t>
            </w:r>
          </w:p>
        </w:tc>
        <w:tc>
          <w:tcPr>
            <w:tcW w:type="dxa" w:w="2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不是结果已签核或自动抵销已审批。</w:t>
            </w:r>
          </w:p>
        </w:tc>
      </w:tr>
    </w:tbl>
    <w:p>
      <w:pPr>
        <w:spacing w:after="40"/>
      </w:pPr>
    </w:p>
    <w:p>
      <w:pPr>
        <w:pStyle w:val="Heading3"/>
      </w:pPr>
      <w:bookmarkStart w:id="107" w:name="epm_107"/>
      <w:r>
        <w:rPr>
          <w:rFonts w:ascii="Arial" w:hAnsi="Arial" w:eastAsia="宋体"/>
          <w:b w:val="0"/>
          <w:i w:val="0"/>
        </w:rPr>
        <w:t>A.17.3 differences[]差异项</w:t>
      </w:r>
      <w:bookmarkEnd w:id="107"/>
    </w:p>
    <w:tbl>
      <w:tblPr>
        <w:tblStyle w:val="TableGrid"/>
        <w:tblW w:type="auto" w:w="0"/>
        <w:jc w:val="center"/>
        <w:tblLayout w:type="fixed"/>
        <w:tblLook w:firstColumn="1" w:firstRow="1" w:lastColumn="0" w:lastRow="0" w:noHBand="0" w:noVBand="1" w:val="04A0"/>
      </w:tblPr>
      <w:tblGrid>
        <w:gridCol w:w="3325"/>
        <w:gridCol w:w="1529"/>
        <w:gridCol w:w="1529"/>
        <w:gridCol w:w="3022"/>
      </w:tblGrid>
      <w:tr>
        <w:trPr>
          <w:cantSplit/>
          <w:tblHeader w:val="true"/>
        </w:trPr>
        <w:tc>
          <w:tcPr>
            <w:tcW w:type="dxa" w:w="332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类型/单位</w:t>
            </w:r>
          </w:p>
        </w:tc>
        <w:tc>
          <w:tcPr>
            <w:tcW w:type="dxa" w:w="15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内容</w:t>
            </w:r>
          </w:p>
        </w:tc>
        <w:tc>
          <w:tcPr>
            <w:tcW w:type="dxa" w:w="30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处理规则</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DIFF-问题及来源摘要</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供当前差异详情定位。</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code</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enum文本</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具体差异分类，下表列明</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不能只显示“失败”而丢失原因。</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type/message</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中文分类及说明</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用于用户查原因。</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status</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待处理</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本版无任意“标已处理”旁路。</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voucherRefs[]</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array</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涉及双方原行或期初行引用</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没有对方行时也保留已有一方证据，不造一行“平衡差额”。</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entityId/counterpartyId/counterpartyCode</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ID/原值，可选</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缺客商或关联号时定位</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原辅助值未知时不得自动当外部。</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sellerId/buyerId/reference/unitId/currency</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ID/S/enum，可选</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已知的匹配业务维度</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缺维度不伪造默认值。</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sellerAmount/buyerAmount</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M，可选</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双方本位币万元金额</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原始行debit/credit仍是元两位；差异金额与来源金额不能混单位。</w:t>
            </w:r>
          </w:p>
        </w:tc>
      </w:tr>
      <w:tr>
        <w:trPr>
          <w:cantSplit/>
        </w:trPr>
        <w:tc>
          <w:tcPr>
            <w:tcW w:type="dxa" w:w="3325"/>
            <w:vAlign w:val="top"/>
            <w:tcMar>
              <w:top w:w="65" w:type="dxa"/>
              <w:bottom w:w="65" w:type="dxa"/>
              <w:left w:w="65" w:type="dxa"/>
              <w:right w:w="65" w:type="dxa"/>
            </w:tcMar>
          </w:tcPr>
          <w:p>
            <w:pPr>
              <w:spacing w:before="30" w:after="30" w:line="252" w:lineRule="auto"/>
            </w:pPr>
            <w:r>
              <w:rPr>
                <w:rFonts w:ascii="Arial" w:hAnsi="Arial" w:eastAsia="宋体"/>
                <w:b w:val="0"/>
                <w:i w:val="0"/>
                <w:sz w:val="18"/>
              </w:rPr>
              <w:t>difference</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M，可选</w:t>
            </w:r>
          </w:p>
        </w:tc>
        <w:tc>
          <w:tcPr>
            <w:tcW w:type="dxa" w:w="1529"/>
            <w:vAlign w:val="top"/>
            <w:tcMar>
              <w:top w:w="65" w:type="dxa"/>
              <w:bottom w:w="65" w:type="dxa"/>
              <w:left w:w="65" w:type="dxa"/>
              <w:right w:w="65" w:type="dxa"/>
            </w:tcMar>
          </w:tcPr>
          <w:p>
            <w:pPr>
              <w:spacing w:before="30" w:after="30" w:line="252" w:lineRule="auto"/>
            </w:pPr>
            <w:r>
              <w:rPr>
                <w:rFonts w:ascii="Arial" w:hAnsi="Arial" w:eastAsia="宋体"/>
                <w:b w:val="0"/>
                <w:i w:val="0"/>
                <w:sz w:val="18"/>
              </w:rPr>
              <w:t>双方期末/发生额差</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8"/>
              </w:rPr>
              <w:t>a−b，不生成补差凭证。</w:t>
            </w:r>
          </w:p>
        </w:tc>
      </w:tr>
      <w:tr>
        <w:trPr>
          <w:cantSplit/>
        </w:trPr>
        <w:tc>
          <w:tcPr>
            <w:tcW w:type="dxa" w:w="332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openingDifference</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M，可选</w:t>
            </w:r>
          </w:p>
        </w:tc>
        <w:tc>
          <w:tcPr>
            <w:tcW w:type="dxa" w:w="15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双方期初内部余额差</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即使期末相符，期初差也阻止自动抵销。</w:t>
            </w:r>
          </w:p>
        </w:tc>
      </w:tr>
    </w:tbl>
    <w:p>
      <w:pPr>
        <w:spacing w:after="40"/>
      </w:pPr>
    </w:p>
    <w:tbl>
      <w:tblPr>
        <w:tblStyle w:val="TableGrid"/>
        <w:tblW w:type="auto" w:w="0"/>
        <w:jc w:val="center"/>
        <w:tblLayout w:type="fixed"/>
        <w:tblLook w:firstColumn="1" w:firstRow="1" w:lastColumn="0" w:lastRow="0" w:noHBand="0" w:noVBand="1" w:val="04A0"/>
      </w:tblPr>
      <w:tblGrid>
        <w:gridCol w:w="3280"/>
        <w:gridCol w:w="2440"/>
        <w:gridCol w:w="3686"/>
      </w:tblGrid>
      <w:tr>
        <w:trPr>
          <w:cantSplit/>
          <w:tblHeader w:val="true"/>
        </w:trPr>
        <w:tc>
          <w:tcPr>
            <w:tcW w:type="dxa" w:w="32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code</w:t>
            </w:r>
          </w:p>
        </w:tc>
        <w:tc>
          <w:tcPr>
            <w:tcW w:type="dxa" w:w="244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触发情形</w:t>
            </w:r>
          </w:p>
        </w:tc>
        <w:tc>
          <w:tcPr>
            <w:tcW w:type="dxa" w:w="36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用户核对与修正</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unmapped_account</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账务科目缺有效报表映射</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补正确法人科目映射，重生源与匹配。导入阶段也会阻止未映射入账。</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mapping_duplicate / duplicate</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有效映射或原分录/期初重复</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停用错误批次，保留历史后重导；不能重复相加。</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unmapped_counterparty</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辅助非空但未知，或多列冲突</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核真实客商映射；旧NC批次须按新规则重导，或有依据补注明确规范化客商。</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counterparty_required</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相关非零行未明确内外部</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核对同凭证唯一客商承接依据；仍不明确须补注/更正来源，不默认外部。</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self_counterparty</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内部对方等于本法人</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修正对方，不按自己和自己生成抵销。</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reference_required</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内部相关行缺双方共同号</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核结算号/核销号映射或凭证补注，不能以同额猜配。</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mapping_type</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显式icType与field类别冲突</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更正ERP科目映射或来源交易类别。</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unpaired</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缺另一方对应发生额或期初明细</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核完整月份、凭证及期初辅助余额；错期通常表现为发生月各自缺对方。</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currency_mismatch</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同交易双方本位币不同</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列差异人工核对；本版不自动强换一种币种补平。</w:t>
            </w:r>
          </w:p>
        </w:tc>
      </w:tr>
      <w:tr>
        <w:trPr>
          <w:cantSplit/>
        </w:trPr>
        <w:tc>
          <w:tcPr>
            <w:tcW w:type="dxa" w:w="32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amount_mismatch</w:t>
            </w:r>
          </w:p>
        </w:tc>
        <w:tc>
          <w:tcPr>
            <w:tcW w:type="dxa" w:w="244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金额或期初余额不符</w:t>
            </w:r>
          </w:p>
        </w:tc>
        <w:tc>
          <w:tcPr>
            <w:tcW w:type="dxa" w:w="36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回看双方原行、税项、时间及交易号，修后重配。</w:t>
            </w:r>
          </w:p>
        </w:tc>
      </w:tr>
      <w:tr>
        <w:trPr>
          <w:cantSplit/>
        </w:trPr>
        <w:tc>
          <w:tcPr>
            <w:tcW w:type="dxa" w:w="3280"/>
            <w:vAlign w:val="top"/>
            <w:tcMar>
              <w:top w:w="65" w:type="dxa"/>
              <w:bottom w:w="65" w:type="dxa"/>
              <w:left w:w="65" w:type="dxa"/>
              <w:right w:w="65" w:type="dxa"/>
            </w:tcMar>
          </w:tcPr>
          <w:p>
            <w:pPr>
              <w:spacing w:before="30" w:after="30" w:line="252" w:lineRule="auto"/>
            </w:pPr>
            <w:r>
              <w:rPr>
                <w:rFonts w:ascii="Arial" w:hAnsi="Arial" w:eastAsia="宋体"/>
                <w:b w:val="0"/>
                <w:i w:val="0"/>
                <w:sz w:val="19"/>
              </w:rPr>
              <w:t>negative_ic</w:t>
            </w:r>
          </w:p>
        </w:tc>
        <w:tc>
          <w:tcPr>
            <w:tcW w:type="dxa" w:w="2440"/>
            <w:vAlign w:val="top"/>
            <w:tcMar>
              <w:top w:w="65" w:type="dxa"/>
              <w:bottom w:w="65" w:type="dxa"/>
              <w:left w:w="65" w:type="dxa"/>
              <w:right w:w="65" w:type="dxa"/>
            </w:tcMar>
          </w:tcPr>
          <w:p>
            <w:pPr>
              <w:spacing w:before="30" w:after="30" w:line="252" w:lineRule="auto"/>
            </w:pPr>
            <w:r>
              <w:rPr>
                <w:rFonts w:ascii="Arial" w:hAnsi="Arial" w:eastAsia="宋体"/>
                <w:b w:val="0"/>
                <w:i w:val="0"/>
                <w:sz w:val="19"/>
              </w:rPr>
              <w:t>内部净发生或反向往来为负</w:t>
            </w:r>
          </w:p>
        </w:tc>
        <w:tc>
          <w:tcPr>
            <w:tcW w:type="dxa" w:w="3686"/>
            <w:vAlign w:val="top"/>
            <w:tcMar>
              <w:top w:w="65" w:type="dxa"/>
              <w:bottom w:w="65" w:type="dxa"/>
              <w:left w:w="65" w:type="dxa"/>
              <w:right w:w="65" w:type="dxa"/>
            </w:tcMar>
          </w:tcPr>
          <w:p>
            <w:pPr>
              <w:spacing w:before="30" w:after="30" w:line="252" w:lineRule="auto"/>
            </w:pPr>
            <w:r>
              <w:rPr>
                <w:rFonts w:ascii="Arial" w:hAnsi="Arial" w:eastAsia="宋体"/>
                <w:b w:val="0"/>
                <w:i w:val="0"/>
                <w:sz w:val="19"/>
              </w:rPr>
              <w:t>红字入单体账仍保留；自动正向抵销暂停，待人工核对/重分类。</w:t>
            </w:r>
          </w:p>
        </w:tc>
      </w:tr>
    </w:tbl>
    <w:p>
      <w:pPr>
        <w:spacing w:after="40"/>
      </w:pPr>
    </w:p>
    <w:p>
      <w:r>
        <w:rPr>
          <w:rFonts w:ascii="Arial" w:hAnsi="Arial" w:eastAsia="宋体"/>
          <w:b w:val="0"/>
          <w:i w:val="0"/>
        </w:rPr>
        <w:t>非现金流差异修正不能顺便改原账金额。本版不增加“差异直接生成其他收入/汇兑损益”的按钮。相关事项经过补注或批次更正后，需重新生成单体源、运行当前版本匹配，再生成/审批新抵销，旧历史结果仍保持原金额和来源。</w:t>
      </w:r>
    </w:p>
    <w:p>
      <w:pPr>
        <w:pStyle w:val="Heading2"/>
      </w:pPr>
      <w:bookmarkStart w:id="108" w:name="epm_108"/>
      <w:r>
        <w:rPr>
          <w:rFonts w:ascii="Arial" w:hAnsi="Arial" w:eastAsia="宋体"/>
          <w:b w:val="0"/>
          <w:i w:val="0"/>
        </w:rPr>
        <w:t>A.18 自动抵销凭证、借贷分录和来源失效</w:t>
      </w:r>
      <w:bookmarkEnd w:id="108"/>
    </w:p>
    <w:p>
      <w:r>
        <w:rPr>
          <w:rFonts w:ascii="Arial" w:hAnsi="Arial" w:eastAsia="宋体"/>
          <w:b w:val="0"/>
          <w:i w:val="0"/>
        </w:rPr>
        <w:t xml:space="preserve">自动凭证继续保存于 </w:t>
      </w:r>
      <w:r>
        <w:rPr>
          <w:rFonts w:ascii="Consolas" w:hAnsi="Consolas" w:eastAsia="宋体"/>
          <w:b w:val="0"/>
          <w:i w:val="0"/>
          <w:sz w:val="18"/>
        </w:rPr>
        <w:t>eliminations[]</w:t>
      </w:r>
      <w:r>
        <w:rPr>
          <w:rFonts w:ascii="Arial" w:hAnsi="Arial" w:eastAsia="宋体"/>
          <w:b w:val="0"/>
          <w:i w:val="0"/>
        </w:rPr>
        <w:t>，除A.6公共字段外增加下列ERP血缘。Foundation公开手工elimination_save仅允许investment；外部sales/内部销售403，balances也不能手建。sales和balances均由ERP匹配服务端生成，不接受伪造erpMatchId的手工payload绕过。</w:t>
      </w:r>
    </w:p>
    <w:tbl>
      <w:tblPr>
        <w:tblStyle w:val="TableGrid"/>
        <w:tblW w:type="auto" w:w="0"/>
        <w:jc w:val="center"/>
        <w:tblLayout w:type="fixed"/>
        <w:tblLook w:firstColumn="1" w:firstRow="1" w:lastColumn="0" w:lastRow="0" w:noHBand="0" w:noVBand="1" w:val="04A0"/>
      </w:tblPr>
      <w:tblGrid>
        <w:gridCol w:w="2695"/>
        <w:gridCol w:w="1500"/>
        <w:gridCol w:w="2202"/>
        <w:gridCol w:w="3009"/>
      </w:tblGrid>
      <w:tr>
        <w:trPr>
          <w:cantSplit/>
          <w:tblHeader w:val="true"/>
        </w:trPr>
        <w:tc>
          <w:tcPr>
            <w:tcW w:type="dxa" w:w="26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5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类型/来源</w:t>
            </w:r>
          </w:p>
        </w:tc>
        <w:tc>
          <w:tcPr>
            <w:tcW w:type="dxa" w:w="22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30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校验与状态</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AUTO-ELIM-序列</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与matchId、sourceId区分。</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kind</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sales或balances</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内部销售/内部应收应付；原投资权益机制继续独立保留。</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erpMatchId/matchId</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所依据匹配id</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对应当前本层本期相符项，不是浏览器临时序号。</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erpInputFingerprint</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SHA256</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生成时范围输入签名</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变更后不可继续审批或正式计算。</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matchSignature</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SHA256</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当前实现保存范围运行签名</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不能误称等于单项match.signature；与sourceSignature区分。</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sourceSignature</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SHA256</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单项match.signature留档</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原行及单项映射来源证据；与matchSignature的范围版本签名分别留档。</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automation</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ERP原凭证匹配</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标记生成模式，不代表无人审批。</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voucherRefs/sourceRows</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array</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双方原凭证与期初引用</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借贷元两位；保留sourceRow和批次定位。</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journalLines[]</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array</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实际借/贷分录，见下表</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金额M，币种为抵销层币种，不写回NC。</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openingAmount</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M，balances使用</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期初应收/应付抵销额</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期初与期末分别等额，不能夹带其他项目。</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status</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enum</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草稿→已审批；相关输入变更为来源失效；重配旧签名停用</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来源失效不得继续审批；只读保存已批准原快照。</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staleReason</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ERP输入变更说明</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解释为什么须重生、重配、重生草稿。</w:t>
            </w:r>
          </w:p>
        </w:tc>
      </w:tr>
      <w:tr>
        <w:trPr>
          <w:cantSplit/>
        </w:trPr>
        <w:tc>
          <w:tcPr>
            <w:tcW w:type="dxa" w:w="2695"/>
            <w:vAlign w:val="top"/>
            <w:tcMar>
              <w:top w:w="65" w:type="dxa"/>
              <w:bottom w:w="65" w:type="dxa"/>
              <w:left w:w="65" w:type="dxa"/>
              <w:right w:w="65" w:type="dxa"/>
            </w:tcMar>
          </w:tcPr>
          <w:p>
            <w:pPr>
              <w:spacing w:before="30" w:after="30" w:line="252" w:lineRule="auto"/>
            </w:pPr>
            <w:r>
              <w:rPr>
                <w:rFonts w:ascii="Arial" w:hAnsi="Arial" w:eastAsia="宋体"/>
                <w:b w:val="0"/>
                <w:i w:val="0"/>
                <w:sz w:val="18"/>
              </w:rPr>
              <w:t>approvedBy/approvedAt/approvalReason</w:t>
            </w:r>
          </w:p>
        </w:tc>
        <w:tc>
          <w:tcPr>
            <w:tcW w:type="dxa" w:w="1500"/>
            <w:vAlign w:val="top"/>
            <w:tcMar>
              <w:top w:w="65" w:type="dxa"/>
              <w:bottom w:w="65" w:type="dxa"/>
              <w:left w:w="65" w:type="dxa"/>
              <w:right w:w="65" w:type="dxa"/>
            </w:tcMar>
          </w:tcPr>
          <w:p>
            <w:pPr>
              <w:spacing w:before="30" w:after="30" w:line="252" w:lineRule="auto"/>
            </w:pPr>
            <w:r>
              <w:rPr>
                <w:rFonts w:ascii="Arial" w:hAnsi="Arial" w:eastAsia="宋体"/>
                <w:b w:val="0"/>
                <w:i w:val="0"/>
                <w:sz w:val="18"/>
              </w:rPr>
              <w:t>角色S/ISO/S(500)</w:t>
            </w:r>
          </w:p>
        </w:tc>
        <w:tc>
          <w:tcPr>
            <w:tcW w:type="dxa" w:w="2202"/>
            <w:vAlign w:val="top"/>
            <w:tcMar>
              <w:top w:w="65" w:type="dxa"/>
              <w:bottom w:w="65" w:type="dxa"/>
              <w:left w:w="65" w:type="dxa"/>
              <w:right w:w="65" w:type="dxa"/>
            </w:tcMar>
          </w:tcPr>
          <w:p>
            <w:pPr>
              <w:spacing w:before="30" w:after="30" w:line="252" w:lineRule="auto"/>
            </w:pPr>
            <w:r>
              <w:rPr>
                <w:rFonts w:ascii="Arial" w:hAnsi="Arial" w:eastAsia="宋体"/>
                <w:b w:val="0"/>
                <w:i w:val="0"/>
                <w:sz w:val="18"/>
              </w:rPr>
              <w:t>批量逐张正式审批时保存</w:t>
            </w:r>
          </w:p>
        </w:tc>
        <w:tc>
          <w:tcPr>
            <w:tcW w:type="dxa" w:w="3009"/>
            <w:vAlign w:val="top"/>
            <w:tcMar>
              <w:top w:w="65" w:type="dxa"/>
              <w:bottom w:w="65" w:type="dxa"/>
              <w:left w:w="65" w:type="dxa"/>
              <w:right w:w="65" w:type="dxa"/>
            </w:tcMar>
          </w:tcPr>
          <w:p>
            <w:pPr>
              <w:spacing w:before="30" w:after="30" w:line="252" w:lineRule="auto"/>
            </w:pPr>
            <w:r>
              <w:rPr>
                <w:rFonts w:ascii="Arial" w:hAnsi="Arial" w:eastAsia="宋体"/>
                <w:b w:val="0"/>
                <w:i w:val="0"/>
                <w:sz w:val="18"/>
              </w:rPr>
              <w:t>每张有审批证据，任一失败整批事务回滚，不只改列表状态。</w:t>
            </w:r>
          </w:p>
        </w:tc>
      </w:tr>
      <w:tr>
        <w:trPr>
          <w:cantSplit/>
        </w:trPr>
        <w:tc>
          <w:tcPr>
            <w:tcW w:type="dxa" w:w="26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seedOrigin</w:t>
            </w:r>
          </w:p>
        </w:tc>
        <w:tc>
          <w:tcPr>
            <w:tcW w:type="dxa" w:w="15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S，可选</w:t>
            </w:r>
          </w:p>
        </w:tc>
        <w:tc>
          <w:tcPr>
            <w:tcW w:type="dxa" w:w="22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旧预置销售为ML初始化示例</w:t>
            </w:r>
          </w:p>
        </w:tc>
        <w:tc>
          <w:tcPr>
            <w:tcW w:type="dxa" w:w="30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负责人模式转换只停用这些预置销售，不擅改用户手工事项或投资权益。</w:t>
            </w:r>
          </w:p>
        </w:tc>
      </w:tr>
    </w:tbl>
    <w:p>
      <w:pPr>
        <w:spacing w:after="40"/>
      </w:pPr>
    </w:p>
    <w:p>
      <w:pPr>
        <w:pStyle w:val="Heading3"/>
      </w:pPr>
      <w:bookmarkStart w:id="109" w:name="epm_109"/>
      <w:r>
        <w:rPr>
          <w:rFonts w:ascii="Arial" w:hAnsi="Arial" w:eastAsia="宋体"/>
          <w:b w:val="0"/>
          <w:i w:val="0"/>
        </w:rPr>
        <w:t>A.18.1 journalLines[]实际字段</w:t>
      </w:r>
      <w:bookmarkEnd w:id="109"/>
    </w:p>
    <w:tbl>
      <w:tblPr>
        <w:tblStyle w:val="TableGrid"/>
        <w:tblW w:type="auto" w:w="0"/>
        <w:jc w:val="center"/>
        <w:tblLayout w:type="fixed"/>
        <w:tblLook w:firstColumn="1" w:firstRow="1" w:lastColumn="0" w:lastRow="0" w:noHBand="0" w:noVBand="1" w:val="04A0"/>
      </w:tblPr>
      <w:tblGrid>
        <w:gridCol w:w="1701"/>
        <w:gridCol w:w="1139"/>
        <w:gridCol w:w="2813"/>
        <w:gridCol w:w="3753"/>
      </w:tblGrid>
      <w:tr>
        <w:trPr>
          <w:cantSplit/>
          <w:tblHeader w:val="true"/>
        </w:trPr>
        <w:tc>
          <w:tcPr>
            <w:tcW w:type="dxa" w:w="17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w:t>
            </w:r>
          </w:p>
        </w:tc>
        <w:tc>
          <w:tcPr>
            <w:tcW w:type="dxa" w:w="11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类型与单位</w:t>
            </w:r>
          </w:p>
        </w:tc>
        <w:tc>
          <w:tcPr>
            <w:tcW w:type="dxa" w:w="28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销售抵销</w:t>
            </w:r>
          </w:p>
        </w:tc>
        <w:tc>
          <w:tcPr>
            <w:tcW w:type="dxa" w:w="37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应收应付抵销</w:t>
            </w:r>
          </w:p>
        </w:tc>
      </w:tr>
      <w:tr>
        <w:trPr>
          <w:cantSplit/>
        </w:trPr>
        <w:tc>
          <w:tcPr>
            <w:tcW w:type="dxa" w:w="1701"/>
            <w:vAlign w:val="top"/>
            <w:tcMar>
              <w:top w:w="65" w:type="dxa"/>
              <w:bottom w:w="65" w:type="dxa"/>
              <w:left w:w="65" w:type="dxa"/>
              <w:right w:w="65" w:type="dxa"/>
            </w:tcMar>
          </w:tcPr>
          <w:p>
            <w:pPr>
              <w:spacing w:before="30" w:after="30" w:line="252" w:lineRule="auto"/>
            </w:pPr>
            <w:r>
              <w:rPr>
                <w:rFonts w:ascii="Arial" w:hAnsi="Arial" w:eastAsia="宋体"/>
                <w:b w:val="0"/>
                <w:i w:val="0"/>
                <w:sz w:val="18"/>
              </w:rPr>
              <w:t>accountField</w:t>
            </w:r>
          </w:p>
        </w:tc>
        <w:tc>
          <w:tcPr>
            <w:tcW w:type="dxa" w:w="1139"/>
            <w:vAlign w:val="top"/>
            <w:tcMar>
              <w:top w:w="65" w:type="dxa"/>
              <w:bottom w:w="65" w:type="dxa"/>
              <w:left w:w="65" w:type="dxa"/>
              <w:right w:w="65" w:type="dxa"/>
            </w:tcMar>
          </w:tcPr>
          <w:p>
            <w:pPr>
              <w:spacing w:before="30" w:after="30" w:line="252" w:lineRule="auto"/>
            </w:pPr>
            <w:r>
              <w:rPr>
                <w:rFonts w:ascii="Arial" w:hAnsi="Arial" w:eastAsia="宋体"/>
                <w:b w:val="0"/>
                <w:i w:val="0"/>
                <w:sz w:val="18"/>
              </w:rPr>
              <w:t>enum</w:t>
            </w:r>
          </w:p>
        </w:tc>
        <w:tc>
          <w:tcPr>
            <w:tcW w:type="dxa" w:w="2813"/>
            <w:vAlign w:val="top"/>
            <w:tcMar>
              <w:top w:w="65" w:type="dxa"/>
              <w:bottom w:w="65" w:type="dxa"/>
              <w:left w:w="65" w:type="dxa"/>
              <w:right w:w="65" w:type="dxa"/>
            </w:tcMar>
          </w:tcPr>
          <w:p>
            <w:pPr>
              <w:spacing w:before="30" w:after="30" w:line="252" w:lineRule="auto"/>
            </w:pPr>
            <w:r>
              <w:rPr>
                <w:rFonts w:ascii="Arial" w:hAnsi="Arial" w:eastAsia="宋体"/>
                <w:b w:val="0"/>
                <w:i w:val="0"/>
                <w:sz w:val="18"/>
              </w:rPr>
              <w:t>借revenue、贷cost</w:t>
            </w:r>
          </w:p>
        </w:tc>
        <w:tc>
          <w:tcPr>
            <w:tcW w:type="dxa" w:w="3753"/>
            <w:vAlign w:val="top"/>
            <w:tcMar>
              <w:top w:w="65" w:type="dxa"/>
              <w:bottom w:w="65" w:type="dxa"/>
              <w:left w:w="65" w:type="dxa"/>
              <w:right w:w="65" w:type="dxa"/>
            </w:tcMar>
          </w:tcPr>
          <w:p>
            <w:pPr>
              <w:spacing w:before="30" w:after="30" w:line="252" w:lineRule="auto"/>
            </w:pPr>
            <w:r>
              <w:rPr>
                <w:rFonts w:ascii="Arial" w:hAnsi="Arial" w:eastAsia="宋体"/>
                <w:b w:val="0"/>
                <w:i w:val="0"/>
                <w:sz w:val="18"/>
              </w:rPr>
              <w:t>借payable、贷receivable。</w:t>
            </w:r>
          </w:p>
        </w:tc>
      </w:tr>
      <w:tr>
        <w:trPr>
          <w:cantSplit/>
        </w:trPr>
        <w:tc>
          <w:tcPr>
            <w:tcW w:type="dxa" w:w="17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accountName</w:t>
            </w:r>
          </w:p>
        </w:tc>
        <w:tc>
          <w:tcPr>
            <w:tcW w:type="dxa" w:w="11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S</w:t>
            </w:r>
          </w:p>
        </w:tc>
        <w:tc>
          <w:tcPr>
            <w:tcW w:type="dxa" w:w="28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营业收入、营业成本</w:t>
            </w:r>
          </w:p>
        </w:tc>
        <w:tc>
          <w:tcPr>
            <w:tcW w:type="dxa" w:w="3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应付账款、应收账款。</w:t>
            </w:r>
          </w:p>
        </w:tc>
      </w:tr>
      <w:tr>
        <w:trPr>
          <w:cantSplit/>
        </w:trPr>
        <w:tc>
          <w:tcPr>
            <w:tcW w:type="dxa" w:w="1701"/>
            <w:vAlign w:val="top"/>
            <w:tcMar>
              <w:top w:w="65" w:type="dxa"/>
              <w:bottom w:w="65" w:type="dxa"/>
              <w:left w:w="65" w:type="dxa"/>
              <w:right w:w="65" w:type="dxa"/>
            </w:tcMar>
          </w:tcPr>
          <w:p>
            <w:pPr>
              <w:spacing w:before="30" w:after="30" w:line="252" w:lineRule="auto"/>
            </w:pPr>
            <w:r>
              <w:rPr>
                <w:rFonts w:ascii="Arial" w:hAnsi="Arial" w:eastAsia="宋体"/>
                <w:b w:val="0"/>
                <w:i w:val="0"/>
                <w:sz w:val="18"/>
              </w:rPr>
              <w:t>debit/credit</w:t>
            </w:r>
          </w:p>
        </w:tc>
        <w:tc>
          <w:tcPr>
            <w:tcW w:type="dxa" w:w="1139"/>
            <w:vAlign w:val="top"/>
            <w:tcMar>
              <w:top w:w="65" w:type="dxa"/>
              <w:bottom w:w="65" w:type="dxa"/>
              <w:left w:w="65" w:type="dxa"/>
              <w:right w:w="65" w:type="dxa"/>
            </w:tcMar>
          </w:tcPr>
          <w:p>
            <w:pPr>
              <w:spacing w:before="30" w:after="30" w:line="252" w:lineRule="auto"/>
            </w:pPr>
            <w:r>
              <w:rPr>
                <w:rFonts w:ascii="Arial" w:hAnsi="Arial" w:eastAsia="宋体"/>
                <w:b w:val="0"/>
                <w:i w:val="0"/>
                <w:sz w:val="18"/>
              </w:rPr>
              <w:t>M，万元6位</w:t>
            </w:r>
          </w:p>
        </w:tc>
        <w:tc>
          <w:tcPr>
            <w:tcW w:type="dxa" w:w="2813"/>
            <w:vAlign w:val="top"/>
            <w:tcMar>
              <w:top w:w="65" w:type="dxa"/>
              <w:bottom w:w="65" w:type="dxa"/>
              <w:left w:w="65" w:type="dxa"/>
              <w:right w:w="65" w:type="dxa"/>
            </w:tcMar>
          </w:tcPr>
          <w:p>
            <w:pPr>
              <w:spacing w:before="30" w:after="30" w:line="252" w:lineRule="auto"/>
            </w:pPr>
            <w:r>
              <w:rPr>
                <w:rFonts w:ascii="Arial" w:hAnsi="Arial" w:eastAsia="宋体"/>
                <w:b w:val="0"/>
                <w:i w:val="0"/>
                <w:sz w:val="18"/>
              </w:rPr>
              <w:t>借方收入金额=amount，贷方成本金额=amount</w:t>
            </w:r>
          </w:p>
        </w:tc>
        <w:tc>
          <w:tcPr>
            <w:tcW w:type="dxa" w:w="3753"/>
            <w:vAlign w:val="top"/>
            <w:tcMar>
              <w:top w:w="65" w:type="dxa"/>
              <w:bottom w:w="65" w:type="dxa"/>
              <w:left w:w="65" w:type="dxa"/>
              <w:right w:w="65" w:type="dxa"/>
            </w:tcMar>
          </w:tcPr>
          <w:p>
            <w:pPr>
              <w:spacing w:before="30" w:after="30" w:line="252" w:lineRule="auto"/>
            </w:pPr>
            <w:r>
              <w:rPr>
                <w:rFonts w:ascii="Arial" w:hAnsi="Arial" w:eastAsia="宋体"/>
                <w:b w:val="0"/>
                <w:i w:val="0"/>
                <w:sz w:val="18"/>
              </w:rPr>
              <w:t>借应付=amount，贷应收=amount；期初效果另见openingEffects。</w:t>
            </w:r>
          </w:p>
        </w:tc>
      </w:tr>
      <w:tr>
        <w:trPr>
          <w:cantSplit/>
        </w:trPr>
        <w:tc>
          <w:tcPr>
            <w:tcW w:type="dxa" w:w="17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currency</w:t>
            </w:r>
          </w:p>
        </w:tc>
        <w:tc>
          <w:tcPr>
            <w:tcW w:type="dxa" w:w="11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w:t>
            </w:r>
          </w:p>
        </w:tc>
        <w:tc>
          <w:tcPr>
            <w:tcW w:type="dxa" w:w="28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所属层币种</w:t>
            </w:r>
          </w:p>
        </w:tc>
        <w:tc>
          <w:tcPr>
            <w:tcW w:type="dxa" w:w="37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须与匹配共同币种及所属层一致。</w:t>
            </w:r>
          </w:p>
        </w:tc>
      </w:tr>
      <w:tr>
        <w:trPr>
          <w:cantSplit/>
        </w:trPr>
        <w:tc>
          <w:tcPr>
            <w:tcW w:type="dxa" w:w="1701"/>
            <w:vAlign w:val="top"/>
            <w:tcMar>
              <w:top w:w="65" w:type="dxa"/>
              <w:bottom w:w="65" w:type="dxa"/>
              <w:left w:w="65" w:type="dxa"/>
              <w:right w:w="65" w:type="dxa"/>
            </w:tcMar>
          </w:tcPr>
          <w:p>
            <w:pPr>
              <w:spacing w:before="30" w:after="30" w:line="252" w:lineRule="auto"/>
            </w:pPr>
            <w:r>
              <w:rPr>
                <w:rFonts w:ascii="Arial" w:hAnsi="Arial" w:eastAsia="宋体"/>
                <w:b w:val="0"/>
                <w:i w:val="0"/>
                <w:sz w:val="18"/>
              </w:rPr>
              <w:t>amountUnit</w:t>
            </w:r>
          </w:p>
        </w:tc>
        <w:tc>
          <w:tcPr>
            <w:tcW w:type="dxa" w:w="1139"/>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2813"/>
            <w:vAlign w:val="top"/>
            <w:tcMar>
              <w:top w:w="65" w:type="dxa"/>
              <w:bottom w:w="65" w:type="dxa"/>
              <w:left w:w="65" w:type="dxa"/>
              <w:right w:w="65" w:type="dxa"/>
            </w:tcMar>
          </w:tcPr>
          <w:p>
            <w:pPr>
              <w:spacing w:before="30" w:after="30" w:line="252" w:lineRule="auto"/>
            </w:pPr>
            <w:r>
              <w:rPr>
                <w:rFonts w:ascii="Arial" w:hAnsi="Arial" w:eastAsia="宋体"/>
                <w:b w:val="0"/>
                <w:i w:val="0"/>
                <w:sz w:val="18"/>
              </w:rPr>
              <w:t>万元</w:t>
            </w:r>
          </w:p>
        </w:tc>
        <w:tc>
          <w:tcPr>
            <w:tcW w:type="dxa" w:w="3753"/>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不能与voucherRefs内Y元金额混用。</w:t>
            </w:r>
          </w:p>
        </w:tc>
      </w:tr>
    </w:tbl>
    <w:p>
      <w:pPr>
        <w:spacing w:after="40"/>
      </w:pPr>
    </w:p>
    <w:p>
      <w:r>
        <w:rPr>
          <w:rFonts w:ascii="Arial" w:hAnsi="Arial" w:eastAsia="宋体"/>
          <w:b w:val="0"/>
          <w:i w:val="0"/>
        </w:rPr>
        <w:t>销售effects仅等额减少revenue/cost，无期初BS效果；balances effects仅等额减少期末receivable/payable，openingEffects按确认相符的期初额减少两项，不改变利润或资本变动。内核再次检查允许字段、金额、最低共同层和跨层来源去重。</w:t>
      </w:r>
    </w:p>
    <w:p>
      <w:pPr>
        <w:pStyle w:val="Heading3"/>
      </w:pPr>
      <w:bookmarkStart w:id="110" w:name="epm_110"/>
      <w:r>
        <w:rPr>
          <w:rFonts w:ascii="Arial" w:hAnsi="Arial" w:eastAsia="宋体"/>
          <w:b w:val="0"/>
          <w:i w:val="0"/>
        </w:rPr>
        <w:t>A.18.2 幂等、模式转换和批量审批</w:t>
      </w:r>
      <w:bookmarkEnd w:id="110"/>
    </w:p>
    <w:p>
      <w:r>
        <w:rPr>
          <w:rFonts w:ascii="Arial" w:hAnsi="Arial" w:eastAsia="宋体"/>
          <w:b w:val="0"/>
          <w:i w:val="0"/>
        </w:rPr>
        <w:t>相同匹配事项＋同一erpInputFingerprint已经有草稿/已审批/已签核时，重复生成不新增凭证。输入变化后旧auto进入来源失效；重跑匹配会停用旧签名项，然后生成新版本草稿。生成完成不等于已批准；负责人逐张或批量正式审批后，才允许计算本层结果。</w:t>
      </w:r>
    </w:p>
    <w:p>
      <w:r>
        <w:rPr>
          <w:rFonts w:ascii="Arial" w:hAnsi="Arial" w:eastAsia="宋体"/>
          <w:b w:val="0"/>
          <w:i w:val="0"/>
        </w:rPr>
        <w:t>从零框架不存在旧100/50预置抵销，用户不需要做模式转换。当前同一业务不能同时维护手工事项和自动事项重复扣减；系统按match/sourceId防同一自动来源重复，用户手工语义重复仍须依据真实交易核对。旧模式转换接口仅为兼容，不是新账套必经步骤。</w:t>
      </w:r>
    </w:p>
    <w:p>
      <w:r>
        <w:rPr>
          <w:rFonts w:ascii="Arial" w:hAnsi="Arial" w:eastAsia="宋体"/>
          <w:b w:val="0"/>
          <w:i w:val="0"/>
        </w:rPr>
        <w:t>批量审批仅选择本层本期当前有效匹配对应的ERP自动草稿，默认全部或明确ids。每张调用正式审批及财务效果校验；任何一张失败整批rollback。手工凭证不在该批量集合内。选择重复id或错误状态不得被解释成多次审批。</w:t>
      </w:r>
    </w:p>
    <w:p>
      <w:pPr>
        <w:pStyle w:val="Heading2"/>
      </w:pPr>
      <w:bookmarkStart w:id="111" w:name="epm_111"/>
      <w:r>
        <w:rPr>
          <w:rFonts w:ascii="Arial" w:hAnsi="Arial" w:eastAsia="宋体"/>
          <w:b w:val="0"/>
          <w:i w:val="0"/>
        </w:rPr>
        <w:t>A.19 原凭证核对补注与审计</w:t>
      </w:r>
      <w:bookmarkEnd w:id="111"/>
    </w:p>
    <w:p>
      <w:r>
        <w:rPr>
          <w:rFonts w:ascii="Arial" w:hAnsi="Arial" w:eastAsia="宋体"/>
          <w:b w:val="0"/>
          <w:i w:val="0"/>
        </w:rPr>
        <w:t xml:space="preserve">动作 </w:t>
      </w:r>
      <w:r>
        <w:rPr>
          <w:rFonts w:ascii="Consolas" w:hAnsi="Consolas" w:eastAsia="宋体"/>
          <w:b w:val="0"/>
          <w:i w:val="0"/>
          <w:sz w:val="18"/>
        </w:rPr>
        <w:t>erp_voucher_annotations_save</w:t>
      </w:r>
      <w:r>
        <w:rPr>
          <w:rFonts w:ascii="Arial" w:hAnsi="Arial" w:eastAsia="宋体"/>
          <w:b w:val="0"/>
          <w:i w:val="0"/>
        </w:rPr>
        <w:t xml:space="preserve"> 用于解决客商/ref/现金分类的规范化核对信息，不能用于修改ERP账务。WR可执行，但所有所选行所属法人，从行最早发生月起的相关签核链必须先重开。原日期、账簿、科目、借贷、原字段、批次与源序号不变。</w:t>
      </w:r>
    </w:p>
    <w:tbl>
      <w:tblPr>
        <w:tblStyle w:val="TableGrid"/>
        <w:tblW w:type="auto" w:w="0"/>
        <w:jc w:val="center"/>
        <w:tblLayout w:type="fixed"/>
        <w:tblLook w:firstColumn="1" w:firstRow="1" w:lastColumn="0" w:lastRow="0" w:noHBand="0" w:noVBand="1" w:val="04A0"/>
      </w:tblPr>
      <w:tblGrid>
        <w:gridCol w:w="1510"/>
        <w:gridCol w:w="1510"/>
        <w:gridCol w:w="2472"/>
        <w:gridCol w:w="3913"/>
      </w:tblGrid>
      <w:tr>
        <w:trPr>
          <w:cantSplit/>
          <w:tblHeader w:val="true"/>
        </w:trPr>
        <w:tc>
          <w:tcPr>
            <w:tcW w:type="dxa" w:w="15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w:t>
            </w:r>
          </w:p>
        </w:tc>
        <w:tc>
          <w:tcPr>
            <w:tcW w:type="dxa" w:w="15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类型与必填</w:t>
            </w:r>
          </w:p>
        </w:tc>
        <w:tc>
          <w:tcPr>
            <w:tcW w:type="dxa" w:w="24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可改内容</w:t>
            </w:r>
          </w:p>
        </w:tc>
        <w:tc>
          <w:tcPr>
            <w:tcW w:type="dxa" w:w="39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服务端限制</w:t>
            </w:r>
          </w:p>
        </w:tc>
      </w:tr>
      <w:tr>
        <w:trPr>
          <w:cantSplit/>
        </w:trPr>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rowIds</w:t>
            </w:r>
          </w:p>
        </w:tc>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非空array</w:t>
            </w:r>
            <w:r>
              <w:rPr>
                <w:rFonts w:ascii="Arial" w:hAnsi="Arial" w:eastAsia="宋体"/>
                <w:b w:val="0"/>
                <w:i w:val="0"/>
                <w:sz w:val="18"/>
              </w:rPr>
              <w:t>&lt;S&gt;</w:t>
            </w:r>
            <w:r>
              <w:rPr>
                <w:rFonts w:ascii="Arial" w:hAnsi="Arial" w:eastAsia="宋体"/>
                <w:b w:val="0"/>
                <w:i w:val="0"/>
                <w:sz w:val="18"/>
              </w:rPr>
              <w:t>，必填，不重复</w:t>
            </w:r>
          </w:p>
        </w:tc>
        <w:tc>
          <w:tcPr>
            <w:tcW w:type="dxa" w:w="2472"/>
            <w:vAlign w:val="top"/>
            <w:tcMar>
              <w:top w:w="65" w:type="dxa"/>
              <w:bottom w:w="65" w:type="dxa"/>
              <w:left w:w="65" w:type="dxa"/>
              <w:right w:w="65" w:type="dxa"/>
            </w:tcMar>
          </w:tcPr>
          <w:p>
            <w:pPr>
              <w:spacing w:before="30" w:after="30" w:line="252" w:lineRule="auto"/>
            </w:pPr>
            <w:r>
              <w:rPr>
                <w:rFonts w:ascii="Arial" w:hAnsi="Arial" w:eastAsia="宋体"/>
                <w:b w:val="0"/>
                <w:i w:val="0"/>
                <w:sz w:val="18"/>
              </w:rPr>
              <w:t>选择当前有效凭证行</w:t>
            </w:r>
          </w:p>
        </w:tc>
        <w:tc>
          <w:tcPr>
            <w:tcW w:type="dxa" w:w="3913"/>
            <w:vAlign w:val="top"/>
            <w:tcMar>
              <w:top w:w="65" w:type="dxa"/>
              <w:bottom w:w="65" w:type="dxa"/>
              <w:left w:w="65" w:type="dxa"/>
              <w:right w:w="65" w:type="dxa"/>
            </w:tcMar>
          </w:tcPr>
          <w:p>
            <w:pPr>
              <w:spacing w:before="30" w:after="30" w:line="252" w:lineRule="auto"/>
            </w:pPr>
            <w:r>
              <w:rPr>
                <w:rFonts w:ascii="Arial" w:hAnsi="Arial" w:eastAsia="宋体"/>
                <w:b w:val="0"/>
                <w:i w:val="0"/>
                <w:sz w:val="18"/>
              </w:rPr>
              <w:t>所有ID必须存在且active；法人属当前合并范围，日期不晚于当前月。不能补注旧停用行。</w:t>
            </w:r>
          </w:p>
        </w:tc>
      </w:tr>
      <w:tr>
        <w:trPr>
          <w:cantSplit/>
        </w:trPr>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counterpartyId</w:t>
            </w:r>
          </w:p>
        </w:tc>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ID或EXTERNAL，可选</w:t>
            </w:r>
          </w:p>
        </w:tc>
        <w:tc>
          <w:tcPr>
            <w:tcW w:type="dxa" w:w="24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明确内部法人或明确外部</w:t>
            </w:r>
          </w:p>
        </w:tc>
        <w:tc>
          <w:tcPr>
            <w:tcW w:type="dxa" w:w="3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内部不能为本法人；EXTERNAL规范化为counterpartyId空、status=external、unmapped=false；不覆盖counterpartyCode/rawFields。</w:t>
            </w:r>
          </w:p>
        </w:tc>
      </w:tr>
      <w:tr>
        <w:trPr>
          <w:cantSplit/>
        </w:trPr>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reference</w:t>
            </w:r>
          </w:p>
        </w:tc>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S(120)，可选、允许空</w:t>
            </w:r>
          </w:p>
        </w:tc>
        <w:tc>
          <w:tcPr>
            <w:tcW w:type="dxa" w:w="2472"/>
            <w:vAlign w:val="top"/>
            <w:tcMar>
              <w:top w:w="65" w:type="dxa"/>
              <w:bottom w:w="65" w:type="dxa"/>
              <w:left w:w="65" w:type="dxa"/>
              <w:right w:w="65" w:type="dxa"/>
            </w:tcMar>
          </w:tcPr>
          <w:p>
            <w:pPr>
              <w:spacing w:before="30" w:after="30" w:line="252" w:lineRule="auto"/>
            </w:pPr>
            <w:r>
              <w:rPr>
                <w:rFonts w:ascii="Arial" w:hAnsi="Arial" w:eastAsia="宋体"/>
                <w:b w:val="0"/>
                <w:i w:val="0"/>
                <w:sz w:val="18"/>
              </w:rPr>
              <w:t>共同交易号或清除原规范ref</w:t>
            </w:r>
          </w:p>
        </w:tc>
        <w:tc>
          <w:tcPr>
            <w:tcW w:type="dxa" w:w="3913"/>
            <w:vAlign w:val="top"/>
            <w:tcMar>
              <w:top w:w="65" w:type="dxa"/>
              <w:bottom w:w="65" w:type="dxa"/>
              <w:left w:w="65" w:type="dxa"/>
              <w:right w:w="65" w:type="dxa"/>
            </w:tcMar>
          </w:tcPr>
          <w:p>
            <w:pPr>
              <w:spacing w:before="30" w:after="30" w:line="252" w:lineRule="auto"/>
            </w:pPr>
            <w:r>
              <w:rPr>
                <w:rFonts w:ascii="Arial" w:hAnsi="Arial" w:eastAsia="宋体"/>
                <w:b w:val="0"/>
                <w:i w:val="0"/>
                <w:sz w:val="18"/>
              </w:rPr>
              <w:t>不是改原NC结算号单元格；清空内部ref会重新出现差异。</w:t>
            </w:r>
          </w:p>
        </w:tc>
      </w:tr>
      <w:tr>
        <w:trPr>
          <w:cantSplit/>
        </w:trPr>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cashflow</w:t>
            </w:r>
          </w:p>
        </w:tc>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enum，可选</w:t>
            </w:r>
          </w:p>
        </w:tc>
        <w:tc>
          <w:tcPr>
            <w:tcW w:type="dxa" w:w="24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operating/investing/financing/空</w:t>
            </w:r>
          </w:p>
        </w:tc>
        <w:tc>
          <w:tcPr>
            <w:tcW w:type="dxa" w:w="3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空表示清除显式分类；只有映射为cash的行可设，混入一行非现金行整批拒绝。</w:t>
            </w:r>
          </w:p>
        </w:tc>
      </w:tr>
      <w:tr>
        <w:trPr>
          <w:cantSplit/>
        </w:trPr>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reason</w:t>
            </w:r>
          </w:p>
        </w:tc>
        <w:tc>
          <w:tcPr>
            <w:tcW w:type="dxa" w:w="1510"/>
            <w:vAlign w:val="top"/>
            <w:tcMar>
              <w:top w:w="65" w:type="dxa"/>
              <w:bottom w:w="65" w:type="dxa"/>
              <w:left w:w="65" w:type="dxa"/>
              <w:right w:w="65" w:type="dxa"/>
            </w:tcMar>
          </w:tcPr>
          <w:p>
            <w:pPr>
              <w:spacing w:before="30" w:after="30" w:line="252" w:lineRule="auto"/>
            </w:pPr>
            <w:r>
              <w:rPr>
                <w:rFonts w:ascii="Arial" w:hAnsi="Arial" w:eastAsia="宋体"/>
                <w:b w:val="0"/>
                <w:i w:val="0"/>
                <w:sz w:val="18"/>
              </w:rPr>
              <w:t>S(500)，必填</w:t>
            </w:r>
          </w:p>
        </w:tc>
        <w:tc>
          <w:tcPr>
            <w:tcW w:type="dxa" w:w="2472"/>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核对依据</w:t>
            </w:r>
          </w:p>
        </w:tc>
        <w:tc>
          <w:tcPr>
            <w:tcW w:type="dxa" w:w="3913"/>
            <w:vAlign w:val="top"/>
            <w:tcMar>
              <w:top w:w="65" w:type="dxa"/>
              <w:bottom w:w="65" w:type="dxa"/>
              <w:left w:w="65" w:type="dxa"/>
              <w:right w:w="65" w:type="dxa"/>
            </w:tcMar>
          </w:tcPr>
          <w:p>
            <w:pPr>
              <w:spacing w:before="30" w:after="30" w:line="252" w:lineRule="auto"/>
            </w:pPr>
            <w:r>
              <w:rPr>
                <w:rFonts w:ascii="Arial" w:hAnsi="Arial" w:eastAsia="宋体"/>
                <w:b w:val="0"/>
                <w:i w:val="0"/>
                <w:sz w:val="18"/>
              </w:rPr>
              <w:t>进入逐行注记和业务审计；不能空白。</w:t>
            </w:r>
          </w:p>
        </w:tc>
      </w:tr>
      <w:tr>
        <w:trPr>
          <w:cantSplit/>
        </w:trPr>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其他任何键</w:t>
            </w:r>
          </w:p>
        </w:tc>
        <w:tc>
          <w:tcPr>
            <w:tcW w:type="dxa" w:w="15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不允许</w:t>
            </w:r>
          </w:p>
        </w:tc>
        <w:tc>
          <w:tcPr>
            <w:tcW w:type="dxa" w:w="24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日期/科目/借贷/rawFields等不能改</w:t>
            </w:r>
          </w:p>
        </w:tc>
        <w:tc>
          <w:tcPr>
            <w:tcW w:type="dxa" w:w="39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出现额外payload字段即400；不是忽略后假成功。</w:t>
            </w:r>
          </w:p>
        </w:tc>
      </w:tr>
    </w:tbl>
    <w:p>
      <w:pPr>
        <w:spacing w:after="40"/>
      </w:pPr>
    </w:p>
    <w:p>
      <w:r>
        <w:rPr>
          <w:rFonts w:ascii="Arial" w:hAnsi="Arial" w:eastAsia="宋体"/>
          <w:b w:val="0"/>
          <w:i w:val="0"/>
        </w:rPr>
        <w:t>三个可改字段至少出现一个。一次可对多行相同字段值补注；若现金分类与客商批次选择范围不同，应分别提交，不能用一个含非现金行的批次设置cashflow。</w:t>
      </w:r>
    </w:p>
    <w:tbl>
      <w:tblPr>
        <w:tblStyle w:val="TableGrid"/>
        <w:tblW w:type="auto" w:w="0"/>
        <w:jc w:val="center"/>
        <w:tblLayout w:type="fixed"/>
        <w:tblLook w:firstColumn="1" w:firstRow="1" w:lastColumn="0" w:lastRow="0" w:noHBand="0" w:noVBand="1" w:val="04A0"/>
      </w:tblPr>
      <w:tblGrid>
        <w:gridCol w:w="1767"/>
        <w:gridCol w:w="1374"/>
        <w:gridCol w:w="1674"/>
        <w:gridCol w:w="4591"/>
      </w:tblGrid>
      <w:tr>
        <w:trPr>
          <w:cantSplit/>
          <w:tblHeader w:val="true"/>
        </w:trPr>
        <w:tc>
          <w:tcPr>
            <w:tcW w:type="dxa" w:w="176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记录字段</w:t>
            </w:r>
          </w:p>
        </w:tc>
        <w:tc>
          <w:tcPr>
            <w:tcW w:type="dxa" w:w="13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类型</w:t>
            </w:r>
          </w:p>
        </w:tc>
        <w:tc>
          <w:tcPr>
            <w:tcW w:type="dxa" w:w="16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w:t>
            </w:r>
          </w:p>
        </w:tc>
        <w:tc>
          <w:tcPr>
            <w:tcW w:type="dxa" w:w="459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保存位置</w:t>
            </w:r>
          </w:p>
        </w:tc>
      </w:tr>
      <w:tr>
        <w:trPr>
          <w:cantSplit/>
        </w:trPr>
        <w:tc>
          <w:tcPr>
            <w:tcW w:type="dxa" w:w="1767"/>
            <w:vAlign w:val="top"/>
            <w:tcMar>
              <w:top w:w="65" w:type="dxa"/>
              <w:bottom w:w="65" w:type="dxa"/>
              <w:left w:w="65" w:type="dxa"/>
              <w:right w:w="65" w:type="dxa"/>
            </w:tcMar>
          </w:tcPr>
          <w:p>
            <w:pPr>
              <w:spacing w:before="30" w:after="30" w:line="252" w:lineRule="auto"/>
            </w:pPr>
            <w:r>
              <w:rPr>
                <w:rFonts w:ascii="Arial" w:hAnsi="Arial" w:eastAsia="宋体"/>
                <w:b w:val="0"/>
                <w:i w:val="0"/>
                <w:sz w:val="18"/>
              </w:rPr>
              <w:t>id</w:t>
            </w:r>
          </w:p>
        </w:tc>
        <w:tc>
          <w:tcPr>
            <w:tcW w:type="dxa" w:w="1374"/>
            <w:vAlign w:val="top"/>
            <w:tcMar>
              <w:top w:w="65" w:type="dxa"/>
              <w:bottom w:w="65" w:type="dxa"/>
              <w:left w:w="65" w:type="dxa"/>
              <w:right w:w="65" w:type="dxa"/>
            </w:tcMar>
          </w:tcPr>
          <w:p>
            <w:pPr>
              <w:spacing w:before="30" w:after="30" w:line="252" w:lineRule="auto"/>
            </w:pPr>
            <w:r>
              <w:rPr>
                <w:rFonts w:ascii="Arial" w:hAnsi="Arial" w:eastAsia="宋体"/>
                <w:b w:val="0"/>
                <w:i w:val="0"/>
                <w:sz w:val="18"/>
              </w:rPr>
              <w:t>S</w:t>
            </w:r>
          </w:p>
        </w:tc>
        <w:tc>
          <w:tcPr>
            <w:tcW w:type="dxa" w:w="1674"/>
            <w:vAlign w:val="top"/>
            <w:tcMar>
              <w:top w:w="65" w:type="dxa"/>
              <w:bottom w:w="65" w:type="dxa"/>
              <w:left w:w="65" w:type="dxa"/>
              <w:right w:w="65" w:type="dxa"/>
            </w:tcMar>
          </w:tcPr>
          <w:p>
            <w:pPr>
              <w:spacing w:before="30" w:after="30" w:line="252" w:lineRule="auto"/>
            </w:pPr>
            <w:r>
              <w:rPr>
                <w:rFonts w:ascii="Arial" w:hAnsi="Arial" w:eastAsia="宋体"/>
                <w:b w:val="0"/>
                <w:i w:val="0"/>
                <w:sz w:val="18"/>
              </w:rPr>
              <w:t>ERP-NOTE-序列</w:t>
            </w:r>
          </w:p>
        </w:tc>
        <w:tc>
          <w:tcPr>
            <w:tcW w:type="dxa" w:w="4591"/>
            <w:vAlign w:val="top"/>
            <w:tcMar>
              <w:top w:w="65" w:type="dxa"/>
              <w:bottom w:w="65" w:type="dxa"/>
              <w:left w:w="65" w:type="dxa"/>
              <w:right w:w="65" w:type="dxa"/>
            </w:tcMar>
          </w:tcPr>
          <w:p>
            <w:pPr>
              <w:spacing w:before="30" w:after="30" w:line="252" w:lineRule="auto"/>
            </w:pPr>
            <w:r>
              <w:rPr>
                <w:rFonts w:ascii="Arial" w:hAnsi="Arial" w:eastAsia="宋体"/>
                <w:b w:val="0"/>
                <w:i w:val="0"/>
                <w:sz w:val="18"/>
              </w:rPr>
              <w:t>erp.annotations[]及该行annotations[]。</w:t>
            </w:r>
          </w:p>
        </w:tc>
      </w:tr>
      <w:tr>
        <w:trPr>
          <w:cantSplit/>
        </w:trPr>
        <w:tc>
          <w:tcPr>
            <w:tcW w:type="dxa" w:w="17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at/by</w:t>
            </w:r>
          </w:p>
        </w:tc>
        <w:tc>
          <w:tcPr>
            <w:tcW w:type="dxa" w:w="13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ISO/角色S</w:t>
            </w:r>
          </w:p>
        </w:tc>
        <w:tc>
          <w:tcPr>
            <w:tcW w:type="dxa" w:w="16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补注时间与当前演示角色</w:t>
            </w:r>
          </w:p>
        </w:tc>
        <w:tc>
          <w:tcPr>
            <w:tcW w:type="dxa" w:w="4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不是修改原制单人编码，也不是NC在线回写。</w:t>
            </w:r>
          </w:p>
        </w:tc>
      </w:tr>
      <w:tr>
        <w:trPr>
          <w:cantSplit/>
        </w:trPr>
        <w:tc>
          <w:tcPr>
            <w:tcW w:type="dxa" w:w="1767"/>
            <w:vAlign w:val="top"/>
            <w:tcMar>
              <w:top w:w="65" w:type="dxa"/>
              <w:bottom w:w="65" w:type="dxa"/>
              <w:left w:w="65" w:type="dxa"/>
              <w:right w:w="65" w:type="dxa"/>
            </w:tcMar>
          </w:tcPr>
          <w:p>
            <w:pPr>
              <w:spacing w:before="30" w:after="30" w:line="252" w:lineRule="auto"/>
            </w:pPr>
            <w:r>
              <w:rPr>
                <w:rFonts w:ascii="Arial" w:hAnsi="Arial" w:eastAsia="宋体"/>
                <w:b w:val="0"/>
                <w:i w:val="0"/>
                <w:sz w:val="18"/>
              </w:rPr>
              <w:t>reason/rowId</w:t>
            </w:r>
          </w:p>
        </w:tc>
        <w:tc>
          <w:tcPr>
            <w:tcW w:type="dxa" w:w="1374"/>
            <w:vAlign w:val="top"/>
            <w:tcMar>
              <w:top w:w="65" w:type="dxa"/>
              <w:bottom w:w="65" w:type="dxa"/>
              <w:left w:w="65" w:type="dxa"/>
              <w:right w:w="65" w:type="dxa"/>
            </w:tcMar>
          </w:tcPr>
          <w:p>
            <w:pPr>
              <w:spacing w:before="30" w:after="30" w:line="252" w:lineRule="auto"/>
            </w:pPr>
            <w:r>
              <w:rPr>
                <w:rFonts w:ascii="Arial" w:hAnsi="Arial" w:eastAsia="宋体"/>
                <w:b w:val="0"/>
                <w:i w:val="0"/>
                <w:sz w:val="18"/>
              </w:rPr>
              <w:t>S(500)/S</w:t>
            </w:r>
          </w:p>
        </w:tc>
        <w:tc>
          <w:tcPr>
            <w:tcW w:type="dxa" w:w="1674"/>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核对原因和规范行ID</w:t>
            </w:r>
          </w:p>
        </w:tc>
        <w:tc>
          <w:tcPr>
            <w:tcW w:type="dxa" w:w="4591"/>
            <w:vAlign w:val="top"/>
            <w:tcMar>
              <w:top w:w="65" w:type="dxa"/>
              <w:bottom w:w="65" w:type="dxa"/>
              <w:left w:w="65" w:type="dxa"/>
              <w:right w:w="65" w:type="dxa"/>
            </w:tcMar>
          </w:tcPr>
          <w:p>
            <w:pPr>
              <w:spacing w:before="30" w:after="30" w:line="252" w:lineRule="auto"/>
            </w:pPr>
            <w:r>
              <w:rPr>
                <w:rFonts w:ascii="Arial" w:hAnsi="Arial" w:eastAsia="宋体"/>
                <w:b w:val="0"/>
                <w:i w:val="0"/>
                <w:sz w:val="18"/>
              </w:rPr>
              <w:t>可回到对应批次及原凭证。</w:t>
            </w:r>
          </w:p>
        </w:tc>
      </w:tr>
      <w:tr>
        <w:trPr>
          <w:cantSplit/>
        </w:trPr>
        <w:tc>
          <w:tcPr>
            <w:tcW w:type="dxa" w:w="176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before</w:t>
            </w:r>
          </w:p>
        </w:tc>
        <w:tc>
          <w:tcPr>
            <w:tcW w:type="dxa" w:w="13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object</w:t>
            </w:r>
          </w:p>
        </w:tc>
        <w:tc>
          <w:tcPr>
            <w:tcW w:type="dxa" w:w="16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本次规范化键的原值</w:t>
            </w:r>
          </w:p>
        </w:tc>
        <w:tc>
          <w:tcPr>
            <w:tcW w:type="dxa" w:w="459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只记录本次涉及字段及伴随状态，如counterpartyStatus/unmappedCounterparty。</w:t>
            </w:r>
          </w:p>
        </w:tc>
      </w:tr>
      <w:tr>
        <w:trPr>
          <w:cantSplit/>
        </w:trPr>
        <w:tc>
          <w:tcPr>
            <w:tcW w:type="dxa" w:w="1767"/>
            <w:vAlign w:val="top"/>
            <w:tcMar>
              <w:top w:w="65" w:type="dxa"/>
              <w:bottom w:w="65" w:type="dxa"/>
              <w:left w:w="65" w:type="dxa"/>
              <w:right w:w="65" w:type="dxa"/>
            </w:tcMar>
          </w:tcPr>
          <w:p>
            <w:pPr>
              <w:spacing w:before="30" w:after="30" w:line="252" w:lineRule="auto"/>
            </w:pPr>
            <w:r>
              <w:rPr>
                <w:rFonts w:ascii="Arial" w:hAnsi="Arial" w:eastAsia="宋体"/>
                <w:b w:val="0"/>
                <w:i w:val="0"/>
                <w:sz w:val="18"/>
              </w:rPr>
              <w:t>after</w:t>
            </w:r>
          </w:p>
        </w:tc>
        <w:tc>
          <w:tcPr>
            <w:tcW w:type="dxa" w:w="1374"/>
            <w:vAlign w:val="top"/>
            <w:tcMar>
              <w:top w:w="65" w:type="dxa"/>
              <w:bottom w:w="65" w:type="dxa"/>
              <w:left w:w="65" w:type="dxa"/>
              <w:right w:w="65" w:type="dxa"/>
            </w:tcMar>
          </w:tcPr>
          <w:p>
            <w:pPr>
              <w:spacing w:before="30" w:after="30" w:line="252" w:lineRule="auto"/>
            </w:pPr>
            <w:r>
              <w:rPr>
                <w:rFonts w:ascii="Arial" w:hAnsi="Arial" w:eastAsia="宋体"/>
                <w:b w:val="0"/>
                <w:i w:val="0"/>
                <w:sz w:val="18"/>
              </w:rPr>
              <w:t>object</w:t>
            </w:r>
          </w:p>
        </w:tc>
        <w:tc>
          <w:tcPr>
            <w:tcW w:type="dxa" w:w="1674"/>
            <w:vAlign w:val="top"/>
            <w:tcMar>
              <w:top w:w="65" w:type="dxa"/>
              <w:bottom w:w="65" w:type="dxa"/>
              <w:left w:w="65" w:type="dxa"/>
              <w:right w:w="65" w:type="dxa"/>
            </w:tcMar>
          </w:tcPr>
          <w:p>
            <w:pPr>
              <w:spacing w:before="30" w:after="30" w:line="252" w:lineRule="auto"/>
            </w:pPr>
            <w:r>
              <w:rPr>
                <w:rFonts w:ascii="Arial" w:hAnsi="Arial" w:eastAsia="宋体"/>
                <w:b w:val="0"/>
                <w:i w:val="0"/>
                <w:sz w:val="18"/>
              </w:rPr>
              <w:t>本次规范化新值</w:t>
            </w:r>
          </w:p>
        </w:tc>
        <w:tc>
          <w:tcPr>
            <w:tcW w:type="dxa" w:w="4591"/>
            <w:vAlign w:val="top"/>
            <w:tcMar>
              <w:top w:w="65" w:type="dxa"/>
              <w:bottom w:w="65" w:type="dxa"/>
              <w:left w:w="65" w:type="dxa"/>
              <w:right w:w="65" w:type="dxa"/>
            </w:tcMar>
          </w:tcPr>
          <w:p>
            <w:pPr>
              <w:spacing w:before="30" w:after="30" w:line="252" w:lineRule="auto"/>
            </w:pPr>
            <w:r>
              <w:rPr>
                <w:rFonts w:ascii="Arial" w:hAnsi="Arial" w:eastAsia="宋体"/>
                <w:b w:val="0"/>
                <w:i w:val="0"/>
                <w:sz w:val="18"/>
              </w:rPr>
              <w:t>原始rawFields不变；每次注记追加，不覆盖旧注记。</w:t>
            </w:r>
          </w:p>
        </w:tc>
      </w:tr>
    </w:tbl>
    <w:p>
      <w:pPr>
        <w:spacing w:after="40"/>
      </w:pPr>
    </w:p>
    <w:p>
      <w:r>
        <w:rPr>
          <w:rFonts w:ascii="Arial" w:hAnsi="Arial" w:eastAsia="宋体"/>
          <w:b w:val="0"/>
          <w:i w:val="0"/>
        </w:rPr>
        <w:t>补注使erp.version递增、受影响法人源valid=false、当前匹配valid=false、相关自动抵销来源失效、相关合并结果失效。随后必须重生单体、重新余额核对、重跑匹配、生成新抵销并审批，再逐层计算签核。已签核历史结果的ledgerSnapshot仍保留补注前的规范值和原来的注记历史。</w:t>
      </w:r>
    </w:p>
    <w:p>
      <w:r>
        <w:rPr>
          <w:rFonts w:ascii="Arial" w:hAnsi="Arial" w:eastAsia="宋体"/>
          <w:b w:val="0"/>
          <w:i w:val="0"/>
        </w:rPr>
        <w:t>适配规则变更与补注不同：修改bookMappings/辅助列/客商映射只解释后续导入，旧NC批次须停用重导。不能把“重新匹配”描述成已经重新解析旧rawFields，也不能把一次有据补注当成修改原账金额的替代入口。</w:t>
      </w:r>
    </w:p>
    <w:p>
      <w:pPr>
        <w:pStyle w:val="Heading2"/>
      </w:pPr>
      <w:bookmarkStart w:id="112" w:name="epm_112"/>
      <w:r>
        <w:rPr>
          <w:rFonts w:ascii="Arial" w:hAnsi="Arial" w:eastAsia="宋体"/>
          <w:b w:val="0"/>
          <w:i w:val="0"/>
        </w:rPr>
        <w:t>A.20 ERP动作payload完整表</w:t>
      </w:r>
      <w:bookmarkEnd w:id="112"/>
    </w:p>
    <w:p>
      <w:r>
        <w:rPr>
          <w:rFonts w:ascii="Arial" w:hAnsi="Arial" w:eastAsia="宋体"/>
          <w:b w:val="0"/>
          <w:i w:val="0"/>
        </w:rPr>
        <w:t>每个动作仍使用A.2的业务事务、revision、context、会话及CSRF；失败整笔回滚。非只读导入/生成并不意味着有负责人审批权限。未知ERP动作返回not_found，不会落入旧journal旁路。</w:t>
      </w:r>
    </w:p>
    <w:tbl>
      <w:tblPr>
        <w:tblStyle w:val="TableGrid"/>
        <w:tblW w:type="auto" w:w="0"/>
        <w:jc w:val="center"/>
        <w:tblLayout w:type="fixed"/>
        <w:tblLook w:firstColumn="1" w:firstRow="1" w:lastColumn="0" w:lastRow="0" w:noHBand="0" w:noVBand="1" w:val="04A0"/>
      </w:tblPr>
      <w:tblGrid>
        <w:gridCol w:w="2134"/>
        <w:gridCol w:w="2576"/>
        <w:gridCol w:w="2400"/>
        <w:gridCol w:w="2296"/>
      </w:tblGrid>
      <w:tr>
        <w:trPr>
          <w:cantSplit/>
          <w:tblHeader w:val="true"/>
        </w:trPr>
        <w:tc>
          <w:tcPr>
            <w:tcW w:type="dxa" w:w="21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action / 权限</w:t>
            </w:r>
          </w:p>
        </w:tc>
        <w:tc>
          <w:tcPr>
            <w:tcW w:type="dxa" w:w="25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payload字段与默认</w:t>
            </w:r>
          </w:p>
        </w:tc>
        <w:tc>
          <w:tcPr>
            <w:tcW w:type="dxa" w:w="24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前置校验</w:t>
            </w:r>
          </w:p>
        </w:tc>
        <w:tc>
          <w:tcPr>
            <w:tcW w:type="dxa" w:w="22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成功影响</w:t>
            </w:r>
          </w:p>
        </w:tc>
      </w:tr>
      <w:tr>
        <w:trPr>
          <w:cantSplit/>
        </w:trPr>
        <w:tc>
          <w:tcPr>
            <w:tcW w:type="dxa" w:w="2134"/>
            <w:vAlign w:val="top"/>
            <w:tcMar>
              <w:top w:w="65" w:type="dxa"/>
              <w:bottom w:w="65" w:type="dxa"/>
              <w:left w:w="65" w:type="dxa"/>
              <w:right w:w="65" w:type="dxa"/>
            </w:tcMar>
          </w:tcPr>
          <w:p>
            <w:pPr>
              <w:spacing w:before="30" w:after="30" w:line="252" w:lineRule="auto"/>
            </w:pPr>
            <w:r>
              <w:rPr>
                <w:rFonts w:ascii="Arial" w:hAnsi="Arial" w:eastAsia="宋体"/>
                <w:b w:val="0"/>
                <w:i w:val="0"/>
                <w:sz w:val="18"/>
              </w:rPr>
              <w:t>erp_adapter_save；MGR</w:t>
            </w:r>
          </w:p>
        </w:tc>
        <w:tc>
          <w:tcPr>
            <w:tcW w:type="dxa" w:w="2576"/>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adapter缺省generic；bookMappings数组；counterpartyMappings数组；importOptions对象</w:t>
            </w:r>
          </w:p>
        </w:tc>
        <w:tc>
          <w:tcPr>
            <w:tcW w:type="dxa" w:w="2400"/>
            <w:vAlign w:val="top"/>
            <w:tcMar>
              <w:top w:w="65" w:type="dxa"/>
              <w:bottom w:w="65" w:type="dxa"/>
              <w:left w:w="65" w:type="dxa"/>
              <w:right w:w="65" w:type="dxa"/>
            </w:tcMar>
          </w:tcPr>
          <w:p>
            <w:pPr>
              <w:spacing w:before="30" w:after="30" w:line="252" w:lineRule="auto"/>
            </w:pPr>
            <w:r>
              <w:rPr>
                <w:rFonts w:ascii="Arial" w:hAnsi="Arial" w:eastAsia="宋体"/>
                <w:b w:val="0"/>
                <w:i w:val="0"/>
                <w:sz w:val="18"/>
              </w:rPr>
              <w:t>adapter为generic/nc65；账簿唯一、本位币一致；辅助列1—9、非空无重复；ref列结算号/核销号/空</w:t>
            </w:r>
          </w:p>
        </w:tc>
        <w:tc>
          <w:tcPr>
            <w:tcW w:type="dxa" w:w="2296"/>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保存后续文件解释规则，erp.version+1；不重写旧导入规范行。</w:t>
            </w:r>
          </w:p>
        </w:tc>
      </w:tr>
      <w:tr>
        <w:trPr>
          <w:cantSplit/>
        </w:trPr>
        <w:tc>
          <w:tcPr>
            <w:tcW w:type="dxa" w:w="21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erp_mapping_save；MGR</w:t>
            </w:r>
          </w:p>
        </w:tc>
        <w:tc>
          <w:tcPr>
            <w:tcW w:type="dxa" w:w="2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rows非空映射数组，或csv/文件；sourceName可选，columnMap可选</w:t>
            </w:r>
          </w:p>
        </w:tc>
        <w:tc>
          <w:tcPr>
            <w:tcW w:type="dxa" w:w="24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按法人科目唯一、field/方向有效；受影响法人全部相关期间已开放</w:t>
            </w:r>
          </w:p>
        </w:tc>
        <w:tc>
          <w:tcPr>
            <w:tcW w:type="dxa" w:w="2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同键旧映射停用，新version+batch；源/匹配/自动抵销/结果失效。</w:t>
            </w:r>
          </w:p>
        </w:tc>
      </w:tr>
      <w:tr>
        <w:trPr>
          <w:cantSplit/>
        </w:trPr>
        <w:tc>
          <w:tcPr>
            <w:tcW w:type="dxa" w:w="2134"/>
            <w:vAlign w:val="top"/>
            <w:tcMar>
              <w:top w:w="65" w:type="dxa"/>
              <w:bottom w:w="65" w:type="dxa"/>
              <w:left w:w="65" w:type="dxa"/>
              <w:right w:w="65" w:type="dxa"/>
            </w:tcMar>
          </w:tcPr>
          <w:p>
            <w:pPr>
              <w:spacing w:before="30" w:after="30" w:line="252" w:lineRule="auto"/>
            </w:pPr>
            <w:r>
              <w:rPr>
                <w:rFonts w:ascii="Arial" w:hAnsi="Arial" w:eastAsia="宋体"/>
                <w:b w:val="0"/>
                <w:i w:val="0"/>
                <w:sz w:val="18"/>
              </w:rPr>
              <w:t>erp_opening_import；WR</w:t>
            </w:r>
          </w:p>
        </w:tc>
        <w:tc>
          <w:tcPr>
            <w:tcW w:type="dxa" w:w="2576"/>
            <w:vAlign w:val="top"/>
            <w:tcMar>
              <w:top w:w="65" w:type="dxa"/>
              <w:bottom w:w="65" w:type="dxa"/>
              <w:left w:w="65" w:type="dxa"/>
              <w:right w:w="65" w:type="dxa"/>
            </w:tcMar>
          </w:tcPr>
          <w:p>
            <w:pPr>
              <w:spacing w:before="30" w:after="30" w:line="252" w:lineRule="auto"/>
            </w:pPr>
            <w:r>
              <w:rPr>
                <w:rFonts w:ascii="Arial" w:hAnsi="Arial" w:eastAsia="宋体"/>
                <w:b w:val="0"/>
                <w:i w:val="0"/>
                <w:sz w:val="18"/>
              </w:rPr>
              <w:t>csv或fileBase64/fileName/sheetName；amountUnit缺省元；sourceName/columnMap可选</w:t>
            </w:r>
          </w:p>
        </w:tc>
        <w:tc>
          <w:tcPr>
            <w:tcW w:type="dxa" w:w="2400"/>
            <w:vAlign w:val="top"/>
            <w:tcMar>
              <w:top w:w="65" w:type="dxa"/>
              <w:bottom w:w="65" w:type="dxa"/>
              <w:left w:w="65" w:type="dxa"/>
              <w:right w:w="65" w:type="dxa"/>
            </w:tcMar>
          </w:tcPr>
          <w:p>
            <w:pPr>
              <w:spacing w:before="30" w:after="30" w:line="252" w:lineRule="auto"/>
            </w:pPr>
            <w:r>
              <w:rPr>
                <w:rFonts w:ascii="Arial" w:hAnsi="Arial" w:eastAsia="宋体"/>
                <w:b w:val="0"/>
                <w:i w:val="0"/>
                <w:sz w:val="18"/>
              </w:rPr>
              <w:t>2026年初、本位币、法人平衡、无有效重复明细、科目已映射；相关年初以后签核链开放</w:t>
            </w:r>
          </w:p>
        </w:tc>
        <w:tc>
          <w:tcPr>
            <w:tcW w:type="dxa" w:w="2296"/>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新增opening批次及行；不覆盖旧行；输入version变更并级联失效。</w:t>
            </w:r>
          </w:p>
        </w:tc>
      </w:tr>
      <w:tr>
        <w:trPr>
          <w:cantSplit/>
        </w:trPr>
        <w:tc>
          <w:tcPr>
            <w:tcW w:type="dxa" w:w="21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erp_voucher_import；WR</w:t>
            </w:r>
          </w:p>
        </w:tc>
        <w:tc>
          <w:tcPr>
            <w:tcW w:type="dxa" w:w="2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csv或文件；format缺省adapter；amountUnit缺省元；NC必须postedConfirmed=true；sourceName/columnMap可选</w:t>
            </w:r>
          </w:p>
        </w:tc>
        <w:tc>
          <w:tcPr>
            <w:tcW w:type="dxa" w:w="24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整张凭证平衡、日期2026、同张日期/本位币一致、有效分录不重复；NC账簿/辅助/ref解释有效；科目已映射</w:t>
            </w:r>
          </w:p>
        </w:tc>
        <w:tc>
          <w:tcPr>
            <w:tcW w:type="dxa" w:w="2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保存原规范行、rawFields、来源批次/序号；从最早发生月起级联失效。</w:t>
            </w:r>
          </w:p>
        </w:tc>
      </w:tr>
      <w:tr>
        <w:trPr>
          <w:cantSplit/>
        </w:trPr>
        <w:tc>
          <w:tcPr>
            <w:tcW w:type="dxa" w:w="2134"/>
            <w:vAlign w:val="top"/>
            <w:tcMar>
              <w:top w:w="65" w:type="dxa"/>
              <w:bottom w:w="65" w:type="dxa"/>
              <w:left w:w="65" w:type="dxa"/>
              <w:right w:w="65" w:type="dxa"/>
            </w:tcMar>
          </w:tcPr>
          <w:p>
            <w:pPr>
              <w:spacing w:before="30" w:after="30" w:line="252" w:lineRule="auto"/>
            </w:pPr>
            <w:r>
              <w:rPr>
                <w:rFonts w:ascii="Arial" w:hAnsi="Arial" w:eastAsia="宋体"/>
                <w:b w:val="0"/>
                <w:i w:val="0"/>
                <w:sz w:val="18"/>
              </w:rPr>
              <w:t>erp_batch_cancel；MGR</w:t>
            </w:r>
          </w:p>
        </w:tc>
        <w:tc>
          <w:tcPr>
            <w:tcW w:type="dxa" w:w="2576"/>
            <w:vAlign w:val="top"/>
            <w:tcMar>
              <w:top w:w="65" w:type="dxa"/>
              <w:bottom w:w="65" w:type="dxa"/>
              <w:left w:w="65" w:type="dxa"/>
              <w:right w:w="65" w:type="dxa"/>
            </w:tcMar>
          </w:tcPr>
          <w:p>
            <w:pPr>
              <w:spacing w:before="30" w:after="30" w:line="252" w:lineRule="auto"/>
            </w:pPr>
            <w:r>
              <w:rPr>
                <w:rFonts w:ascii="Arial" w:hAnsi="Arial" w:eastAsia="宋体"/>
                <w:b w:val="0"/>
                <w:i w:val="0"/>
                <w:sz w:val="18"/>
              </w:rPr>
              <w:t>batchId、reason S(500)必填</w:t>
            </w:r>
          </w:p>
        </w:tc>
        <w:tc>
          <w:tcPr>
            <w:tcW w:type="dxa" w:w="2400"/>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批次存在且未停用；涉及法人相关期签核链开放</w:t>
            </w:r>
          </w:p>
        </w:tc>
        <w:tc>
          <w:tcPr>
            <w:tcW w:type="dxa" w:w="2296"/>
            <w:vAlign w:val="top"/>
            <w:tcMar>
              <w:top w:w="65" w:type="dxa"/>
              <w:bottom w:w="65" w:type="dxa"/>
              <w:left w:w="65" w:type="dxa"/>
              <w:right w:w="65" w:type="dxa"/>
            </w:tcMar>
          </w:tcPr>
          <w:p>
            <w:pPr>
              <w:spacing w:before="30" w:after="30" w:line="252" w:lineRule="auto"/>
            </w:pPr>
            <w:r>
              <w:rPr>
                <w:rFonts w:ascii="Arial" w:hAnsi="Arial" w:eastAsia="宋体"/>
                <w:b w:val="0"/>
                <w:i w:val="0"/>
                <w:sz w:val="18"/>
              </w:rPr>
              <w:t>批次/对应行active=false，留原因时间；不删原行或历史快照。</w:t>
            </w:r>
          </w:p>
        </w:tc>
      </w:tr>
      <w:tr>
        <w:trPr>
          <w:cantSplit/>
        </w:trPr>
        <w:tc>
          <w:tcPr>
            <w:tcW w:type="dxa" w:w="21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erp_voucher_annotations_save；WR</w:t>
            </w:r>
          </w:p>
        </w:tc>
        <w:tc>
          <w:tcPr>
            <w:tcW w:type="dxa" w:w="2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rowIds必填；counterpartyId/reference/cashflow至少一项；reason必填</w:t>
            </w:r>
          </w:p>
        </w:tc>
        <w:tc>
          <w:tcPr>
            <w:tcW w:type="dxa" w:w="24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仅允许A.19键；当前范围截至当前期有效行；现金分类只cash；签核先重开</w:t>
            </w:r>
          </w:p>
        </w:tc>
        <w:tc>
          <w:tcPr>
            <w:tcW w:type="dxa" w:w="2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追加before/after注记，不改原金额；相关源/匹配/自动抵销/结果失效。</w:t>
            </w:r>
          </w:p>
        </w:tc>
      </w:tr>
      <w:tr>
        <w:trPr>
          <w:cantSplit/>
        </w:trPr>
        <w:tc>
          <w:tcPr>
            <w:tcW w:type="dxa" w:w="2134"/>
            <w:vAlign w:val="top"/>
            <w:tcMar>
              <w:top w:w="65" w:type="dxa"/>
              <w:bottom w:w="65" w:type="dxa"/>
              <w:left w:w="65" w:type="dxa"/>
              <w:right w:w="65" w:type="dxa"/>
            </w:tcMar>
          </w:tcPr>
          <w:p>
            <w:pPr>
              <w:spacing w:before="30" w:after="30" w:line="252" w:lineRule="auto"/>
            </w:pPr>
            <w:r>
              <w:rPr>
                <w:rFonts w:ascii="Arial" w:hAnsi="Arial" w:eastAsia="宋体"/>
                <w:b w:val="0"/>
                <w:i w:val="0"/>
                <w:sz w:val="18"/>
              </w:rPr>
              <w:t>erp_report_generate；WR</w:t>
            </w:r>
          </w:p>
        </w:tc>
        <w:tc>
          <w:tcPr>
            <w:tcW w:type="dxa" w:w="2576"/>
            <w:vAlign w:val="top"/>
            <w:tcMar>
              <w:top w:w="65" w:type="dxa"/>
              <w:bottom w:w="65" w:type="dxa"/>
              <w:left w:w="65" w:type="dxa"/>
              <w:right w:w="65" w:type="dxa"/>
            </w:tcMar>
          </w:tcPr>
          <w:p>
            <w:pPr>
              <w:spacing w:before="30" w:after="30" w:line="252" w:lineRule="auto"/>
            </w:pPr>
            <w:r>
              <w:rPr>
                <w:rFonts w:ascii="Arial" w:hAnsi="Arial" w:eastAsia="宋体"/>
                <w:b w:val="0"/>
                <w:i w:val="0"/>
                <w:sz w:val="18"/>
              </w:rPr>
              <w:t>entityIds可选，缺省当前范围已有ERP账务的叶子法人</w:t>
            </w:r>
          </w:p>
        </w:tc>
        <w:tc>
          <w:tcPr>
            <w:tcW w:type="dxa" w:w="2400"/>
            <w:vAlign w:val="top"/>
            <w:tcMar>
              <w:top w:w="65" w:type="dxa"/>
              <w:bottom w:w="65" w:type="dxa"/>
              <w:left w:w="65" w:type="dxa"/>
              <w:right w:w="65" w:type="dxa"/>
            </w:tcMar>
          </w:tcPr>
          <w:p>
            <w:pPr>
              <w:spacing w:before="30" w:after="30" w:line="252" w:lineRule="auto"/>
            </w:pPr>
            <w:r>
              <w:rPr>
                <w:rFonts w:ascii="Arial" w:hAnsi="Arial" w:eastAsia="宋体"/>
                <w:b w:val="0"/>
                <w:i w:val="0"/>
                <w:sz w:val="18"/>
              </w:rPr>
              <w:t>非空、不重复且必须属于当前合并范围；当期及关联未来保护先开放；完整期初/映射/凭证、结转和现金分类无歧义</w:t>
            </w:r>
          </w:p>
        </w:tc>
        <w:tc>
          <w:tcPr>
            <w:tcW w:type="dxa" w:w="2296"/>
            <w:vAlign w:val="top"/>
            <w:tcMar>
              <w:top w:w="65" w:type="dxa"/>
              <w:bottom w:w="65" w:type="dxa"/>
              <w:left w:w="65" w:type="dxa"/>
              <w:right w:w="65" w:type="dxa"/>
            </w:tcMar>
          </w:tcPr>
          <w:p>
            <w:pPr>
              <w:spacing w:before="30" w:after="30" w:line="252" w:lineRule="auto"/>
            </w:pPr>
            <w:r>
              <w:rPr>
                <w:rFonts w:ascii="Arial" w:hAnsi="Arial" w:eastAsia="宋体"/>
                <w:b w:val="0"/>
                <w:i w:val="0"/>
                <w:sz w:val="18"/>
              </w:rPr>
              <w:t>整批预生成全部成功才写source和erp.reports，源version递增；当期相关结果失效。</w:t>
            </w:r>
          </w:p>
        </w:tc>
      </w:tr>
      <w:tr>
        <w:trPr>
          <w:cantSplit/>
        </w:trPr>
        <w:tc>
          <w:tcPr>
            <w:tcW w:type="dxa" w:w="21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erp_match_run；WR</w:t>
            </w:r>
          </w:p>
        </w:tc>
        <w:tc>
          <w:tcPr>
            <w:tcW w:type="dxa" w:w="2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unitId可选，缺省当前</w:t>
            </w:r>
          </w:p>
        </w:tc>
        <w:tc>
          <w:tcPr>
            <w:tcW w:type="dxa" w:w="24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范围存在；按当期有效账务匹配</w:t>
            </w:r>
          </w:p>
        </w:tc>
        <w:tc>
          <w:tcPr>
            <w:tcW w:type="dxa" w:w="2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保存当前匹配run、当前输入签名与差异；旧不同签名auto停用；不自动审批或补差。</w:t>
            </w:r>
          </w:p>
        </w:tc>
      </w:tr>
      <w:tr>
        <w:trPr>
          <w:cantSplit/>
        </w:trPr>
        <w:tc>
          <w:tcPr>
            <w:tcW w:type="dxa" w:w="2134"/>
            <w:vAlign w:val="top"/>
            <w:tcMar>
              <w:top w:w="65" w:type="dxa"/>
              <w:bottom w:w="65" w:type="dxa"/>
              <w:left w:w="65" w:type="dxa"/>
              <w:right w:w="65" w:type="dxa"/>
            </w:tcMar>
          </w:tcPr>
          <w:p>
            <w:pPr>
              <w:spacing w:before="30" w:after="30" w:line="252" w:lineRule="auto"/>
            </w:pPr>
            <w:r>
              <w:rPr>
                <w:rFonts w:ascii="Arial" w:hAnsi="Arial" w:eastAsia="宋体"/>
                <w:b w:val="0"/>
                <w:i w:val="0"/>
                <w:sz w:val="18"/>
              </w:rPr>
              <w:t>erp_demo_eliminations_replace；MGR（兼容旧模式，不是空框架必做）</w:t>
            </w:r>
          </w:p>
        </w:tc>
        <w:tc>
          <w:tcPr>
            <w:tcW w:type="dxa" w:w="2576"/>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unitId可选；reason S(500)必填</w:t>
            </w:r>
          </w:p>
        </w:tc>
        <w:tc>
          <w:tcPr>
            <w:tcW w:type="dxa" w:w="2400"/>
            <w:vAlign w:val="top"/>
            <w:tcMar>
              <w:top w:w="65" w:type="dxa"/>
              <w:bottom w:w="65" w:type="dxa"/>
              <w:left w:w="65" w:type="dxa"/>
              <w:right w:w="65" w:type="dxa"/>
            </w:tcMar>
          </w:tcPr>
          <w:p>
            <w:pPr>
              <w:spacing w:before="30" w:after="30" w:line="252" w:lineRule="auto"/>
            </w:pPr>
            <w:r>
              <w:rPr>
                <w:rFonts w:ascii="Arial" w:hAnsi="Arial" w:eastAsia="宋体"/>
                <w:b w:val="0"/>
                <w:i w:val="0"/>
                <w:sz w:val="18"/>
              </w:rPr>
              <w:t>本层及祖先当期开放</w:t>
            </w:r>
          </w:p>
        </w:tc>
        <w:tc>
          <w:tcPr>
            <w:tcW w:type="dxa" w:w="2296"/>
            <w:vAlign w:val="top"/>
            <w:tcMar>
              <w:top w:w="65" w:type="dxa"/>
              <w:bottom w:w="65" w:type="dxa"/>
              <w:left w:w="65" w:type="dxa"/>
              <w:right w:w="65" w:type="dxa"/>
            </w:tcMar>
          </w:tcPr>
          <w:p>
            <w:pPr>
              <w:spacing w:before="30" w:after="30" w:line="252" w:lineRule="auto"/>
            </w:pPr>
            <w:r>
              <w:rPr>
                <w:rFonts w:ascii="Arial" w:hAnsi="Arial" w:eastAsia="宋体"/>
                <w:b w:val="0"/>
                <w:i w:val="0"/>
                <w:sz w:val="18"/>
              </w:rPr>
              <w:t>仅停用本层本期seedOrigin预置销售，说明转入凭证模式；投资权益/用户自建/历史快照保留。</w:t>
            </w:r>
          </w:p>
        </w:tc>
      </w:tr>
      <w:tr>
        <w:trPr>
          <w:cantSplit/>
        </w:trPr>
        <w:tc>
          <w:tcPr>
            <w:tcW w:type="dxa" w:w="21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erp_elimination_generate；WR</w:t>
            </w:r>
          </w:p>
        </w:tc>
        <w:tc>
          <w:tcPr>
            <w:tcW w:type="dxa" w:w="2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unitId可选；matchIds可选数组，不传选全部相符项</w:t>
            </w:r>
          </w:p>
        </w:tc>
        <w:tc>
          <w:tcPr>
            <w:tcW w:type="dxa" w:w="24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模式冲突已转换；当前run有效且签名一致；所选ID存在；层和币种正确；签核链开放</w:t>
            </w:r>
          </w:p>
        </w:tc>
        <w:tc>
          <w:tcPr>
            <w:tcW w:type="dxa" w:w="22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幂等生成自动草稿、真实借贷journalLines和来源；原匹配未批准不能直接进合并。</w:t>
            </w:r>
          </w:p>
        </w:tc>
      </w:tr>
      <w:tr>
        <w:trPr>
          <w:cantSplit/>
        </w:trPr>
        <w:tc>
          <w:tcPr>
            <w:tcW w:type="dxa" w:w="2134"/>
            <w:vAlign w:val="top"/>
            <w:tcMar>
              <w:top w:w="65" w:type="dxa"/>
              <w:bottom w:w="65" w:type="dxa"/>
              <w:left w:w="65" w:type="dxa"/>
              <w:right w:w="65" w:type="dxa"/>
            </w:tcMar>
          </w:tcPr>
          <w:p>
            <w:pPr>
              <w:spacing w:before="30" w:after="30" w:line="252" w:lineRule="auto"/>
            </w:pPr>
            <w:r>
              <w:rPr>
                <w:rFonts w:ascii="Arial" w:hAnsi="Arial" w:eastAsia="宋体"/>
                <w:b w:val="0"/>
                <w:i w:val="0"/>
                <w:sz w:val="18"/>
              </w:rPr>
              <w:t>erp_eliminations_approve；MGR</w:t>
            </w:r>
          </w:p>
        </w:tc>
        <w:tc>
          <w:tcPr>
            <w:tcW w:type="dxa" w:w="2576"/>
            <w:vAlign w:val="top"/>
            <w:tcMar>
              <w:top w:w="65" w:type="dxa"/>
              <w:bottom w:w="65" w:type="dxa"/>
              <w:left w:w="65" w:type="dxa"/>
              <w:right w:w="65" w:type="dxa"/>
            </w:tcMar>
          </w:tcPr>
          <w:p>
            <w:pPr>
              <w:spacing w:before="30" w:after="30" w:line="252" w:lineRule="auto"/>
            </w:pPr>
            <w:r>
              <w:rPr>
                <w:rFonts w:ascii="Arial" w:hAnsi="Arial" w:eastAsia="宋体"/>
                <w:b w:val="0"/>
                <w:i w:val="0"/>
                <w:sz w:val="18"/>
              </w:rPr>
              <w:t>unitId可选；ids可选数组，不传选本层当期ERP草稿；reason S(500)必填</w:t>
            </w:r>
          </w:p>
        </w:tc>
        <w:tc>
          <w:tcPr>
            <w:tcW w:type="dxa" w:w="2400"/>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匹配当前、每张来源当前；所选只能本层当期待审ERP自动草稿；签核链开放</w:t>
            </w:r>
          </w:p>
        </w:tc>
        <w:tc>
          <w:tcPr>
            <w:tcW w:type="dxa" w:w="2296"/>
            <w:vAlign w:val="top"/>
            <w:tcMar>
              <w:top w:w="65" w:type="dxa"/>
              <w:bottom w:w="65" w:type="dxa"/>
              <w:left w:w="65" w:type="dxa"/>
              <w:right w:w="65" w:type="dxa"/>
            </w:tcMar>
          </w:tcPr>
          <w:p>
            <w:pPr>
              <w:spacing w:before="30" w:after="30" w:line="252" w:lineRule="auto"/>
            </w:pPr>
            <w:r>
              <w:rPr>
                <w:rFonts w:ascii="Arial" w:hAnsi="Arial" w:eastAsia="宋体"/>
                <w:b w:val="0"/>
                <w:i w:val="0"/>
                <w:sz w:val="18"/>
              </w:rPr>
              <w:t>事务内逐张正式审批、保存approvedBy/At/Reason；任一错误整批rollback，不改手工项。</w:t>
            </w:r>
          </w:p>
        </w:tc>
      </w:tr>
    </w:tbl>
    <w:p>
      <w:pPr>
        <w:spacing w:after="40"/>
      </w:pPr>
    </w:p>
    <w:p>
      <w:pPr>
        <w:pStyle w:val="Heading3"/>
      </w:pPr>
      <w:bookmarkStart w:id="113" w:name="epm_113"/>
      <w:r>
        <w:rPr>
          <w:rFonts w:ascii="Arial" w:hAnsi="Arial" w:eastAsia="宋体"/>
          <w:b w:val="0"/>
          <w:i w:val="0"/>
        </w:rPr>
        <w:t>A.20.1 ERP派生状态和正式合并前置</w:t>
      </w:r>
      <w:bookmarkEnd w:id="113"/>
    </w:p>
    <w:tbl>
      <w:tblPr>
        <w:tblStyle w:val="TableGrid"/>
        <w:tblW w:type="auto" w:w="0"/>
        <w:jc w:val="center"/>
        <w:tblLayout w:type="fixed"/>
        <w:tblLook w:firstColumn="1" w:firstRow="1" w:lastColumn="0" w:lastRow="0" w:noHBand="0" w:noVBand="1" w:val="04A0"/>
      </w:tblPr>
      <w:tblGrid>
        <w:gridCol w:w="2581"/>
        <w:gridCol w:w="3924"/>
        <w:gridCol w:w="2900"/>
      </w:tblGrid>
      <w:tr>
        <w:trPr>
          <w:cantSplit/>
          <w:tblHeader w:val="true"/>
        </w:trPr>
        <w:tc>
          <w:tcPr>
            <w:tcW w:type="dxa" w:w="25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前置码/状态</w:t>
            </w:r>
          </w:p>
        </w:tc>
        <w:tc>
          <w:tcPr>
            <w:tcW w:type="dxa" w:w="39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判定依据</w:t>
            </w:r>
          </w:p>
        </w:tc>
        <w:tc>
          <w:tcPr>
            <w:tcW w:type="dxa" w:w="29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阻断及恢复路径</w:t>
            </w:r>
          </w:p>
        </w:tc>
      </w:tr>
      <w:tr>
        <w:trPr>
          <w:cantSplit/>
        </w:trPr>
        <w:tc>
          <w:tcPr>
            <w:tcW w:type="dxa" w:w="2581"/>
            <w:vAlign w:val="top"/>
            <w:tcMar>
              <w:top w:w="65" w:type="dxa"/>
              <w:bottom w:w="65" w:type="dxa"/>
              <w:left w:w="65" w:type="dxa"/>
              <w:right w:w="65" w:type="dxa"/>
            </w:tcMar>
          </w:tcPr>
          <w:p>
            <w:pPr>
              <w:spacing w:before="30" w:after="30" w:line="252" w:lineRule="auto"/>
            </w:pPr>
            <w:r>
              <w:rPr>
                <w:rFonts w:ascii="Arial" w:hAnsi="Arial" w:eastAsia="宋体"/>
                <w:b w:val="0"/>
                <w:i w:val="0"/>
                <w:sz w:val="19"/>
              </w:rPr>
              <w:t>erp_source_法人ID</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所有正式叶子法人均须sourceType=erp且source.ledgerFingerprint等于当前账务摘要</w:t>
            </w:r>
          </w:p>
        </w:tc>
        <w:tc>
          <w:tcPr>
            <w:tcW w:type="dxa" w:w="2900"/>
            <w:vAlign w:val="top"/>
            <w:tcMar>
              <w:top w:w="65" w:type="dxa"/>
              <w:bottom w:w="65" w:type="dxa"/>
              <w:left w:w="65" w:type="dxa"/>
              <w:right w:w="65" w:type="dxa"/>
            </w:tcMar>
          </w:tcPr>
          <w:p>
            <w:pPr>
              <w:spacing w:before="30" w:after="30" w:line="252" w:lineRule="auto"/>
            </w:pPr>
            <w:r>
              <w:rPr>
                <w:rFonts w:ascii="Arial" w:hAnsi="Arial" w:eastAsia="宋体"/>
                <w:b w:val="0"/>
                <w:i w:val="0"/>
                <w:sz w:val="19"/>
              </w:rPr>
              <w:t>账务/映射/补注/批次变更后须重生，不允许继续沿用旧单体。</w:t>
            </w:r>
          </w:p>
        </w:tc>
      </w:tr>
      <w:tr>
        <w:trPr>
          <w:cantSplit/>
        </w:trPr>
        <w:tc>
          <w:tcPr>
            <w:tcW w:type="dxa" w:w="2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erp_demo_elimination_conflict</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兼容旧模式冲突；新空框架没有预置sales</w:t>
            </w:r>
          </w:p>
        </w:tc>
        <w:tc>
          <w:tcPr>
            <w:tcW w:type="dxa" w:w="2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旧模式才按权限处理；从零用户无需寻找或停用不存在的100/50事项。</w:t>
            </w:r>
          </w:p>
        </w:tc>
      </w:tr>
      <w:tr>
        <w:trPr>
          <w:cantSplit/>
        </w:trPr>
        <w:tc>
          <w:tcPr>
            <w:tcW w:type="dxa" w:w="2581"/>
            <w:vAlign w:val="top"/>
            <w:tcMar>
              <w:top w:w="65" w:type="dxa"/>
              <w:bottom w:w="65" w:type="dxa"/>
              <w:left w:w="65" w:type="dxa"/>
              <w:right w:w="65" w:type="dxa"/>
            </w:tcMar>
          </w:tcPr>
          <w:p>
            <w:pPr>
              <w:spacing w:before="30" w:after="30" w:line="252" w:lineRule="auto"/>
            </w:pPr>
            <w:r>
              <w:rPr>
                <w:rFonts w:ascii="Arial" w:hAnsi="Arial" w:eastAsia="宋体"/>
                <w:b w:val="0"/>
                <w:i w:val="0"/>
                <w:sz w:val="19"/>
              </w:rPr>
              <w:t>erp_matching</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本层相关内部交易已用当前输入运行匹配，run.valid且输入签名一致</w:t>
            </w:r>
          </w:p>
        </w:tc>
        <w:tc>
          <w:tcPr>
            <w:tcW w:type="dxa" w:w="2900"/>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重新匹配，不复用旧签名。</w:t>
            </w:r>
          </w:p>
        </w:tc>
      </w:tr>
      <w:tr>
        <w:trPr>
          <w:cantSplit/>
        </w:trPr>
        <w:tc>
          <w:tcPr>
            <w:tcW w:type="dxa" w:w="2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erp_differences</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当前匹配差异列表为空</w:t>
            </w:r>
          </w:p>
        </w:tc>
        <w:tc>
          <w:tcPr>
            <w:tcW w:type="dxa" w:w="2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核对原行/期初/辅助/ref/金额，修后重配；不能标记忽略或自动补差。</w:t>
            </w:r>
          </w:p>
        </w:tc>
      </w:tr>
      <w:tr>
        <w:trPr>
          <w:cantSplit/>
        </w:trPr>
        <w:tc>
          <w:tcPr>
            <w:tcW w:type="dxa" w:w="2581"/>
            <w:vAlign w:val="top"/>
            <w:tcMar>
              <w:top w:w="65" w:type="dxa"/>
              <w:bottom w:w="65" w:type="dxa"/>
              <w:left w:w="65" w:type="dxa"/>
              <w:right w:w="65" w:type="dxa"/>
            </w:tcMar>
          </w:tcPr>
          <w:p>
            <w:pPr>
              <w:spacing w:before="30" w:after="30" w:line="252" w:lineRule="auto"/>
            </w:pPr>
            <w:r>
              <w:rPr>
                <w:rFonts w:ascii="Arial" w:hAnsi="Arial" w:eastAsia="宋体"/>
                <w:b w:val="0"/>
                <w:i w:val="0"/>
                <w:sz w:val="19"/>
              </w:rPr>
              <w:t>erp_generated</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当前每项相符匹配都已有对应当前签名已审批抵销</w:t>
            </w:r>
          </w:p>
        </w:tc>
        <w:tc>
          <w:tcPr>
            <w:tcW w:type="dxa" w:w="2900"/>
            <w:vAlign w:val="top"/>
            <w:tcMar>
              <w:top w:w="65" w:type="dxa"/>
              <w:bottom w:w="65" w:type="dxa"/>
              <w:left w:w="65" w:type="dxa"/>
              <w:right w:w="65" w:type="dxa"/>
            </w:tcMar>
          </w:tcPr>
          <w:p>
            <w:pPr>
              <w:spacing w:before="30" w:after="30" w:line="252" w:lineRule="auto"/>
            </w:pPr>
            <w:r>
              <w:rPr>
                <w:rFonts w:ascii="Arial" w:hAnsi="Arial" w:eastAsia="宋体"/>
                <w:b w:val="0"/>
                <w:i w:val="0"/>
                <w:sz w:val="19"/>
              </w:rPr>
              <w:t>生成草稿后负责人审批；生成与审批是两个步骤。</w:t>
            </w:r>
          </w:p>
        </w:tc>
      </w:tr>
      <w:tr>
        <w:trPr>
          <w:cantSplit/>
        </w:trPr>
        <w:tc>
          <w:tcPr>
            <w:tcW w:type="dxa" w:w="2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来源失效</w:t>
            </w:r>
          </w:p>
        </w:tc>
        <w:tc>
          <w:tcPr>
            <w:tcW w:type="dxa" w:w="39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ERP输入改动使既有自动事项与来源不一致</w:t>
            </w:r>
          </w:p>
        </w:tc>
        <w:tc>
          <w:tcPr>
            <w:tcW w:type="dxa" w:w="2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旧项不得继续批准；重配后旧签名停用，再生成当前草稿。</w:t>
            </w:r>
          </w:p>
        </w:tc>
      </w:tr>
      <w:tr>
        <w:trPr>
          <w:cantSplit/>
        </w:trPr>
        <w:tc>
          <w:tcPr>
            <w:tcW w:type="dxa" w:w="2581"/>
            <w:vAlign w:val="top"/>
            <w:tcMar>
              <w:top w:w="65" w:type="dxa"/>
              <w:bottom w:w="65" w:type="dxa"/>
              <w:left w:w="65" w:type="dxa"/>
              <w:right w:w="65" w:type="dxa"/>
            </w:tcMar>
          </w:tcPr>
          <w:p>
            <w:pPr>
              <w:spacing w:before="30" w:after="30" w:line="252" w:lineRule="auto"/>
            </w:pPr>
            <w:r>
              <w:rPr>
                <w:rFonts w:ascii="Arial" w:hAnsi="Arial" w:eastAsia="宋体"/>
                <w:b w:val="0"/>
                <w:i w:val="0"/>
                <w:sz w:val="19"/>
              </w:rPr>
              <w:t>已停用</w:t>
            </w:r>
          </w:p>
        </w:tc>
        <w:tc>
          <w:tcPr>
            <w:tcW w:type="dxa" w:w="3924"/>
            <w:vAlign w:val="top"/>
            <w:tcMar>
              <w:top w:w="65" w:type="dxa"/>
              <w:bottom w:w="65" w:type="dxa"/>
              <w:left w:w="65" w:type="dxa"/>
              <w:right w:w="65" w:type="dxa"/>
            </w:tcMar>
          </w:tcPr>
          <w:p>
            <w:pPr>
              <w:spacing w:before="30" w:after="30" w:line="252" w:lineRule="auto"/>
            </w:pPr>
            <w:r>
              <w:rPr>
                <w:rFonts w:ascii="Arial" w:hAnsi="Arial" w:eastAsia="宋体"/>
                <w:b w:val="0"/>
                <w:i w:val="0"/>
                <w:sz w:val="19"/>
              </w:rPr>
              <w:t>原输入批次或抵销明确停用</w:t>
            </w:r>
          </w:p>
        </w:tc>
        <w:tc>
          <w:tcPr>
            <w:tcW w:type="dxa" w:w="2900"/>
            <w:vAlign w:val="top"/>
            <w:tcMar>
              <w:top w:w="65" w:type="dxa"/>
              <w:bottom w:w="65" w:type="dxa"/>
              <w:left w:w="65" w:type="dxa"/>
              <w:right w:w="65" w:type="dxa"/>
            </w:tcMar>
          </w:tcPr>
          <w:p>
            <w:pPr>
              <w:spacing w:before="30" w:after="30" w:line="252" w:lineRule="auto"/>
            </w:pPr>
            <w:r>
              <w:rPr>
                <w:rFonts w:ascii="Arial" w:hAnsi="Arial" w:eastAsia="宋体"/>
                <w:b w:val="0"/>
                <w:i w:val="0"/>
                <w:sz w:val="19"/>
              </w:rPr>
              <w:t>保留原行和原因；历史结果仍引用当时副本，不重新解释为0。</w:t>
            </w:r>
          </w:p>
        </w:tc>
      </w:tr>
    </w:tbl>
    <w:p>
      <w:pPr>
        <w:spacing w:after="40"/>
      </w:pPr>
    </w:p>
    <w:p>
      <w:r>
        <w:rPr>
          <w:rFonts w:ascii="Arial" w:hAnsi="Arial" w:eastAsia="宋体"/>
          <w:b w:val="0"/>
          <w:i w:val="0"/>
        </w:rPr>
        <w:t>非零收入/成本/应收/应付行的客商为unspecified、unresolved、conflict或缺内部对方时，也必须进入匹配和差异前置，不能因辅助列为空就绕过；只有明确external的外部行排除内部匹配。ERP前置与原有下级有效签核、tree去重、本层抵销审批、四勾稽共同生效。某本层没有内部交易并不意味可以忽略下级签核。对外部业务必须明确外部；未知客商不能仅为消除差异改成EXTERNAL而不留真实依据。</w:t>
      </w:r>
    </w:p>
    <w:p>
      <w:pPr>
        <w:pStyle w:val="Heading2"/>
      </w:pPr>
      <w:bookmarkStart w:id="114" w:name="epm_114"/>
      <w:r>
        <w:rPr>
          <w:rFonts w:ascii="Arial" w:hAnsi="Arial" w:eastAsia="宋体"/>
          <w:b w:val="0"/>
          <w:i w:val="0"/>
        </w:rPr>
        <w:t>A.21 ERP存储映射、错误码与字段验收</w:t>
      </w:r>
      <w:bookmarkEnd w:id="114"/>
    </w:p>
    <w:p>
      <w:pPr>
        <w:pStyle w:val="Heading3"/>
      </w:pPr>
      <w:bookmarkStart w:id="115" w:name="epm_115"/>
      <w:r>
        <w:rPr>
          <w:rFonts w:ascii="Arial" w:hAnsi="Arial" w:eastAsia="宋体"/>
          <w:b w:val="0"/>
          <w:i w:val="0"/>
        </w:rPr>
        <w:t>A.21.1 保持真实SQLite结构</w:t>
      </w:r>
      <w:bookmarkEnd w:id="115"/>
    </w:p>
    <w:p>
      <w:r>
        <w:rPr>
          <w:rFonts w:ascii="Arial" w:hAnsi="Arial" w:eastAsia="宋体"/>
          <w:b w:val="0"/>
          <w:i w:val="0"/>
        </w:rPr>
        <w:t xml:space="preserve">本版仍只有state/audit两张显式业务表，schemaVersion=4、product=SelfDevelopedEPM-Foundation-Demo；默认目录为 </w:t>
      </w:r>
      <w:r>
        <w:rPr>
          <w:rFonts w:ascii="Consolas" w:hAnsi="Consolas" w:eastAsia="宋体"/>
          <w:b w:val="0"/>
          <w:i w:val="0"/>
          <w:sz w:val="18"/>
        </w:rPr>
        <w:t>%LOCALAPPDATA%\TianyuanEPMFoundationDemo</w:t>
      </w:r>
      <w:r>
        <w:rPr>
          <w:rFonts w:ascii="Arial" w:hAnsi="Arial" w:eastAsia="宋体"/>
          <w:b w:val="0"/>
          <w:i w:val="0"/>
        </w:rPr>
        <w:t>。不会把旧ML或旧Demo数据库迁移后直接覆盖使用。</w:t>
      </w:r>
    </w:p>
    <w:tbl>
      <w:tblPr>
        <w:tblStyle w:val="TableGrid"/>
        <w:tblW w:type="auto" w:w="0"/>
        <w:jc w:val="center"/>
        <w:tblLayout w:type="fixed"/>
        <w:tblLook w:firstColumn="1" w:firstRow="1" w:lastColumn="0" w:lastRow="0" w:noHBand="0" w:noVBand="1" w:val="04A0"/>
      </w:tblPr>
      <w:tblGrid>
        <w:gridCol w:w="815"/>
        <w:gridCol w:w="3246"/>
        <w:gridCol w:w="3056"/>
        <w:gridCol w:w="2289"/>
      </w:tblGrid>
      <w:tr>
        <w:trPr>
          <w:cantSplit/>
          <w:tblHeader w:val="true"/>
        </w:trPr>
        <w:tc>
          <w:tcPr>
            <w:tcW w:type="dxa" w:w="8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逻辑对象</w:t>
            </w:r>
          </w:p>
        </w:tc>
        <w:tc>
          <w:tcPr>
            <w:tcW w:type="dxa" w:w="32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真实存储路径</w:t>
            </w:r>
          </w:p>
        </w:tc>
        <w:tc>
          <w:tcPr>
            <w:tcW w:type="dxa" w:w="30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定位键及历史方式</w:t>
            </w:r>
          </w:p>
        </w:tc>
        <w:tc>
          <w:tcPr>
            <w:tcW w:type="dxa" w:w="22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未实现的关系结构</w:t>
            </w:r>
          </w:p>
        </w:tc>
      </w:tr>
      <w:tr>
        <w:trPr>
          <w:cantSplit/>
        </w:trPr>
        <w:tc>
          <w:tcPr>
            <w:tcW w:type="dxa" w:w="815"/>
            <w:vAlign w:val="top"/>
            <w:tcMar>
              <w:top w:w="65" w:type="dxa"/>
              <w:bottom w:w="65" w:type="dxa"/>
              <w:left w:w="65" w:type="dxa"/>
              <w:right w:w="65" w:type="dxa"/>
            </w:tcMar>
          </w:tcPr>
          <w:p>
            <w:pPr>
              <w:spacing w:before="30" w:after="30" w:line="252" w:lineRule="auto"/>
            </w:pPr>
            <w:r>
              <w:rPr>
                <w:rFonts w:ascii="Arial" w:hAnsi="Arial" w:eastAsia="宋体"/>
                <w:b w:val="0"/>
                <w:i w:val="0"/>
                <w:sz w:val="18"/>
              </w:rPr>
              <w:t>ERP适配配置</w:t>
            </w:r>
          </w:p>
        </w:tc>
        <w:tc>
          <w:tcPr>
            <w:tcW w:type="dxa" w:w="3246"/>
            <w:vAlign w:val="top"/>
            <w:tcMar>
              <w:top w:w="65" w:type="dxa"/>
              <w:bottom w:w="65" w:type="dxa"/>
              <w:left w:w="65" w:type="dxa"/>
              <w:right w:w="65" w:type="dxa"/>
            </w:tcMar>
          </w:tcPr>
          <w:p>
            <w:pPr>
              <w:spacing w:before="30" w:after="30" w:line="252" w:lineRule="auto"/>
            </w:pPr>
            <w:r>
              <w:rPr>
                <w:rFonts w:ascii="Arial" w:hAnsi="Arial" w:eastAsia="宋体"/>
                <w:b w:val="0"/>
                <w:i w:val="0"/>
                <w:sz w:val="18"/>
              </w:rPr>
              <w:t>state.document.erp.adapter/bookMappings/counterpartyMappings/importOptions</w:t>
            </w:r>
          </w:p>
        </w:tc>
        <w:tc>
          <w:tcPr>
            <w:tcW w:type="dxa" w:w="305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当前配置，已生成源中有当时规则副本</w:t>
            </w:r>
          </w:p>
        </w:tc>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没有独立NC连接表、在线token表或凭据同步表。</w:t>
            </w:r>
          </w:p>
        </w:tc>
      </w:tr>
      <w:tr>
        <w:trPr>
          <w:cantSplit/>
        </w:trPr>
        <w:tc>
          <w:tcPr>
            <w:tcW w:type="dxa" w:w="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ERP科目映射</w:t>
            </w:r>
          </w:p>
        </w:tc>
        <w:tc>
          <w:tcPr>
            <w:tcW w:type="dxa" w:w="32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document.erp.mappings[]</w:t>
            </w:r>
          </w:p>
        </w:tc>
        <w:tc>
          <w:tcPr>
            <w:tcW w:type="dxa" w:w="3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法人+科目+version；旧active=false</w:t>
            </w:r>
          </w:p>
        </w:tc>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没有独立SQL account_mapping表及外键。</w:t>
            </w:r>
          </w:p>
        </w:tc>
      </w:tr>
      <w:tr>
        <w:trPr>
          <w:cantSplit/>
        </w:trPr>
        <w:tc>
          <w:tcPr>
            <w:tcW w:type="dxa" w:w="815"/>
            <w:vAlign w:val="top"/>
            <w:tcMar>
              <w:top w:w="65" w:type="dxa"/>
              <w:bottom w:w="65" w:type="dxa"/>
              <w:left w:w="65" w:type="dxa"/>
              <w:right w:w="65" w:type="dxa"/>
            </w:tcMar>
          </w:tcPr>
          <w:p>
            <w:pPr>
              <w:spacing w:before="30" w:after="30" w:line="252" w:lineRule="auto"/>
            </w:pPr>
            <w:r>
              <w:rPr>
                <w:rFonts w:ascii="Arial" w:hAnsi="Arial" w:eastAsia="宋体"/>
                <w:b w:val="0"/>
                <w:i w:val="0"/>
                <w:sz w:val="18"/>
              </w:rPr>
              <w:t>年初余额/凭证</w:t>
            </w:r>
          </w:p>
        </w:tc>
        <w:tc>
          <w:tcPr>
            <w:tcW w:type="dxa" w:w="3246"/>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document.erp.openings[]/vouchers[]</w:t>
            </w:r>
          </w:p>
        </w:tc>
        <w:tc>
          <w:tcPr>
            <w:tcW w:type="dxa" w:w="3056"/>
            <w:vAlign w:val="top"/>
            <w:tcMar>
              <w:top w:w="65" w:type="dxa"/>
              <w:bottom w:w="65" w:type="dxa"/>
              <w:left w:w="65" w:type="dxa"/>
              <w:right w:w="65" w:type="dxa"/>
            </w:tcMar>
          </w:tcPr>
          <w:p>
            <w:pPr>
              <w:spacing w:before="30" w:after="30" w:line="252" w:lineRule="auto"/>
            </w:pPr>
            <w:r>
              <w:rPr>
                <w:rFonts w:ascii="Arial" w:hAnsi="Arial" w:eastAsia="宋体"/>
                <w:b w:val="0"/>
                <w:i w:val="0"/>
                <w:sz w:val="18"/>
              </w:rPr>
              <w:t>规范键、id、batchId、sourceRow、active</w:t>
            </w:r>
          </w:p>
        </w:tc>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没有独立SQL voucher_header/voucher_line表。</w:t>
            </w:r>
          </w:p>
        </w:tc>
      </w:tr>
      <w:tr>
        <w:trPr>
          <w:cantSplit/>
        </w:trPr>
        <w:tc>
          <w:tcPr>
            <w:tcW w:type="dxa" w:w="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输入批次</w:t>
            </w:r>
          </w:p>
        </w:tc>
        <w:tc>
          <w:tcPr>
            <w:tcW w:type="dxa" w:w="32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document.erp.batches[]</w:t>
            </w:r>
          </w:p>
        </w:tc>
        <w:tc>
          <w:tcPr>
            <w:tcW w:type="dxa" w:w="3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批次id；停用保留</w:t>
            </w:r>
          </w:p>
        </w:tc>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不保存上传附件二进制库。</w:t>
            </w:r>
          </w:p>
        </w:tc>
      </w:tr>
      <w:tr>
        <w:trPr>
          <w:cantSplit/>
        </w:trPr>
        <w:tc>
          <w:tcPr>
            <w:tcW w:type="dxa" w:w="815"/>
            <w:vAlign w:val="top"/>
            <w:tcMar>
              <w:top w:w="65" w:type="dxa"/>
              <w:bottom w:w="65" w:type="dxa"/>
              <w:left w:w="65" w:type="dxa"/>
              <w:right w:w="65" w:type="dxa"/>
            </w:tcMar>
          </w:tcPr>
          <w:p>
            <w:pPr>
              <w:spacing w:before="30" w:after="30" w:line="252" w:lineRule="auto"/>
            </w:pPr>
            <w:r>
              <w:rPr>
                <w:rFonts w:ascii="Arial" w:hAnsi="Arial" w:eastAsia="宋体"/>
                <w:b w:val="0"/>
                <w:i w:val="0"/>
                <w:sz w:val="18"/>
              </w:rPr>
              <w:t>核对补注</w:t>
            </w:r>
          </w:p>
        </w:tc>
        <w:tc>
          <w:tcPr>
            <w:tcW w:type="dxa" w:w="3246"/>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document.erp.annotations[]及vouchers[].annotations[]</w:t>
            </w:r>
          </w:p>
        </w:tc>
        <w:tc>
          <w:tcPr>
            <w:tcW w:type="dxa" w:w="3056"/>
            <w:vAlign w:val="top"/>
            <w:tcMar>
              <w:top w:w="65" w:type="dxa"/>
              <w:bottom w:w="65" w:type="dxa"/>
              <w:left w:w="65" w:type="dxa"/>
              <w:right w:w="65" w:type="dxa"/>
            </w:tcMar>
          </w:tcPr>
          <w:p>
            <w:pPr>
              <w:spacing w:before="30" w:after="30" w:line="252" w:lineRule="auto"/>
            </w:pPr>
            <w:r>
              <w:rPr>
                <w:rFonts w:ascii="Arial" w:hAnsi="Arial" w:eastAsia="宋体"/>
                <w:b w:val="0"/>
                <w:i w:val="0"/>
                <w:sz w:val="18"/>
              </w:rPr>
              <w:t>逐行ERP-NOTE-id、before/after</w:t>
            </w:r>
          </w:p>
        </w:tc>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非NC凭证修改日志，不回写ERP。</w:t>
            </w:r>
          </w:p>
        </w:tc>
      </w:tr>
      <w:tr>
        <w:trPr>
          <w:cantSplit/>
        </w:trPr>
        <w:tc>
          <w:tcPr>
            <w:tcW w:type="dxa" w:w="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法人凭证三表</w:t>
            </w:r>
          </w:p>
        </w:tc>
        <w:tc>
          <w:tcPr>
            <w:tcW w:type="dxa" w:w="32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document.erp.reports[法人:月]及document.sources[月][法人]</w:t>
            </w:r>
          </w:p>
        </w:tc>
        <w:tc>
          <w:tcPr>
            <w:tcW w:type="dxa" w:w="3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当前报告valid/源version，历史放结果sourceSnapshots</w:t>
            </w:r>
          </w:p>
        </w:tc>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不是独立SQL单体报表版本表。</w:t>
            </w:r>
          </w:p>
        </w:tc>
      </w:tr>
      <w:tr>
        <w:trPr>
          <w:cantSplit/>
        </w:trPr>
        <w:tc>
          <w:tcPr>
            <w:tcW w:type="dxa" w:w="815"/>
            <w:vAlign w:val="top"/>
            <w:tcMar>
              <w:top w:w="65" w:type="dxa"/>
              <w:bottom w:w="65" w:type="dxa"/>
              <w:left w:w="65" w:type="dxa"/>
              <w:right w:w="65" w:type="dxa"/>
            </w:tcMar>
          </w:tcPr>
          <w:p>
            <w:pPr>
              <w:spacing w:before="30" w:after="30" w:line="252" w:lineRule="auto"/>
            </w:pPr>
            <w:r>
              <w:rPr>
                <w:rFonts w:ascii="Arial" w:hAnsi="Arial" w:eastAsia="宋体"/>
                <w:b w:val="0"/>
                <w:i w:val="0"/>
                <w:sz w:val="18"/>
              </w:rPr>
              <w:t>匹配运行</w:t>
            </w:r>
          </w:p>
        </w:tc>
        <w:tc>
          <w:tcPr>
            <w:tcW w:type="dxa" w:w="3246"/>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document.erp.matchingByScope[单元:月]</w:t>
            </w:r>
          </w:p>
        </w:tc>
        <w:tc>
          <w:tcPr>
            <w:tcW w:type="dxa" w:w="3056"/>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当前run签名、matches/differences</w:t>
            </w:r>
          </w:p>
        </w:tc>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没有独立匹配运行全版本关系表。</w:t>
            </w:r>
          </w:p>
        </w:tc>
      </w:tr>
      <w:tr>
        <w:trPr>
          <w:cantSplit/>
        </w:trPr>
        <w:tc>
          <w:tcPr>
            <w:tcW w:type="dxa" w:w="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自动抵销</w:t>
            </w:r>
          </w:p>
        </w:tc>
        <w:tc>
          <w:tcPr>
            <w:tcW w:type="dxa" w:w="32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document.eliminations[]</w:t>
            </w:r>
          </w:p>
        </w:tc>
        <w:tc>
          <w:tcPr>
            <w:tcW w:type="dxa" w:w="3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auto-id、erpMatchId、当前来源签名、状态</w:t>
            </w:r>
          </w:p>
        </w:tc>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与手工和投资权益同一JSON集合，凭证分录在journalLines。</w:t>
            </w:r>
          </w:p>
        </w:tc>
      </w:tr>
      <w:tr>
        <w:trPr>
          <w:cantSplit/>
        </w:trPr>
        <w:tc>
          <w:tcPr>
            <w:tcW w:type="dxa" w:w="815"/>
            <w:vAlign w:val="top"/>
            <w:tcMar>
              <w:top w:w="65" w:type="dxa"/>
              <w:bottom w:w="65" w:type="dxa"/>
              <w:left w:w="65" w:type="dxa"/>
              <w:right w:w="65" w:type="dxa"/>
            </w:tcMar>
          </w:tcPr>
          <w:p>
            <w:pPr>
              <w:spacing w:before="30" w:after="30" w:line="252" w:lineRule="auto"/>
            </w:pPr>
            <w:r>
              <w:rPr>
                <w:rFonts w:ascii="Arial" w:hAnsi="Arial" w:eastAsia="宋体"/>
                <w:b w:val="0"/>
                <w:i w:val="0"/>
                <w:sz w:val="18"/>
              </w:rPr>
              <w:t>历史凭证证据</w:t>
            </w:r>
          </w:p>
        </w:tc>
        <w:tc>
          <w:tcPr>
            <w:tcW w:type="dxa" w:w="3246"/>
            <w:vAlign w:val="top"/>
            <w:tcMar>
              <w:top w:w="65" w:type="dxa"/>
              <w:bottom w:w="65" w:type="dxa"/>
              <w:left w:w="65" w:type="dxa"/>
              <w:right w:w="65" w:type="dxa"/>
            </w:tcMar>
          </w:tcPr>
          <w:p>
            <w:pPr>
              <w:spacing w:before="30" w:after="30" w:line="252" w:lineRule="auto"/>
            </w:pPr>
            <w:r>
              <w:rPr>
                <w:rFonts w:ascii="Arial" w:hAnsi="Arial" w:eastAsia="宋体"/>
                <w:b w:val="0"/>
                <w:i w:val="0"/>
                <w:sz w:val="18"/>
              </w:rPr>
              <w:t>document.results[].snapshot.sourceSnapshots[法人].ledgerSnapshot</w:t>
            </w:r>
          </w:p>
        </w:tc>
        <w:tc>
          <w:tcPr>
            <w:tcW w:type="dxa" w:w="3056"/>
            <w:vAlign w:val="top"/>
            <w:tcMar>
              <w:top w:w="65" w:type="dxa"/>
              <w:bottom w:w="65" w:type="dxa"/>
              <w:left w:w="65" w:type="dxa"/>
              <w:right w:w="65" w:type="dxa"/>
            </w:tcMar>
          </w:tcPr>
          <w:p>
            <w:pPr>
              <w:spacing w:before="30" w:after="30" w:line="252" w:lineRule="auto"/>
            </w:pPr>
            <w:r>
              <w:rPr>
                <w:rFonts w:ascii="Arial" w:hAnsi="Arial" w:eastAsia="宋体"/>
                <w:b w:val="0"/>
                <w:i w:val="0"/>
                <w:sz w:val="18"/>
              </w:rPr>
              <w:t>完整冻结输入及原行</w:t>
            </w:r>
          </w:p>
        </w:tc>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不能用最新erp.vouchers跳转替代。</w:t>
            </w:r>
          </w:p>
        </w:tc>
      </w:tr>
      <w:tr>
        <w:trPr>
          <w:cantSplit/>
        </w:trPr>
        <w:tc>
          <w:tcPr>
            <w:tcW w:type="dxa" w:w="8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ERP输入归档</w:t>
            </w:r>
          </w:p>
        </w:tc>
        <w:tc>
          <w:tcPr>
            <w:tcW w:type="dxa" w:w="32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document.erpArchives[]</w:t>
            </w:r>
          </w:p>
        </w:tc>
        <w:tc>
          <w:tcPr>
            <w:tcW w:type="dxa" w:w="30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旧兼容只读字段，本版不载入旧示例</w:t>
            </w:r>
          </w:p>
        </w:tc>
        <w:tc>
          <w:tcPr>
            <w:tcW w:type="dxa" w:w="22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不是自动备份/灾难恢复产品。</w:t>
            </w:r>
          </w:p>
        </w:tc>
      </w:tr>
      <w:tr>
        <w:trPr>
          <w:cantSplit/>
        </w:trPr>
        <w:tc>
          <w:tcPr>
            <w:tcW w:type="dxa" w:w="815"/>
            <w:vAlign w:val="top"/>
            <w:tcMar>
              <w:top w:w="65" w:type="dxa"/>
              <w:bottom w:w="65" w:type="dxa"/>
              <w:left w:w="65" w:type="dxa"/>
              <w:right w:w="65" w:type="dxa"/>
            </w:tcMar>
          </w:tcPr>
          <w:p>
            <w:pPr>
              <w:spacing w:before="30" w:after="30" w:line="252" w:lineRule="auto"/>
            </w:pPr>
            <w:r>
              <w:rPr>
                <w:rFonts w:ascii="Arial" w:hAnsi="Arial" w:eastAsia="宋体"/>
                <w:b w:val="0"/>
                <w:i w:val="0"/>
                <w:sz w:val="18"/>
              </w:rPr>
              <w:t>操作审计</w:t>
            </w:r>
          </w:p>
        </w:tc>
        <w:tc>
          <w:tcPr>
            <w:tcW w:type="dxa" w:w="3246"/>
            <w:vAlign w:val="top"/>
            <w:tcMar>
              <w:top w:w="65" w:type="dxa"/>
              <w:bottom w:w="65" w:type="dxa"/>
              <w:left w:w="65" w:type="dxa"/>
              <w:right w:w="65" w:type="dxa"/>
            </w:tcMar>
          </w:tcPr>
          <w:p>
            <w:pPr>
              <w:spacing w:before="30" w:after="30" w:line="252" w:lineRule="auto"/>
            </w:pPr>
            <w:r>
              <w:rPr>
                <w:rFonts w:ascii="Arial" w:hAnsi="Arial" w:eastAsia="宋体"/>
                <w:b w:val="0"/>
                <w:i w:val="0"/>
                <w:sz w:val="18"/>
              </w:rPr>
              <w:t>audit表action/detail/revision</w:t>
            </w:r>
          </w:p>
        </w:tc>
        <w:tc>
          <w:tcPr>
            <w:tcW w:type="dxa" w:w="3056"/>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允许的ERP命令原子成功后追加；ERP_ACTIONS集合含新增余额两动作及受限旧兼容动作，不能按枚举个数宣称全部可用</w:t>
            </w:r>
          </w:p>
        </w:tc>
        <w:tc>
          <w:tcPr>
            <w:tcW w:type="dxa" w:w="2289"/>
            <w:vAlign w:val="top"/>
            <w:tcMar>
              <w:top w:w="65" w:type="dxa"/>
              <w:bottom w:w="65" w:type="dxa"/>
              <w:left w:w="65" w:type="dxa"/>
              <w:right w:w="65" w:type="dxa"/>
            </w:tcMar>
          </w:tcPr>
          <w:p>
            <w:pPr>
              <w:spacing w:before="30" w:after="30" w:line="252" w:lineRule="auto"/>
            </w:pPr>
            <w:r>
              <w:rPr>
                <w:rFonts w:ascii="Arial" w:hAnsi="Arial" w:eastAsia="宋体"/>
                <w:b w:val="0"/>
                <w:i w:val="0"/>
                <w:sz w:val="18"/>
              </w:rPr>
              <w:t>角色为本机演示职责，不等同不可篡改实名审计。</w:t>
            </w:r>
          </w:p>
        </w:tc>
      </w:tr>
    </w:tbl>
    <w:p>
      <w:pPr>
        <w:spacing w:after="40"/>
      </w:pPr>
    </w:p>
    <w:p>
      <w:r>
        <w:rPr>
          <w:rFonts w:ascii="Arial" w:hAnsi="Arial" w:eastAsia="宋体"/>
          <w:b w:val="0"/>
          <w:i w:val="0"/>
        </w:rPr>
        <w:t>正式生产拆表仍属设计：法人/账簿、科目映射版本、凭证头和行、期初辅助余额、客商/关联号映射、来源文件及行号、分类补注、报表版本及血缘、匹配运行/匹配项/差异项、抵销凭证/分录、审批/状态和组织权限等须独立设计索引、外键、金额decimal、唯一键及迁移。不得把上述建议表名标成当前SQLite已建表。</w:t>
      </w:r>
    </w:p>
    <w:p>
      <w:pPr>
        <w:pStyle w:val="Heading3"/>
      </w:pPr>
      <w:bookmarkStart w:id="116" w:name="epm_116"/>
      <w:r>
        <w:rPr>
          <w:rFonts w:ascii="Arial" w:hAnsi="Arial" w:eastAsia="宋体"/>
          <w:b w:val="0"/>
          <w:i w:val="0"/>
        </w:rPr>
        <w:t>A.21.2 ERP错误码及处理</w:t>
      </w:r>
      <w:bookmarkEnd w:id="116"/>
    </w:p>
    <w:tbl>
      <w:tblPr>
        <w:tblStyle w:val="TableGrid"/>
        <w:tblW w:type="auto" w:w="0"/>
        <w:jc w:val="center"/>
        <w:tblLayout w:type="fixed"/>
        <w:tblLook w:firstColumn="1" w:firstRow="1" w:lastColumn="0" w:lastRow="0" w:noHBand="0" w:noVBand="1" w:val="04A0"/>
      </w:tblPr>
      <w:tblGrid>
        <w:gridCol w:w="3032"/>
        <w:gridCol w:w="1866"/>
        <w:gridCol w:w="2641"/>
        <w:gridCol w:w="1866"/>
      </w:tblGrid>
      <w:tr>
        <w:trPr>
          <w:cantSplit/>
          <w:tblHeader w:val="true"/>
        </w:trPr>
        <w:tc>
          <w:tcPr>
            <w:tcW w:type="dxa" w:w="30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code / HTTP</w:t>
            </w:r>
          </w:p>
        </w:tc>
        <w:tc>
          <w:tcPr>
            <w:tcW w:type="dxa" w:w="18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字段或状态</w:t>
            </w:r>
          </w:p>
        </w:tc>
        <w:tc>
          <w:tcPr>
            <w:tcW w:type="dxa" w:w="26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含义及动作</w:t>
            </w:r>
          </w:p>
        </w:tc>
        <w:tc>
          <w:tcPr>
            <w:tcW w:type="dxa" w:w="186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事务结果</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erp_validation / 400</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纯解析/账务/匹配输入</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显示文件行、科目、凭证、金额/分类原因；更正后重导/重生</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不保存半批，不伪造抵销。</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erp_duplicate / 409</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期初或凭证唯一键</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发现当前有效重复行，须先停用错误批次再更正重导</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整批零写入，不把重复当成功新增。</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erp_demo_elimination_conflict / 409</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预置示例销售与凭证模式</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先负责人明确转换，避免双扣</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不会生成部分自动事项。</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erp_stale_match / 409</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匹配输入指纹</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账务/映射/补注/范围已变，重配当前来源</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不能批准旧签名草稿。</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no_erp_lineage / 409</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手工源报表追凭证</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该源没有ERP血缘，准确提示</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不返回“已追溯但0行”的假证据。</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invalid_trace_field / 400</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trace area/field</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未知数据区或项目</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不返回全部凭证冒充对应字段。</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validation / 400</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导入文件、适配规则、补注白名单等</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中文指明必填、格式、范围、非法字段</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沿用统一事务rollback。</w:t>
            </w:r>
          </w:p>
        </w:tc>
      </w:tr>
      <w:tr>
        <w:trPr>
          <w:cantSplit/>
        </w:trPr>
        <w:tc>
          <w:tcPr>
            <w:tcW w:type="dxa" w:w="30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period_locked / 409</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当前/后续相关签核链</w:t>
            </w:r>
          </w:p>
        </w:tc>
        <w:tc>
          <w:tcPr>
            <w:tcW w:type="dxa" w:w="26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从正确小合并重开及祖先后再改输入</w:t>
            </w:r>
          </w:p>
        </w:tc>
        <w:tc>
          <w:tcPr>
            <w:tcW w:type="dxa" w:w="186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不改ERP行、源或结果。</w:t>
            </w:r>
          </w:p>
        </w:tc>
      </w:tr>
      <w:tr>
        <w:trPr>
          <w:cantSplit/>
        </w:trPr>
        <w:tc>
          <w:tcPr>
            <w:tcW w:type="dxa" w:w="3032"/>
            <w:vAlign w:val="top"/>
            <w:tcMar>
              <w:top w:w="65" w:type="dxa"/>
              <w:bottom w:w="65" w:type="dxa"/>
              <w:left w:w="65" w:type="dxa"/>
              <w:right w:w="65" w:type="dxa"/>
            </w:tcMar>
          </w:tcPr>
          <w:p>
            <w:pPr>
              <w:spacing w:before="30" w:after="30" w:line="252" w:lineRule="auto"/>
            </w:pPr>
            <w:r>
              <w:rPr>
                <w:rFonts w:ascii="Arial" w:hAnsi="Arial" w:eastAsia="宋体"/>
                <w:b w:val="0"/>
                <w:i w:val="0"/>
                <w:sz w:val="18"/>
              </w:rPr>
              <w:t>forbidden / 403</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只读角色、非负责人执行MGR动作</w:t>
            </w:r>
          </w:p>
        </w:tc>
        <w:tc>
          <w:tcPr>
            <w:tcW w:type="dxa" w:w="2641"/>
            <w:vAlign w:val="top"/>
            <w:tcMar>
              <w:top w:w="65" w:type="dxa"/>
              <w:bottom w:w="65" w:type="dxa"/>
              <w:left w:w="65" w:type="dxa"/>
              <w:right w:w="65" w:type="dxa"/>
            </w:tcMar>
          </w:tcPr>
          <w:p>
            <w:pPr>
              <w:spacing w:before="30" w:after="30" w:line="252" w:lineRule="auto"/>
            </w:pPr>
            <w:r>
              <w:rPr>
                <w:rFonts w:ascii="Arial" w:hAnsi="Arial" w:eastAsia="宋体"/>
                <w:b w:val="0"/>
                <w:i w:val="0"/>
                <w:sz w:val="18"/>
              </w:rPr>
              <w:t>本机职责校验，不是生产登录实现</w:t>
            </w:r>
          </w:p>
        </w:tc>
        <w:tc>
          <w:tcPr>
            <w:tcW w:type="dxa" w:w="1866"/>
            <w:vAlign w:val="top"/>
            <w:tcMar>
              <w:top w:w="65" w:type="dxa"/>
              <w:bottom w:w="65" w:type="dxa"/>
              <w:left w:w="65" w:type="dxa"/>
              <w:right w:w="65" w:type="dxa"/>
            </w:tcMar>
          </w:tcPr>
          <w:p>
            <w:pPr>
              <w:spacing w:before="30" w:after="30" w:line="252" w:lineRule="auto"/>
            </w:pPr>
            <w:r>
              <w:rPr>
                <w:rFonts w:ascii="Arial" w:hAnsi="Arial" w:eastAsia="宋体"/>
                <w:b w:val="0"/>
                <w:i w:val="0"/>
                <w:sz w:val="18"/>
              </w:rPr>
              <w:t>无业务成功审计。</w:t>
            </w:r>
          </w:p>
        </w:tc>
      </w:tr>
    </w:tbl>
    <w:p>
      <w:pPr>
        <w:spacing w:after="40"/>
      </w:pPr>
    </w:p>
    <w:p>
      <w:r>
        <w:rPr>
          <w:rFonts w:ascii="Arial" w:hAnsi="Arial" w:eastAsia="宋体"/>
          <w:b w:val="0"/>
          <w:i w:val="0"/>
        </w:rPr>
        <w:t>纯账务校验如缺有效科目、凭证不平、缺年初、错误结转、现金分类混合、巨额无法无损保分，均在生成前准确拒绝。金额的输入可解析范围不等于任何极大额都可在JSON数值中无损发布；需以万元6位往返保持原币分为前提。</w:t>
      </w:r>
    </w:p>
    <w:p>
      <w:pPr>
        <w:pStyle w:val="Heading3"/>
      </w:pPr>
      <w:bookmarkStart w:id="117" w:name="epm_117"/>
      <w:r>
        <w:rPr>
          <w:rFonts w:ascii="Arial" w:hAnsi="Arial" w:eastAsia="宋体"/>
          <w:b w:val="0"/>
          <w:i w:val="0"/>
        </w:rPr>
        <w:t>A.21.3 ERP字段级新增验收</w:t>
      </w:r>
      <w:bookmarkEnd w:id="117"/>
    </w:p>
    <w:tbl>
      <w:tblPr>
        <w:tblStyle w:val="TableGrid"/>
        <w:tblW w:type="auto" w:w="0"/>
        <w:jc w:val="center"/>
        <w:tblLayout w:type="fixed"/>
        <w:tblLook w:firstColumn="1" w:firstRow="1" w:lastColumn="0" w:lastRow="0" w:noHBand="0" w:noVBand="1" w:val="04A0"/>
      </w:tblPr>
      <w:tblGrid>
        <w:gridCol w:w="939"/>
        <w:gridCol w:w="2680"/>
        <w:gridCol w:w="2977"/>
        <w:gridCol w:w="2810"/>
      </w:tblGrid>
      <w:tr>
        <w:trPr>
          <w:cantSplit/>
          <w:tblHeader w:val="true"/>
        </w:trPr>
        <w:tc>
          <w:tcPr>
            <w:tcW w:type="dxa" w:w="9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编号</w:t>
            </w:r>
          </w:p>
        </w:tc>
        <w:tc>
          <w:tcPr>
            <w:tcW w:type="dxa" w:w="268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字段输入或操作</w:t>
            </w:r>
          </w:p>
        </w:tc>
        <w:tc>
          <w:tcPr>
            <w:tcW w:type="dxa" w:w="29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应有结果</w:t>
            </w:r>
          </w:p>
        </w:tc>
        <w:tc>
          <w:tcPr>
            <w:tcW w:type="dxa" w:w="28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证据要点</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ERP-F01</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NC交易币为EUR、本位币账簿映CNY，原币/集团/全局金额均非零</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仅本币借贷入CNY法人账；其他口径保留核对</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源field金额与NC本币一致，无重复入账或再乘组织汇率。</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ERP-F02</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本币借/贷为0.01元或123.45元</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分别生成0.000001/0.012345万元，无100元级截断</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原Y字符串、源M、JSON往返、导出一致。</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ERP-F03</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同号跨账簿/月份/类别，以及同号合法不同分录</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不误合凭证；真正重复有效分录整批拒绝</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voucherKey及lineNo、sourceRow保留。</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ERP-F04</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客商只在AR/AP行，收入/成本原辅助空，同张唯一客商及ref</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允许安全承接到空的相关行，原rawFields不改</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derivedFromVoucherRows及Basis可查看。</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ERP-F05</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同张两个内部法人、内外冲突、两个ref或未知非空辅助</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不任取、不自动当外部；列差异</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原辅助列值和冲突证据保留。</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ERP-F06</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非零AR/AP期初按客商/ref拆行；双方期初不相等但期末相等</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前者可正确核对；后者仍列amount_mismatch含openingDifference</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不以总账总额强配辅助明细。</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ERP-F07</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已结转损益导出同时含业务与合法closing</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业务PL保留，净利润只结转一次；closing原行和排除原因保留</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含资产/资本等错误结转拒绝，不静默略过。</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ERP-F08</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现金行对方同时有经营与投资且未分类</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不生成猜测现金流；原账有据补注后才重生</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非现金行补cashflow整批拒绝。</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ERP-F09</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同金额但不同ref/月份/本位币，或只有一方</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列差异，不自动补差；可追双方现有凭证</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differences含金额M和原行Y，单位明确。</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ERP-F10</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相符内部销售/余额生成两次，再批量审批</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同版本幂等，借贷分录真实；任何错误选择整批回滚</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journalLines、effects、审批角色/时间/原因。</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ERP-F11</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完全空框架创建法人后首次生成自动销售</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不存在预置100/50，无需模式转换；同源生成幂等</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不由系统自动塞入手工销售或投资权益，用户依据实际来源维护。</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ERP-F12</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补注客商/ref/cashflow并填写原因，随后改金额或日期payload</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合法补注留before/after并失效相关来源；额外金额/日期键直接拒绝</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rawFields/借贷/日期/科目/批次不变。</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ERP-F13</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已有历史签核后重导/补注当前凭证，再查旧resultId项目</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旧原凭证与规范值来自旧ledgerSnapshot，不跳最新</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rows只归因行，relatedVoucherRows另列完整凭证。</w:t>
            </w:r>
          </w:p>
        </w:tc>
      </w:tr>
      <w:tr>
        <w:trPr>
          <w:cantSplit/>
        </w:trPr>
        <w:tc>
          <w:tcPr>
            <w:tcW w:type="dxa" w:w="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ERP-F14</w:t>
            </w:r>
          </w:p>
        </w:tc>
        <w:tc>
          <w:tcPr>
            <w:tcW w:type="dxa" w:w="268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完全空业务经创建4法人、配置、导期初8行/凭证26行/余额48行再计算</w:t>
            </w:r>
          </w:p>
        </w:tc>
        <w:tc>
          <w:tcPr>
            <w:tcW w:type="dxa" w:w="29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HW收入840/净270/资产470，集团投资200抵后资产470</w:t>
            </w:r>
          </w:p>
        </w:tc>
        <w:tc>
          <w:tcPr>
            <w:tcW w:type="dxa" w:w="28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内部已结销售40、未结20、AR/AP20；3匹配，不默认载入任何业务。</w:t>
            </w:r>
          </w:p>
        </w:tc>
      </w:tr>
      <w:tr>
        <w:trPr>
          <w:cantSplit/>
        </w:trPr>
        <w:tc>
          <w:tcPr>
            <w:tcW w:type="dxa" w:w="939"/>
            <w:vAlign w:val="top"/>
            <w:tcMar>
              <w:top w:w="65" w:type="dxa"/>
              <w:bottom w:w="65" w:type="dxa"/>
              <w:left w:w="65" w:type="dxa"/>
              <w:right w:w="65" w:type="dxa"/>
            </w:tcMar>
          </w:tcPr>
          <w:p>
            <w:pPr>
              <w:spacing w:before="30" w:after="30" w:line="252" w:lineRule="auto"/>
            </w:pPr>
            <w:r>
              <w:rPr>
                <w:rFonts w:ascii="Arial" w:hAnsi="Arial" w:eastAsia="宋体"/>
                <w:b w:val="0"/>
                <w:i w:val="0"/>
                <w:sz w:val="18"/>
              </w:rPr>
              <w:t>ERP-F15</w:t>
            </w:r>
          </w:p>
        </w:tc>
        <w:tc>
          <w:tcPr>
            <w:tcW w:type="dxa" w:w="2680"/>
            <w:vAlign w:val="top"/>
            <w:tcMar>
              <w:top w:w="65" w:type="dxa"/>
              <w:bottom w:w="65" w:type="dxa"/>
              <w:left w:w="65" w:type="dxa"/>
              <w:right w:w="65" w:type="dxa"/>
            </w:tcMar>
          </w:tcPr>
          <w:p>
            <w:pPr>
              <w:spacing w:before="30" w:after="30" w:line="252" w:lineRule="auto"/>
            </w:pPr>
            <w:r>
              <w:rPr>
                <w:rFonts w:ascii="Arial" w:hAnsi="Arial" w:eastAsia="宋体"/>
                <w:b w:val="0"/>
                <w:i w:val="0"/>
                <w:sz w:val="18"/>
              </w:rPr>
              <w:t>只关闭/再启动服务，或在旧ML目录启动新版</w:t>
            </w:r>
          </w:p>
        </w:tc>
        <w:tc>
          <w:tcPr>
            <w:tcW w:type="dxa" w:w="2977"/>
            <w:vAlign w:val="top"/>
            <w:tcMar>
              <w:top w:w="65" w:type="dxa"/>
              <w:bottom w:w="65" w:type="dxa"/>
              <w:left w:w="65" w:type="dxa"/>
              <w:right w:w="65" w:type="dxa"/>
            </w:tcMar>
          </w:tcPr>
          <w:p>
            <w:pPr>
              <w:spacing w:before="30" w:after="30" w:line="252" w:lineRule="auto"/>
            </w:pPr>
            <w:r>
              <w:rPr>
                <w:rFonts w:ascii="Arial" w:hAnsi="Arial" w:eastAsia="宋体"/>
                <w:b w:val="0"/>
                <w:i w:val="0"/>
                <w:sz w:val="18"/>
              </w:rPr>
              <w:t>新ERP输入、补注、结果、预算保留；旧product/schema只读拒绝</w:t>
            </w:r>
          </w:p>
        </w:tc>
        <w:tc>
          <w:tcPr>
            <w:tcW w:type="dxa" w:w="2810"/>
            <w:vAlign w:val="top"/>
            <w:tcMar>
              <w:top w:w="65" w:type="dxa"/>
              <w:bottom w:w="65" w:type="dxa"/>
              <w:left w:w="65" w:type="dxa"/>
              <w:right w:w="65" w:type="dxa"/>
            </w:tcMar>
          </w:tcPr>
          <w:p>
            <w:pPr>
              <w:spacing w:before="30" w:after="30" w:line="252" w:lineRule="auto"/>
            </w:pPr>
            <w:r>
              <w:rPr>
                <w:rFonts w:ascii="Arial" w:hAnsi="Arial" w:eastAsia="宋体"/>
                <w:b w:val="0"/>
                <w:i w:val="0"/>
                <w:sz w:val="18"/>
              </w:rPr>
              <w:t>新版独立目录TianyuanEPMFoundationDemo，旧目录不自动迁入。</w:t>
            </w:r>
          </w:p>
        </w:tc>
      </w:tr>
    </w:tbl>
    <w:p>
      <w:pPr>
        <w:spacing w:after="40"/>
      </w:pPr>
    </w:p>
    <w:p>
      <w:r>
        <w:rPr>
          <w:rFonts w:ascii="Arial" w:hAnsi="Arial" w:eastAsia="宋体"/>
          <w:b w:val="0"/>
          <w:i w:val="0"/>
        </w:rPr>
        <w:t>本版文档基线为FOUNDATION-20261028/D1.0，软件压缩包SHA在包外交付清单发布，避免文档包/软件包互相嵌入自身摘要。金融核算、ERP文件、24菜单、独立预算和治理字段需随每次版本全量更新，不能只追加新模块说明而遗漏旧字段精度、状态或映射的变化。</w:t>
      </w:r>
    </w:p>
    <w:p>
      <w:pPr>
        <w:pStyle w:val="Heading2"/>
      </w:pPr>
      <w:bookmarkStart w:id="118" w:name="epm_118"/>
      <w:r>
        <w:rPr>
          <w:rFonts w:ascii="Arial" w:hAnsi="Arial" w:eastAsia="宋体"/>
          <w:b w:val="0"/>
          <w:i w:val="0"/>
        </w:rPr>
        <w:t>A.22 从零框架及集团档案字段补充</w:t>
      </w:r>
      <w:bookmarkEnd w:id="118"/>
    </w:p>
    <w:p>
      <w:pPr>
        <w:pStyle w:val="Heading3"/>
      </w:pPr>
      <w:bookmarkStart w:id="119" w:name="epm_119"/>
      <w:r>
        <w:rPr>
          <w:rFonts w:ascii="Arial" w:hAnsi="Arial" w:eastAsia="宋体"/>
          <w:b w:val="0"/>
          <w:i w:val="0"/>
        </w:rPr>
        <w:t>A.22.1 初始模型与产品隔离</w:t>
      </w:r>
      <w:bookmarkEnd w:id="119"/>
    </w:p>
    <w:tbl>
      <w:tblPr>
        <w:tblStyle w:val="TableGrid"/>
        <w:tblW w:type="auto" w:w="0"/>
        <w:jc w:val="center"/>
        <w:tblLayout w:type="fixed"/>
        <w:tblLook w:firstColumn="1" w:firstRow="1" w:lastColumn="0" w:lastRow="0" w:noHBand="0" w:noVBand="1" w:val="04A0"/>
      </w:tblPr>
      <w:tblGrid>
        <w:gridCol w:w="3282"/>
        <w:gridCol w:w="2950"/>
        <w:gridCol w:w="3174"/>
      </w:tblGrid>
      <w:tr>
        <w:trPr>
          <w:cantSplit/>
          <w:tblHeader w:val="true"/>
        </w:trPr>
        <w:tc>
          <w:tcPr>
            <w:tcW w:type="dxa" w:w="32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字段/路径</w:t>
            </w:r>
          </w:p>
        </w:tc>
        <w:tc>
          <w:tcPr>
            <w:tcW w:type="dxa" w:w="295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类型与初值</w:t>
            </w:r>
          </w:p>
        </w:tc>
        <w:tc>
          <w:tcPr>
            <w:tcW w:type="dxa" w:w="31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前置与用途</w:t>
            </w:r>
          </w:p>
        </w:tc>
      </w:tr>
      <w:tr>
        <w:trPr>
          <w:cantSplit/>
        </w:trPr>
        <w:tc>
          <w:tcPr>
            <w:tcW w:type="dxa" w:w="3282"/>
            <w:vAlign w:val="top"/>
            <w:tcMar>
              <w:top w:w="65" w:type="dxa"/>
              <w:bottom w:w="65" w:type="dxa"/>
              <w:left w:w="65" w:type="dxa"/>
              <w:right w:w="65" w:type="dxa"/>
            </w:tcMar>
          </w:tcPr>
          <w:p>
            <w:pPr>
              <w:spacing w:before="30" w:after="30" w:line="252" w:lineRule="auto"/>
            </w:pPr>
            <w:r>
              <w:rPr>
                <w:rFonts w:ascii="Arial" w:hAnsi="Arial" w:eastAsia="宋体"/>
                <w:b w:val="0"/>
                <w:i w:val="0"/>
                <w:sz w:val="19"/>
              </w:rPr>
              <w:t>schemaVersion</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integer，4</w:t>
            </w:r>
          </w:p>
        </w:tc>
        <w:tc>
          <w:tcPr>
            <w:tcW w:type="dxa" w:w="3174"/>
            <w:vAlign w:val="top"/>
            <w:tcMar>
              <w:top w:w="65" w:type="dxa"/>
              <w:bottom w:w="65" w:type="dxa"/>
              <w:left w:w="65" w:type="dxa"/>
              <w:right w:w="65" w:type="dxa"/>
            </w:tcMar>
          </w:tcPr>
          <w:p>
            <w:pPr>
              <w:spacing w:before="30" w:after="30" w:line="252" w:lineRule="auto"/>
            </w:pPr>
            <w:r>
              <w:rPr>
                <w:rFonts w:ascii="Arial" w:hAnsi="Arial" w:eastAsia="宋体"/>
                <w:b w:val="0"/>
                <w:i w:val="0"/>
                <w:sz w:val="19"/>
              </w:rPr>
              <w:t>旧schema3和未知库只读识别后拒绝，不能自动执行DDL升级旧业务库。</w:t>
            </w:r>
          </w:p>
        </w:tc>
      </w:tr>
      <w:tr>
        <w:trPr>
          <w:cantSplit/>
        </w:trPr>
        <w:tc>
          <w:tcPr>
            <w:tcW w:type="dxa" w:w="32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product</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SelfDevelopedEPM-Foundation-Demo</w:t>
            </w:r>
          </w:p>
        </w:tc>
        <w:tc>
          <w:tcPr>
            <w:tcW w:type="dxa" w:w="31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与旧ERP产品隔离；本机启动器健康检查及数据库识别均需匹配。</w:t>
            </w:r>
          </w:p>
        </w:tc>
      </w:tr>
      <w:tr>
        <w:trPr>
          <w:cantSplit/>
        </w:trPr>
        <w:tc>
          <w:tcPr>
            <w:tcW w:type="dxa" w:w="3282"/>
            <w:vAlign w:val="top"/>
            <w:tcMar>
              <w:top w:w="65" w:type="dxa"/>
              <w:bottom w:w="65" w:type="dxa"/>
              <w:left w:w="65" w:type="dxa"/>
              <w:right w:w="65" w:type="dxa"/>
            </w:tcMar>
          </w:tcPr>
          <w:p>
            <w:pPr>
              <w:spacing w:before="30" w:after="30" w:line="252" w:lineRule="auto"/>
            </w:pPr>
            <w:r>
              <w:rPr>
                <w:rFonts w:ascii="Arial" w:hAnsi="Arial" w:eastAsia="宋体"/>
                <w:b w:val="0"/>
                <w:i w:val="0"/>
                <w:sz w:val="19"/>
              </w:rPr>
              <w:t>modelPolicy.version</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FOUNDATION-20261028</w:t>
            </w:r>
          </w:p>
        </w:tc>
        <w:tc>
          <w:tcPr>
            <w:tcW w:type="dxa" w:w="3174"/>
            <w:vAlign w:val="top"/>
            <w:tcMar>
              <w:top w:w="65" w:type="dxa"/>
              <w:bottom w:w="65" w:type="dxa"/>
              <w:left w:w="65" w:type="dxa"/>
              <w:right w:w="65" w:type="dxa"/>
            </w:tcMar>
          </w:tcPr>
          <w:p>
            <w:pPr>
              <w:spacing w:before="30" w:after="30" w:line="252" w:lineRule="auto"/>
            </w:pPr>
            <w:r>
              <w:rPr>
                <w:rFonts w:ascii="Arial" w:hAnsi="Arial" w:eastAsia="宋体"/>
                <w:b w:val="0"/>
                <w:i w:val="0"/>
                <w:sz w:val="19"/>
              </w:rPr>
              <w:t>不是预算版本或凭证批次版本。</w:t>
            </w:r>
          </w:p>
        </w:tc>
      </w:tr>
      <w:tr>
        <w:trPr>
          <w:cantSplit/>
        </w:trPr>
        <w:tc>
          <w:tcPr>
            <w:tcW w:type="dxa" w:w="32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modelPolicy.requiresVoucherSources</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boolean，true</w:t>
            </w:r>
          </w:p>
        </w:tc>
        <w:tc>
          <w:tcPr>
            <w:tcW w:type="dxa" w:w="31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所有正式叶子必须当前有效ERP派生源，不能用手工汇总源替代。</w:t>
            </w:r>
          </w:p>
        </w:tc>
      </w:tr>
      <w:tr>
        <w:trPr>
          <w:cantSplit/>
        </w:trPr>
        <w:tc>
          <w:tcPr>
            <w:tcW w:type="dxa" w:w="3282"/>
            <w:vAlign w:val="top"/>
            <w:tcMar>
              <w:top w:w="65" w:type="dxa"/>
              <w:bottom w:w="65" w:type="dxa"/>
              <w:left w:w="65" w:type="dxa"/>
              <w:right w:w="65" w:type="dxa"/>
            </w:tcMar>
          </w:tcPr>
          <w:p>
            <w:pPr>
              <w:spacing w:before="30" w:after="30" w:line="252" w:lineRule="auto"/>
            </w:pPr>
            <w:r>
              <w:rPr>
                <w:rFonts w:ascii="Arial" w:hAnsi="Arial" w:eastAsia="宋体"/>
                <w:b w:val="0"/>
                <w:i w:val="0"/>
                <w:sz w:val="19"/>
              </w:rPr>
              <w:t>modelPolicy.requiresLedgerBalanceCheck</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boolean，true</w:t>
            </w:r>
          </w:p>
        </w:tc>
        <w:tc>
          <w:tcPr>
            <w:tcW w:type="dxa" w:w="3174"/>
            <w:vAlign w:val="top"/>
            <w:tcMar>
              <w:top w:w="65" w:type="dxa"/>
              <w:bottom w:w="65" w:type="dxa"/>
              <w:left w:w="65" w:type="dxa"/>
              <w:right w:w="65" w:type="dxa"/>
            </w:tcMar>
          </w:tcPr>
          <w:p>
            <w:pPr>
              <w:spacing w:before="30" w:after="30" w:line="252" w:lineRule="auto"/>
            </w:pPr>
            <w:r>
              <w:rPr>
                <w:rFonts w:ascii="Arial" w:hAnsi="Arial" w:eastAsia="宋体"/>
                <w:b w:val="0"/>
                <w:i w:val="0"/>
                <w:sz w:val="19"/>
              </w:rPr>
              <w:t>有ERP账务的法人正式合并时必须当前期间余额核对通过。</w:t>
            </w:r>
          </w:p>
        </w:tc>
      </w:tr>
      <w:tr>
        <w:trPr>
          <w:cantSplit/>
        </w:trPr>
        <w:tc>
          <w:tcPr>
            <w:tcW w:type="dxa" w:w="32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units[TY_GROUP].isFramework</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true；members=[]</w:t>
            </w:r>
          </w:p>
        </w:tc>
        <w:tc>
          <w:tcPr>
            <w:tcW w:type="dxa" w:w="31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仅技术导航容器；不是集团法人，不可计算/签核空结果。</w:t>
            </w:r>
          </w:p>
        </w:tc>
      </w:tr>
      <w:tr>
        <w:trPr>
          <w:cantSplit/>
        </w:trPr>
        <w:tc>
          <w:tcPr>
            <w:tcW w:type="dxa" w:w="3282"/>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entities/accounts/ownership</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空数组</w:t>
            </w:r>
          </w:p>
        </w:tc>
        <w:tc>
          <w:tcPr>
            <w:tcW w:type="dxa" w:w="3174"/>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集团抬头不等于已创建本部；所有企业档案由用户维护。</w:t>
            </w:r>
          </w:p>
        </w:tc>
      </w:tr>
      <w:tr>
        <w:trPr>
          <w:cantSplit/>
        </w:trPr>
        <w:tc>
          <w:tcPr>
            <w:tcW w:type="dxa" w:w="32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sources/results/eliminations/fxRates</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空业务集合</w:t>
            </w:r>
          </w:p>
        </w:tc>
        <w:tc>
          <w:tcPr>
            <w:tcW w:type="dxa" w:w="31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不调用旧示例计算，不自动生成历史签核或汇率。</w:t>
            </w:r>
          </w:p>
        </w:tc>
      </w:tr>
      <w:tr>
        <w:trPr>
          <w:cantSplit/>
        </w:trPr>
        <w:tc>
          <w:tcPr>
            <w:tcW w:type="dxa" w:w="3282"/>
            <w:vAlign w:val="top"/>
            <w:tcMar>
              <w:top w:w="65" w:type="dxa"/>
              <w:bottom w:w="65" w:type="dxa"/>
              <w:left w:w="65" w:type="dxa"/>
              <w:right w:w="65" w:type="dxa"/>
            </w:tcMar>
          </w:tcPr>
          <w:p>
            <w:pPr>
              <w:spacing w:before="30" w:after="30" w:line="252" w:lineRule="auto"/>
            </w:pPr>
            <w:r>
              <w:rPr>
                <w:rFonts w:ascii="Arial" w:hAnsi="Arial" w:eastAsia="宋体"/>
                <w:b w:val="0"/>
                <w:i w:val="0"/>
                <w:sz w:val="19"/>
              </w:rPr>
              <w:t>erp.balanceRows/erp.balanceReports</w:t>
            </w:r>
          </w:p>
        </w:tc>
        <w:tc>
          <w:tcPr>
            <w:tcW w:type="dxa" w:w="2950"/>
            <w:vAlign w:val="top"/>
            <w:tcMar>
              <w:top w:w="65" w:type="dxa"/>
              <w:bottom w:w="65" w:type="dxa"/>
              <w:left w:w="65" w:type="dxa"/>
              <w:right w:w="65" w:type="dxa"/>
            </w:tcMar>
          </w:tcPr>
          <w:p>
            <w:pPr>
              <w:spacing w:before="30" w:after="30" w:line="252" w:lineRule="auto"/>
            </w:pPr>
            <w:r>
              <w:rPr>
                <w:rFonts w:ascii="Arial" w:hAnsi="Arial" w:eastAsia="宋体"/>
                <w:b w:val="0"/>
                <w:i w:val="0"/>
                <w:sz w:val="19"/>
              </w:rPr>
              <w:t>空数组/空map</w:t>
            </w:r>
          </w:p>
        </w:tc>
        <w:tc>
          <w:tcPr>
            <w:tcW w:type="dxa" w:w="3174"/>
            <w:vAlign w:val="top"/>
            <w:tcMar>
              <w:top w:w="65" w:type="dxa"/>
              <w:bottom w:w="65" w:type="dxa"/>
              <w:left w:w="65" w:type="dxa"/>
              <w:right w:w="65" w:type="dxa"/>
            </w:tcMar>
          </w:tcPr>
          <w:p>
            <w:pPr>
              <w:spacing w:before="30" w:after="30" w:line="252" w:lineRule="auto"/>
            </w:pPr>
            <w:r>
              <w:rPr>
                <w:rFonts w:ascii="Arial" w:hAnsi="Arial" w:eastAsia="宋体"/>
                <w:b w:val="0"/>
                <w:i w:val="0"/>
                <w:sz w:val="19"/>
              </w:rPr>
              <w:t>仅用户导入与执行核对后出现业务记录。</w:t>
            </w:r>
          </w:p>
        </w:tc>
      </w:tr>
      <w:tr>
        <w:trPr>
          <w:cantSplit/>
        </w:trPr>
        <w:tc>
          <w:tcPr>
            <w:tcW w:type="dxa" w:w="32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budget</w:t>
            </w:r>
          </w:p>
        </w:tc>
        <w:tc>
          <w:tcPr>
            <w:tcW w:type="dxa" w:w="295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无已录入目标/业务明细/已批准版本</w:t>
            </w:r>
          </w:p>
        </w:tc>
        <w:tc>
          <w:tcPr>
            <w:tcW w:type="dxa" w:w="31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可保留编制结构，但技术零不能被视为用户编制数据。</w:t>
            </w:r>
          </w:p>
        </w:tc>
      </w:tr>
    </w:tbl>
    <w:p>
      <w:pPr>
        <w:spacing w:after="40"/>
      </w:pPr>
    </w:p>
    <w:p>
      <w:r>
        <w:rPr>
          <w:rFonts w:ascii="Arial" w:hAnsi="Arial" w:eastAsia="宋体"/>
          <w:b w:val="0"/>
          <w:i w:val="0"/>
        </w:rPr>
        <w:t>创建顺序：entity_save集团本部且parentId为空→创建子法人→ownership_save将每家实际母公司设为已存在本部、percent=100/method=全额合并→unit_save创建鸿旺三家叶子→unit_save根成员仅本部+鸿旺子单元。不会按名称“集团/事业部/工厂”自动推断独立主体或法定持股。</w:t>
      </w:r>
    </w:p>
    <w:p>
      <w:pPr>
        <w:pStyle w:val="Heading3"/>
      </w:pPr>
      <w:bookmarkStart w:id="120" w:name="epm_120"/>
      <w:r>
        <w:rPr>
          <w:rFonts w:ascii="Arial" w:hAnsi="Arial" w:eastAsia="宋体"/>
          <w:b w:val="0"/>
          <w:i w:val="0"/>
        </w:rPr>
        <w:t>A.22.2 源变更和证据依赖</w:t>
      </w:r>
      <w:bookmarkEnd w:id="120"/>
    </w:p>
    <w:p>
      <w:r>
        <w:rPr>
          <w:rFonts w:ascii="Arial" w:hAnsi="Arial" w:eastAsia="宋体"/>
          <w:b w:val="0"/>
          <w:i w:val="0"/>
        </w:rPr>
        <w:t>余额核对指纹同时绑定该法人截至所选月有效原账及当前外部科目余额基准。凭证、期初、映射、有效批次或规范化补注变化，相关单体和余额核对失效；导入新外部余额基准不改原账，但旧核对及相关本期合并结果失效。任何旧passed=true若valid=false或inputFingerprint不同，都不能作为当前通过。</w:t>
      </w:r>
    </w:p>
    <w:p>
      <w:pPr>
        <w:pStyle w:val="Heading2"/>
      </w:pPr>
      <w:bookmarkStart w:id="121" w:name="epm_121"/>
      <w:r>
        <w:rPr>
          <w:rFonts w:ascii="Arial" w:hAnsi="Arial" w:eastAsia="宋体"/>
          <w:b w:val="0"/>
          <w:i w:val="0"/>
        </w:rPr>
        <w:t>A.23 科目余额导入、核对及异常字段</w:t>
      </w:r>
      <w:bookmarkEnd w:id="121"/>
    </w:p>
    <w:p>
      <w:pPr>
        <w:pStyle w:val="Heading3"/>
      </w:pPr>
      <w:bookmarkStart w:id="122" w:name="epm_122"/>
      <w:r>
        <w:rPr>
          <w:rFonts w:ascii="Arial" w:hAnsi="Arial" w:eastAsia="宋体"/>
          <w:b w:val="0"/>
          <w:i w:val="0"/>
        </w:rPr>
        <w:t>A.23.1 固定10列文件</w:t>
      </w:r>
      <w:bookmarkEnd w:id="122"/>
    </w:p>
    <w:p>
      <w:r>
        <w:rPr>
          <w:rFonts w:ascii="Arial" w:hAnsi="Arial" w:eastAsia="宋体"/>
          <w:b w:val="0"/>
          <w:i w:val="0"/>
        </w:rPr>
        <w:t>CSV表头名称和顺序固定，XLSX读取首选工作表或sheetName指定表；输入amountUnit默认元，规范化后统一元两位。导入只建立独立核对基准，不新增期初或凭证，不修改原账。</w:t>
      </w:r>
    </w:p>
    <w:tbl>
      <w:tblPr>
        <w:tblStyle w:val="TableGrid"/>
        <w:tblW w:type="auto" w:w="0"/>
        <w:jc w:val="center"/>
        <w:tblLayout w:type="fixed"/>
        <w:tblLook w:firstColumn="1" w:firstRow="1" w:lastColumn="0" w:lastRow="0" w:noHBand="0" w:noVBand="1" w:val="04A0"/>
      </w:tblPr>
      <w:tblGrid>
        <w:gridCol w:w="1984"/>
        <w:gridCol w:w="3152"/>
        <w:gridCol w:w="4270"/>
      </w:tblGrid>
      <w:tr>
        <w:trPr>
          <w:cantSplit/>
          <w:tblHeader w:val="true"/>
        </w:trPr>
        <w:tc>
          <w:tcPr>
            <w:tcW w:type="dxa" w:w="19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列名</w:t>
            </w:r>
          </w:p>
        </w:tc>
        <w:tc>
          <w:tcPr>
            <w:tcW w:type="dxa" w:w="315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规范化键/类型</w:t>
            </w:r>
          </w:p>
        </w:tc>
        <w:tc>
          <w:tcPr>
            <w:tcW w:type="dxa" w:w="42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必填及约束</w:t>
            </w:r>
          </w:p>
        </w:tc>
      </w:tr>
      <w:tr>
        <w:trPr>
          <w:cantSplit/>
        </w:trPr>
        <w:tc>
          <w:tcPr>
            <w:tcW w:type="dxa" w:w="1984"/>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法人编码</w:t>
            </w:r>
          </w:p>
        </w:tc>
        <w:tc>
          <w:tcPr>
            <w:tcW w:type="dxa" w:w="3152"/>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entityId / ID</w:t>
            </w:r>
          </w:p>
        </w:tc>
        <w:tc>
          <w:tcPr>
            <w:tcW w:type="dxa" w:w="4270"/>
            <w:vAlign w:val="top"/>
            <w:tcMar>
              <w:top w:w="65" w:type="dxa"/>
              <w:bottom w:w="65" w:type="dxa"/>
              <w:left w:w="65" w:type="dxa"/>
              <w:right w:w="65" w:type="dxa"/>
            </w:tcMar>
          </w:tcPr>
          <w:p>
            <w:pPr>
              <w:spacing w:before="30" w:after="30" w:line="252" w:lineRule="auto"/>
            </w:pPr>
            <w:r>
              <w:rPr>
                <w:rFonts w:ascii="Arial" w:hAnsi="Arial" w:eastAsia="宋体"/>
                <w:b w:val="0"/>
                <w:i w:val="0"/>
                <w:sz w:val="19"/>
              </w:rPr>
              <w:t>已创建法人id或code；实际保存entityId。</w:t>
            </w:r>
          </w:p>
        </w:tc>
      </w:tr>
      <w:tr>
        <w:trPr>
          <w:cantSplit/>
        </w:trPr>
        <w:tc>
          <w:tcPr>
            <w:tcW w:type="dxa" w:w="1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w:t>
            </w:r>
          </w:p>
        </w:tc>
        <w:tc>
          <w:tcPr>
            <w:tcW w:type="dxa" w:w="31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period / S</w:t>
            </w:r>
          </w:p>
        </w:tc>
        <w:tc>
          <w:tcPr>
            <w:tcW w:type="dxa" w:w="42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须与顶部所选一致，例如2026-06；发生额为1月至本期累计。</w:t>
            </w:r>
          </w:p>
        </w:tc>
      </w:tr>
      <w:tr>
        <w:trPr>
          <w:cantSplit/>
        </w:trPr>
        <w:tc>
          <w:tcPr>
            <w:tcW w:type="dxa" w:w="1984"/>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科目编码</w:t>
            </w:r>
          </w:p>
        </w:tc>
        <w:tc>
          <w:tcPr>
            <w:tcW w:type="dxa" w:w="3152"/>
            <w:vAlign w:val="top"/>
            <w:tcMar>
              <w:top w:w="65" w:type="dxa"/>
              <w:bottom w:w="65" w:type="dxa"/>
              <w:left w:w="65" w:type="dxa"/>
              <w:right w:w="65" w:type="dxa"/>
            </w:tcMar>
          </w:tcPr>
          <w:p>
            <w:pPr>
              <w:spacing w:before="30" w:after="30" w:line="252" w:lineRule="auto"/>
            </w:pPr>
            <w:r>
              <w:rPr>
                <w:rFonts w:ascii="Arial" w:hAnsi="Arial" w:eastAsia="宋体"/>
                <w:b w:val="0"/>
                <w:i w:val="0"/>
                <w:sz w:val="19"/>
              </w:rPr>
              <w:t>accountCode / S(60)</w:t>
            </w:r>
          </w:p>
        </w:tc>
        <w:tc>
          <w:tcPr>
            <w:tcW w:type="dxa" w:w="4270"/>
            <w:vAlign w:val="top"/>
            <w:tcMar>
              <w:top w:w="65" w:type="dxa"/>
              <w:bottom w:w="65" w:type="dxa"/>
              <w:left w:w="65" w:type="dxa"/>
              <w:right w:w="65" w:type="dxa"/>
            </w:tcMar>
          </w:tcPr>
          <w:p>
            <w:pPr>
              <w:spacing w:before="30" w:after="30" w:line="252" w:lineRule="auto"/>
            </w:pPr>
            <w:r>
              <w:rPr>
                <w:rFonts w:ascii="Arial" w:hAnsi="Arial" w:eastAsia="宋体"/>
                <w:b w:val="0"/>
                <w:i w:val="0"/>
                <w:sz w:val="19"/>
              </w:rPr>
              <w:t>按文本保存，已为该法人维护ERP映射；相同法人/科目不能重复。</w:t>
            </w:r>
          </w:p>
        </w:tc>
      </w:tr>
      <w:tr>
        <w:trPr>
          <w:cantSplit/>
        </w:trPr>
        <w:tc>
          <w:tcPr>
            <w:tcW w:type="dxa" w:w="1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币种</w:t>
            </w:r>
          </w:p>
        </w:tc>
        <w:tc>
          <w:tcPr>
            <w:tcW w:type="dxa" w:w="31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currency / enum</w:t>
            </w:r>
          </w:p>
        </w:tc>
        <w:tc>
          <w:tcPr>
            <w:tcW w:type="dxa" w:w="42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只能该法人本位币CNY/USD，不是NC交易币。</w:t>
            </w:r>
          </w:p>
        </w:tc>
      </w:tr>
      <w:tr>
        <w:trPr>
          <w:cantSplit/>
        </w:trPr>
        <w:tc>
          <w:tcPr>
            <w:tcW w:type="dxa" w:w="1984"/>
            <w:vAlign w:val="top"/>
            <w:tcMar>
              <w:top w:w="65" w:type="dxa"/>
              <w:bottom w:w="65" w:type="dxa"/>
              <w:left w:w="65" w:type="dxa"/>
              <w:right w:w="65" w:type="dxa"/>
            </w:tcMar>
          </w:tcPr>
          <w:p>
            <w:pPr>
              <w:spacing w:before="30" w:after="30" w:line="252" w:lineRule="auto"/>
            </w:pPr>
            <w:r>
              <w:rPr>
                <w:rFonts w:ascii="Arial" w:hAnsi="Arial" w:eastAsia="宋体"/>
                <w:b w:val="0"/>
                <w:i w:val="0"/>
                <w:sz w:val="19"/>
              </w:rPr>
              <w:t>年初借方余额</w:t>
            </w:r>
          </w:p>
        </w:tc>
        <w:tc>
          <w:tcPr>
            <w:tcW w:type="dxa" w:w="3152"/>
            <w:vAlign w:val="top"/>
            <w:tcMar>
              <w:top w:w="65" w:type="dxa"/>
              <w:bottom w:w="65" w:type="dxa"/>
              <w:left w:w="65" w:type="dxa"/>
              <w:right w:w="65" w:type="dxa"/>
            </w:tcMar>
          </w:tcPr>
          <w:p>
            <w:pPr>
              <w:spacing w:before="30" w:after="30" w:line="252" w:lineRule="auto"/>
            </w:pPr>
            <w:r>
              <w:rPr>
                <w:rFonts w:ascii="Arial" w:hAnsi="Arial" w:eastAsia="宋体"/>
                <w:b w:val="0"/>
                <w:i w:val="0"/>
                <w:sz w:val="19"/>
              </w:rPr>
              <w:t>openingDebit / Y</w:t>
            </w:r>
          </w:p>
        </w:tc>
        <w:tc>
          <w:tcPr>
            <w:tcW w:type="dxa" w:w="4270"/>
            <w:vAlign w:val="top"/>
            <w:tcMar>
              <w:top w:w="65" w:type="dxa"/>
              <w:bottom w:w="65" w:type="dxa"/>
              <w:left w:w="65" w:type="dxa"/>
              <w:right w:w="65" w:type="dxa"/>
            </w:tcMar>
          </w:tcPr>
          <w:p>
            <w:pPr>
              <w:spacing w:before="30" w:after="30" w:line="252" w:lineRule="auto"/>
            </w:pPr>
            <w:r>
              <w:rPr>
                <w:rFonts w:ascii="Arial" w:hAnsi="Arial" w:eastAsia="宋体"/>
                <w:b w:val="0"/>
                <w:i w:val="0"/>
                <w:sz w:val="19"/>
              </w:rPr>
              <w:t>元两位，可空视0；年初借/贷不同时非零。</w:t>
            </w:r>
          </w:p>
        </w:tc>
      </w:tr>
      <w:tr>
        <w:trPr>
          <w:cantSplit/>
        </w:trPr>
        <w:tc>
          <w:tcPr>
            <w:tcW w:type="dxa" w:w="1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年初贷方余额</w:t>
            </w:r>
          </w:p>
        </w:tc>
        <w:tc>
          <w:tcPr>
            <w:tcW w:type="dxa" w:w="31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openingCredit / Y</w:t>
            </w:r>
          </w:p>
        </w:tc>
        <w:tc>
          <w:tcPr>
            <w:tcW w:type="dxa" w:w="42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元两位；保留真实方向，不把借贷余额两边互相重复。</w:t>
            </w:r>
          </w:p>
        </w:tc>
      </w:tr>
      <w:tr>
        <w:trPr>
          <w:cantSplit/>
        </w:trPr>
        <w:tc>
          <w:tcPr>
            <w:tcW w:type="dxa" w:w="1984"/>
            <w:vAlign w:val="top"/>
            <w:tcMar>
              <w:top w:w="65" w:type="dxa"/>
              <w:bottom w:w="65" w:type="dxa"/>
              <w:left w:w="65" w:type="dxa"/>
              <w:right w:w="65" w:type="dxa"/>
            </w:tcMar>
          </w:tcPr>
          <w:p>
            <w:pPr>
              <w:spacing w:before="30" w:after="30" w:line="252" w:lineRule="auto"/>
            </w:pPr>
            <w:r>
              <w:rPr>
                <w:rFonts w:ascii="Arial" w:hAnsi="Arial" w:eastAsia="宋体"/>
                <w:b w:val="0"/>
                <w:i w:val="0"/>
                <w:sz w:val="19"/>
              </w:rPr>
              <w:t>本年累计借方发生额</w:t>
            </w:r>
          </w:p>
        </w:tc>
        <w:tc>
          <w:tcPr>
            <w:tcW w:type="dxa" w:w="3152"/>
            <w:vAlign w:val="top"/>
            <w:tcMar>
              <w:top w:w="65" w:type="dxa"/>
              <w:bottom w:w="65" w:type="dxa"/>
              <w:left w:w="65" w:type="dxa"/>
              <w:right w:w="65" w:type="dxa"/>
            </w:tcMar>
          </w:tcPr>
          <w:p>
            <w:pPr>
              <w:spacing w:before="30" w:after="30" w:line="252" w:lineRule="auto"/>
            </w:pPr>
            <w:r>
              <w:rPr>
                <w:rFonts w:ascii="Arial" w:hAnsi="Arial" w:eastAsia="宋体"/>
                <w:b w:val="0"/>
                <w:i w:val="0"/>
                <w:sz w:val="19"/>
              </w:rPr>
              <w:t>debit / Y</w:t>
            </w:r>
          </w:p>
        </w:tc>
        <w:tc>
          <w:tcPr>
            <w:tcW w:type="dxa" w:w="4270"/>
            <w:vAlign w:val="top"/>
            <w:tcMar>
              <w:top w:w="65" w:type="dxa"/>
              <w:bottom w:w="65" w:type="dxa"/>
              <w:left w:w="65" w:type="dxa"/>
              <w:right w:w="65" w:type="dxa"/>
            </w:tcMar>
          </w:tcPr>
          <w:p>
            <w:pPr>
              <w:spacing w:before="30" w:after="30" w:line="252" w:lineRule="auto"/>
            </w:pPr>
            <w:r>
              <w:rPr>
                <w:rFonts w:ascii="Arial" w:hAnsi="Arial" w:eastAsia="宋体"/>
                <w:b w:val="0"/>
                <w:i w:val="0"/>
                <w:sz w:val="19"/>
              </w:rPr>
              <w:t>从1月到当前月所有已记账分录原账借方发生；包括有效损益结转。</w:t>
            </w:r>
          </w:p>
        </w:tc>
      </w:tr>
      <w:tr>
        <w:trPr>
          <w:cantSplit/>
        </w:trPr>
        <w:tc>
          <w:tcPr>
            <w:tcW w:type="dxa" w:w="1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本年累计贷方发生额</w:t>
            </w:r>
          </w:p>
        </w:tc>
        <w:tc>
          <w:tcPr>
            <w:tcW w:type="dxa" w:w="31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credit / Y</w:t>
            </w:r>
          </w:p>
        </w:tc>
        <w:tc>
          <w:tcPr>
            <w:tcW w:type="dxa" w:w="42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同口径贷方发生；不是仅6月单月，不能再累计入账。</w:t>
            </w:r>
          </w:p>
        </w:tc>
      </w:tr>
      <w:tr>
        <w:trPr>
          <w:cantSplit/>
        </w:trPr>
        <w:tc>
          <w:tcPr>
            <w:tcW w:type="dxa" w:w="1984"/>
            <w:vAlign w:val="top"/>
            <w:tcMar>
              <w:top w:w="65" w:type="dxa"/>
              <w:bottom w:w="65" w:type="dxa"/>
              <w:left w:w="65" w:type="dxa"/>
              <w:right w:w="65" w:type="dxa"/>
            </w:tcMar>
          </w:tcPr>
          <w:p>
            <w:pPr>
              <w:spacing w:before="30" w:after="30" w:line="252" w:lineRule="auto"/>
            </w:pPr>
            <w:r>
              <w:rPr>
                <w:rFonts w:ascii="Arial" w:hAnsi="Arial" w:eastAsia="宋体"/>
                <w:b w:val="0"/>
                <w:i w:val="0"/>
                <w:sz w:val="19"/>
              </w:rPr>
              <w:t>期末借方余额</w:t>
            </w:r>
          </w:p>
        </w:tc>
        <w:tc>
          <w:tcPr>
            <w:tcW w:type="dxa" w:w="3152"/>
            <w:vAlign w:val="top"/>
            <w:tcMar>
              <w:top w:w="65" w:type="dxa"/>
              <w:bottom w:w="65" w:type="dxa"/>
              <w:left w:w="65" w:type="dxa"/>
              <w:right w:w="65" w:type="dxa"/>
            </w:tcMar>
          </w:tcPr>
          <w:p>
            <w:pPr>
              <w:spacing w:before="30" w:after="30" w:line="252" w:lineRule="auto"/>
            </w:pPr>
            <w:r>
              <w:rPr>
                <w:rFonts w:ascii="Arial" w:hAnsi="Arial" w:eastAsia="宋体"/>
                <w:b w:val="0"/>
                <w:i w:val="0"/>
                <w:sz w:val="19"/>
              </w:rPr>
              <w:t>closingDebit / Y</w:t>
            </w:r>
          </w:p>
        </w:tc>
        <w:tc>
          <w:tcPr>
            <w:tcW w:type="dxa" w:w="4270"/>
            <w:vAlign w:val="top"/>
            <w:tcMar>
              <w:top w:w="65" w:type="dxa"/>
              <w:bottom w:w="65" w:type="dxa"/>
              <w:left w:w="65" w:type="dxa"/>
              <w:right w:w="65" w:type="dxa"/>
            </w:tcMar>
          </w:tcPr>
          <w:p>
            <w:pPr>
              <w:spacing w:before="30" w:after="30" w:line="252" w:lineRule="auto"/>
            </w:pPr>
            <w:r>
              <w:rPr>
                <w:rFonts w:ascii="Arial" w:hAnsi="Arial" w:eastAsia="宋体"/>
                <w:b w:val="0"/>
                <w:i w:val="0"/>
                <w:sz w:val="19"/>
              </w:rPr>
              <w:t>元两位；期末借/贷不同时非零。</w:t>
            </w:r>
          </w:p>
        </w:tc>
      </w:tr>
      <w:tr>
        <w:trPr>
          <w:cantSplit/>
        </w:trPr>
        <w:tc>
          <w:tcPr>
            <w:tcW w:type="dxa" w:w="19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期末贷方余额</w:t>
            </w:r>
          </w:p>
        </w:tc>
        <w:tc>
          <w:tcPr>
            <w:tcW w:type="dxa" w:w="315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closingCredit / Y</w:t>
            </w:r>
          </w:p>
        </w:tc>
        <w:tc>
          <w:tcPr>
            <w:tcW w:type="dxa" w:w="42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核年初净额+累计借-累计贷=期末净额，错误保留差异。</w:t>
            </w:r>
          </w:p>
        </w:tc>
      </w:tr>
    </w:tbl>
    <w:p>
      <w:pPr>
        <w:spacing w:after="40"/>
      </w:pPr>
    </w:p>
    <w:p>
      <w:r>
        <w:rPr>
          <w:rFonts w:ascii="Arial" w:hAnsi="Arial" w:eastAsia="宋体"/>
          <w:b w:val="0"/>
          <w:i w:val="0"/>
        </w:rPr>
        <w:t>有有效期初或凭证发生/余额的科目都应覆盖；完全零且无发生的省略科目不列假差。外部导出含辅助明细时先按法人+科目汇总，不能把同科目多个辅助行原样重复导入。往来客商明细仍在年初和凭证里留存，不因余额科目级汇总而丢掉内部匹配依据。</w:t>
      </w:r>
    </w:p>
    <w:p>
      <w:pPr>
        <w:pStyle w:val="Heading3"/>
      </w:pPr>
      <w:bookmarkStart w:id="123" w:name="epm_123"/>
      <w:r>
        <w:rPr>
          <w:rFonts w:ascii="Arial" w:hAnsi="Arial" w:eastAsia="宋体"/>
          <w:b w:val="0"/>
          <w:i w:val="0"/>
        </w:rPr>
        <w:t>A.23.2 erp.balanceRows[]外部基准原行</w:t>
      </w:r>
      <w:bookmarkEnd w:id="123"/>
    </w:p>
    <w:tbl>
      <w:tblPr>
        <w:tblStyle w:val="TableGrid"/>
        <w:tblW w:type="auto" w:w="0"/>
        <w:jc w:val="center"/>
        <w:tblLayout w:type="fixed"/>
        <w:tblLook w:firstColumn="1" w:firstRow="1" w:lastColumn="0" w:lastRow="0" w:noHBand="0" w:noVBand="1" w:val="04A0"/>
      </w:tblPr>
      <w:tblGrid>
        <w:gridCol w:w="4018"/>
        <w:gridCol w:w="1409"/>
        <w:gridCol w:w="3979"/>
      </w:tblGrid>
      <w:tr>
        <w:trPr>
          <w:cantSplit/>
          <w:tblHeader w:val="true"/>
        </w:trPr>
        <w:tc>
          <w:tcPr>
            <w:tcW w:type="dxa" w:w="40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键</w:t>
            </w:r>
          </w:p>
        </w:tc>
        <w:tc>
          <w:tcPr>
            <w:tcW w:type="dxa" w:w="14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类型/来源</w:t>
            </w:r>
          </w:p>
        </w:tc>
        <w:tc>
          <w:tcPr>
            <w:tcW w:type="dxa" w:w="397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w:t>
            </w:r>
          </w:p>
        </w:tc>
      </w:tr>
      <w:tr>
        <w:trPr>
          <w:cantSplit/>
        </w:trPr>
        <w:tc>
          <w:tcPr>
            <w:tcW w:type="dxa" w:w="4018"/>
            <w:vAlign w:val="top"/>
            <w:tcMar>
              <w:top w:w="65" w:type="dxa"/>
              <w:bottom w:w="65" w:type="dxa"/>
              <w:left w:w="65" w:type="dxa"/>
              <w:right w:w="65" w:type="dxa"/>
            </w:tcMar>
          </w:tcPr>
          <w:p>
            <w:pPr>
              <w:spacing w:before="30" w:after="30" w:line="252" w:lineRule="auto"/>
            </w:pPr>
            <w:r>
              <w:rPr>
                <w:rFonts w:ascii="Arial" w:hAnsi="Arial" w:eastAsia="宋体"/>
                <w:b w:val="0"/>
                <w:i w:val="0"/>
                <w:sz w:val="19"/>
              </w:rPr>
              <w:t>id</w:t>
            </w:r>
          </w:p>
        </w:tc>
        <w:tc>
          <w:tcPr>
            <w:tcW w:type="dxa" w:w="1409"/>
            <w:vAlign w:val="top"/>
            <w:tcMar>
              <w:top w:w="65" w:type="dxa"/>
              <w:bottom w:w="65" w:type="dxa"/>
              <w:left w:w="65" w:type="dxa"/>
              <w:right w:w="65" w:type="dxa"/>
            </w:tcMar>
          </w:tcPr>
          <w:p>
            <w:pPr>
              <w:spacing w:before="30" w:after="30" w:line="252" w:lineRule="auto"/>
            </w:pPr>
            <w:r>
              <w:rPr>
                <w:rFonts w:ascii="Arial" w:hAnsi="Arial" w:eastAsia="宋体"/>
                <w:b w:val="0"/>
                <w:i w:val="0"/>
                <w:sz w:val="19"/>
              </w:rPr>
              <w:t>BAL-摘要ID</w:t>
            </w:r>
          </w:p>
        </w:tc>
        <w:tc>
          <w:tcPr>
            <w:tcW w:type="dxa" w:w="3979"/>
            <w:vAlign w:val="top"/>
            <w:tcMar>
              <w:top w:w="65" w:type="dxa"/>
              <w:bottom w:w="65" w:type="dxa"/>
              <w:left w:w="65" w:type="dxa"/>
              <w:right w:w="65" w:type="dxa"/>
            </w:tcMar>
          </w:tcPr>
          <w:p>
            <w:pPr>
              <w:spacing w:before="30" w:after="30" w:line="252" w:lineRule="auto"/>
            </w:pPr>
            <w:r>
              <w:rPr>
                <w:rFonts w:ascii="Arial" w:hAnsi="Arial" w:eastAsia="宋体"/>
                <w:b w:val="0"/>
                <w:i w:val="0"/>
                <w:sz w:val="19"/>
              </w:rPr>
              <w:t>由法人、月份、科目构成，停用/新批记录仍按batchId/sourceRow区别。</w:t>
            </w:r>
          </w:p>
        </w:tc>
      </w:tr>
      <w:tr>
        <w:trPr>
          <w:cantSplit/>
        </w:trPr>
        <w:tc>
          <w:tcPr>
            <w:tcW w:type="dxa" w:w="40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entityId/month/period</w:t>
            </w:r>
          </w:p>
        </w:tc>
        <w:tc>
          <w:tcPr>
            <w:tcW w:type="dxa" w:w="14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ID/integer/S</w:t>
            </w:r>
          </w:p>
        </w:tc>
        <w:tc>
          <w:tcPr>
            <w:tcW w:type="dxa" w:w="39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month1—12，period2026-MM；一个法人每月一套当前有效基准。</w:t>
            </w:r>
          </w:p>
        </w:tc>
      </w:tr>
      <w:tr>
        <w:trPr>
          <w:cantSplit/>
        </w:trPr>
        <w:tc>
          <w:tcPr>
            <w:tcW w:type="dxa" w:w="4018"/>
            <w:vAlign w:val="top"/>
            <w:tcMar>
              <w:top w:w="65" w:type="dxa"/>
              <w:bottom w:w="65" w:type="dxa"/>
              <w:left w:w="65" w:type="dxa"/>
              <w:right w:w="65" w:type="dxa"/>
            </w:tcMar>
          </w:tcPr>
          <w:p>
            <w:pPr>
              <w:spacing w:before="30" w:after="30" w:line="252" w:lineRule="auto"/>
            </w:pPr>
            <w:r>
              <w:rPr>
                <w:rFonts w:ascii="Arial" w:hAnsi="Arial" w:eastAsia="宋体"/>
                <w:b w:val="0"/>
                <w:i w:val="0"/>
                <w:sz w:val="19"/>
              </w:rPr>
              <w:t>accountCode/currency</w:t>
            </w:r>
          </w:p>
        </w:tc>
        <w:tc>
          <w:tcPr>
            <w:tcW w:type="dxa" w:w="1409"/>
            <w:vAlign w:val="top"/>
            <w:tcMar>
              <w:top w:w="65" w:type="dxa"/>
              <w:bottom w:w="65" w:type="dxa"/>
              <w:left w:w="65" w:type="dxa"/>
              <w:right w:w="65" w:type="dxa"/>
            </w:tcMar>
          </w:tcPr>
          <w:p>
            <w:pPr>
              <w:spacing w:before="30" w:after="30" w:line="252" w:lineRule="auto"/>
            </w:pPr>
            <w:r>
              <w:rPr>
                <w:rFonts w:ascii="Arial" w:hAnsi="Arial" w:eastAsia="宋体"/>
                <w:b w:val="0"/>
                <w:i w:val="0"/>
                <w:sz w:val="19"/>
              </w:rPr>
              <w:t>S/enum</w:t>
            </w:r>
          </w:p>
        </w:tc>
        <w:tc>
          <w:tcPr>
            <w:tcW w:type="dxa" w:w="3979"/>
            <w:vAlign w:val="top"/>
            <w:tcMar>
              <w:top w:w="65" w:type="dxa"/>
              <w:bottom w:w="65" w:type="dxa"/>
              <w:left w:w="65" w:type="dxa"/>
              <w:right w:w="65" w:type="dxa"/>
            </w:tcMar>
          </w:tcPr>
          <w:p>
            <w:pPr>
              <w:spacing w:before="30" w:after="30" w:line="252" w:lineRule="auto"/>
            </w:pPr>
            <w:r>
              <w:rPr>
                <w:rFonts w:ascii="Arial" w:hAnsi="Arial" w:eastAsia="宋体"/>
                <w:b w:val="0"/>
                <w:i w:val="0"/>
                <w:sz w:val="19"/>
              </w:rPr>
              <w:t>规范化后可联到法人科目映射。</w:t>
            </w:r>
          </w:p>
        </w:tc>
      </w:tr>
      <w:tr>
        <w:trPr>
          <w:cantSplit/>
        </w:trPr>
        <w:tc>
          <w:tcPr>
            <w:tcW w:type="dxa" w:w="40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openingDebit/openingCredit/debit/credit/closingDebit/closingCredit</w:t>
            </w:r>
          </w:p>
        </w:tc>
        <w:tc>
          <w:tcPr>
            <w:tcW w:type="dxa" w:w="14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六个Y元字符串</w:t>
            </w:r>
          </w:p>
        </w:tc>
        <w:tc>
          <w:tcPr>
            <w:tcW w:type="dxa" w:w="39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对应文件六金额，最终不是float运算才检查分位。</w:t>
            </w:r>
          </w:p>
        </w:tc>
      </w:tr>
      <w:tr>
        <w:trPr>
          <w:cantSplit/>
        </w:trPr>
        <w:tc>
          <w:tcPr>
            <w:tcW w:type="dxa" w:w="4018"/>
            <w:vAlign w:val="top"/>
            <w:tcMar>
              <w:top w:w="65" w:type="dxa"/>
              <w:bottom w:w="65" w:type="dxa"/>
              <w:left w:w="65" w:type="dxa"/>
              <w:right w:w="65" w:type="dxa"/>
            </w:tcMar>
          </w:tcPr>
          <w:p>
            <w:pPr>
              <w:spacing w:before="30" w:after="30" w:line="252" w:lineRule="auto"/>
            </w:pPr>
            <w:r>
              <w:rPr>
                <w:rFonts w:ascii="Arial" w:hAnsi="Arial" w:eastAsia="宋体"/>
                <w:b w:val="0"/>
                <w:i w:val="0"/>
                <w:sz w:val="19"/>
              </w:rPr>
              <w:t>rawFields</w:t>
            </w:r>
          </w:p>
        </w:tc>
        <w:tc>
          <w:tcPr>
            <w:tcW w:type="dxa" w:w="1409"/>
            <w:vAlign w:val="top"/>
            <w:tcMar>
              <w:top w:w="65" w:type="dxa"/>
              <w:bottom w:w="65" w:type="dxa"/>
              <w:left w:w="65" w:type="dxa"/>
              <w:right w:w="65" w:type="dxa"/>
            </w:tcMar>
          </w:tcPr>
          <w:p>
            <w:pPr>
              <w:spacing w:before="30" w:after="30" w:line="252" w:lineRule="auto"/>
            </w:pPr>
            <w:r>
              <w:rPr>
                <w:rFonts w:ascii="Arial" w:hAnsi="Arial" w:eastAsia="宋体"/>
                <w:b w:val="0"/>
                <w:i w:val="0"/>
                <w:sz w:val="19"/>
              </w:rPr>
              <w:t>object</w:t>
            </w:r>
          </w:p>
        </w:tc>
        <w:tc>
          <w:tcPr>
            <w:tcW w:type="dxa" w:w="3979"/>
            <w:vAlign w:val="top"/>
            <w:tcMar>
              <w:top w:w="65" w:type="dxa"/>
              <w:bottom w:w="65" w:type="dxa"/>
              <w:left w:w="65" w:type="dxa"/>
              <w:right w:w="65" w:type="dxa"/>
            </w:tcMar>
          </w:tcPr>
          <w:p>
            <w:pPr>
              <w:spacing w:before="30" w:after="30" w:line="252" w:lineRule="auto"/>
            </w:pPr>
            <w:r>
              <w:rPr>
                <w:rFonts w:ascii="Arial" w:hAnsi="Arial" w:eastAsia="宋体"/>
                <w:b w:val="0"/>
                <w:i w:val="0"/>
                <w:sz w:val="19"/>
              </w:rPr>
              <w:t>原CSV/XLSX字段及值，原金额不补注更改。</w:t>
            </w:r>
          </w:p>
        </w:tc>
      </w:tr>
      <w:tr>
        <w:trPr>
          <w:cantSplit/>
        </w:trPr>
        <w:tc>
          <w:tcPr>
            <w:tcW w:type="dxa" w:w="40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batchId/sourceRow</w:t>
            </w:r>
          </w:p>
        </w:tc>
        <w:tc>
          <w:tcPr>
            <w:tcW w:type="dxa" w:w="14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S/integer</w:t>
            </w:r>
          </w:p>
        </w:tc>
        <w:tc>
          <w:tcPr>
            <w:tcW w:type="dxa" w:w="397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原文件批次及工作表/CSV行号；用于异常定位。</w:t>
            </w:r>
          </w:p>
        </w:tc>
      </w:tr>
      <w:tr>
        <w:trPr>
          <w:cantSplit/>
        </w:trPr>
        <w:tc>
          <w:tcPr>
            <w:tcW w:type="dxa" w:w="4018"/>
            <w:vAlign w:val="top"/>
            <w:tcMar>
              <w:top w:w="65" w:type="dxa"/>
              <w:bottom w:w="65" w:type="dxa"/>
              <w:left w:w="65" w:type="dxa"/>
              <w:right w:w="65" w:type="dxa"/>
            </w:tcMar>
          </w:tcPr>
          <w:p>
            <w:pPr>
              <w:spacing w:before="30" w:after="30" w:line="252" w:lineRule="auto"/>
            </w:pPr>
            <w:r>
              <w:rPr>
                <w:rFonts w:ascii="Arial" w:hAnsi="Arial" w:eastAsia="宋体"/>
                <w:b w:val="0"/>
                <w:i w:val="0"/>
                <w:sz w:val="19"/>
              </w:rPr>
              <w:t>active</w:t>
            </w:r>
          </w:p>
        </w:tc>
        <w:tc>
          <w:tcPr>
            <w:tcW w:type="dxa" w:w="1409"/>
            <w:vAlign w:val="top"/>
            <w:tcMar>
              <w:top w:w="65" w:type="dxa"/>
              <w:bottom w:w="65" w:type="dxa"/>
              <w:left w:w="65" w:type="dxa"/>
              <w:right w:w="65" w:type="dxa"/>
            </w:tcMar>
          </w:tcPr>
          <w:p>
            <w:pPr>
              <w:spacing w:before="30" w:after="30" w:line="252" w:lineRule="auto"/>
            </w:pPr>
            <w:r>
              <w:rPr>
                <w:rFonts w:ascii="Arial" w:hAnsi="Arial" w:eastAsia="宋体"/>
                <w:b w:val="0"/>
                <w:i w:val="0"/>
                <w:sz w:val="19"/>
              </w:rPr>
              <w:t>boolean</w:t>
            </w:r>
          </w:p>
        </w:tc>
        <w:tc>
          <w:tcPr>
            <w:tcW w:type="dxa" w:w="3979"/>
            <w:vAlign w:val="top"/>
            <w:tcMar>
              <w:top w:w="65" w:type="dxa"/>
              <w:bottom w:w="65" w:type="dxa"/>
              <w:left w:w="65" w:type="dxa"/>
              <w:right w:w="65" w:type="dxa"/>
            </w:tcMar>
          </w:tcPr>
          <w:p>
            <w:pPr>
              <w:spacing w:before="30" w:after="30" w:line="252" w:lineRule="auto"/>
            </w:pPr>
            <w:r>
              <w:rPr>
                <w:rFonts w:ascii="Arial" w:hAnsi="Arial" w:eastAsia="宋体"/>
                <w:b w:val="0"/>
                <w:i w:val="0"/>
                <w:sz w:val="19"/>
              </w:rPr>
              <w:t>新基准按本期受影响法人替换有效基准，旧行保留active=false。余额批次只能在其所属当前期间停用，跨期调用400且零写入。</w:t>
            </w:r>
          </w:p>
        </w:tc>
      </w:tr>
    </w:tbl>
    <w:p>
      <w:pPr>
        <w:spacing w:after="40"/>
      </w:pPr>
    </w:p>
    <w:p>
      <w:pPr>
        <w:pStyle w:val="Heading3"/>
      </w:pPr>
      <w:bookmarkStart w:id="124" w:name="epm_124"/>
      <w:r>
        <w:rPr>
          <w:rFonts w:ascii="Arial" w:hAnsi="Arial" w:eastAsia="宋体"/>
          <w:b w:val="0"/>
          <w:i w:val="0"/>
        </w:rPr>
        <w:t>A.23.3 erp.balanceReports[法人:月]核对结果</w:t>
      </w:r>
      <w:bookmarkEnd w:id="124"/>
    </w:p>
    <w:tbl>
      <w:tblPr>
        <w:tblStyle w:val="TableGrid"/>
        <w:tblW w:type="auto" w:w="0"/>
        <w:jc w:val="center"/>
        <w:tblLayout w:type="fixed"/>
        <w:tblLook w:firstColumn="1" w:firstRow="1" w:lastColumn="0" w:lastRow="0" w:noHBand="0" w:noVBand="1" w:val="04A0"/>
      </w:tblPr>
      <w:tblGrid>
        <w:gridCol w:w="3338"/>
        <w:gridCol w:w="1931"/>
        <w:gridCol w:w="4137"/>
      </w:tblGrid>
      <w:tr>
        <w:trPr>
          <w:cantSplit/>
          <w:tblHeader w:val="true"/>
        </w:trPr>
        <w:tc>
          <w:tcPr>
            <w:tcW w:type="dxa" w:w="333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键</w:t>
            </w:r>
          </w:p>
        </w:tc>
        <w:tc>
          <w:tcPr>
            <w:tcW w:type="dxa" w:w="193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类型/来源</w:t>
            </w:r>
          </w:p>
        </w:tc>
        <w:tc>
          <w:tcPr>
            <w:tcW w:type="dxa" w:w="41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用途</w:t>
            </w:r>
          </w:p>
        </w:tc>
      </w:tr>
      <w:tr>
        <w:trPr>
          <w:cantSplit/>
        </w:trPr>
        <w:tc>
          <w:tcPr>
            <w:tcW w:type="dxa" w:w="3338"/>
            <w:vAlign w:val="top"/>
            <w:tcMar>
              <w:top w:w="65" w:type="dxa"/>
              <w:bottom w:w="65" w:type="dxa"/>
              <w:left w:w="65" w:type="dxa"/>
              <w:right w:w="65" w:type="dxa"/>
            </w:tcMar>
          </w:tcPr>
          <w:p>
            <w:pPr>
              <w:spacing w:before="30" w:after="30" w:line="252" w:lineRule="auto"/>
            </w:pPr>
            <w:r>
              <w:rPr>
                <w:rFonts w:ascii="Arial" w:hAnsi="Arial" w:eastAsia="宋体"/>
                <w:b w:val="0"/>
                <w:i w:val="0"/>
                <w:sz w:val="19"/>
              </w:rPr>
              <w:t>entityId/month/period</w:t>
            </w:r>
          </w:p>
        </w:tc>
        <w:tc>
          <w:tcPr>
            <w:tcW w:type="dxa" w:w="1931"/>
            <w:vAlign w:val="top"/>
            <w:tcMar>
              <w:top w:w="65" w:type="dxa"/>
              <w:bottom w:w="65" w:type="dxa"/>
              <w:left w:w="65" w:type="dxa"/>
              <w:right w:w="65" w:type="dxa"/>
            </w:tcMar>
          </w:tcPr>
          <w:p>
            <w:pPr>
              <w:spacing w:before="30" w:after="30" w:line="252" w:lineRule="auto"/>
            </w:pPr>
            <w:r>
              <w:rPr>
                <w:rFonts w:ascii="Arial" w:hAnsi="Arial" w:eastAsia="宋体"/>
                <w:b w:val="0"/>
                <w:i w:val="0"/>
                <w:sz w:val="19"/>
              </w:rPr>
              <w:t>ID/integer/S</w:t>
            </w:r>
          </w:p>
        </w:tc>
        <w:tc>
          <w:tcPr>
            <w:tcW w:type="dxa" w:w="4137"/>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当前法人当前期，不跨期复用核对通过。</w:t>
            </w:r>
          </w:p>
        </w:tc>
      </w:tr>
      <w:tr>
        <w:trPr>
          <w:cantSplit/>
        </w:trPr>
        <w:tc>
          <w:tcPr>
            <w:tcW w:type="dxa" w:w="33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amountUnit</w:t>
            </w:r>
          </w:p>
        </w:tc>
        <w:tc>
          <w:tcPr>
            <w:tcW w:type="dxa" w:w="19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固定元</w:t>
            </w:r>
          </w:p>
        </w:tc>
        <w:tc>
          <w:tcPr>
            <w:tcW w:type="dxa" w:w="41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与报表万元不同；差额也以元显示。</w:t>
            </w:r>
          </w:p>
        </w:tc>
      </w:tr>
      <w:tr>
        <w:trPr>
          <w:cantSplit/>
        </w:trPr>
        <w:tc>
          <w:tcPr>
            <w:tcW w:type="dxa" w:w="3338"/>
            <w:vAlign w:val="top"/>
            <w:tcMar>
              <w:top w:w="65" w:type="dxa"/>
              <w:bottom w:w="65" w:type="dxa"/>
              <w:left w:w="65" w:type="dxa"/>
              <w:right w:w="65" w:type="dxa"/>
            </w:tcMar>
          </w:tcPr>
          <w:p>
            <w:pPr>
              <w:spacing w:before="30" w:after="30" w:line="252" w:lineRule="auto"/>
            </w:pPr>
            <w:r>
              <w:rPr>
                <w:rFonts w:ascii="Arial" w:hAnsi="Arial" w:eastAsia="宋体"/>
                <w:b w:val="0"/>
                <w:i w:val="0"/>
                <w:sz w:val="19"/>
              </w:rPr>
              <w:t>basis</w:t>
            </w:r>
          </w:p>
        </w:tc>
        <w:tc>
          <w:tcPr>
            <w:tcW w:type="dxa" w:w="1931"/>
            <w:vAlign w:val="top"/>
            <w:tcMar>
              <w:top w:w="65" w:type="dxa"/>
              <w:bottom w:w="65" w:type="dxa"/>
              <w:left w:w="65" w:type="dxa"/>
              <w:right w:w="65" w:type="dxa"/>
            </w:tcMar>
          </w:tcPr>
          <w:p>
            <w:pPr>
              <w:spacing w:before="30" w:after="30" w:line="252" w:lineRule="auto"/>
            </w:pPr>
            <w:r>
              <w:rPr>
                <w:rFonts w:ascii="Arial" w:hAnsi="Arial" w:eastAsia="宋体"/>
                <w:b w:val="0"/>
                <w:i w:val="0"/>
                <w:sz w:val="19"/>
              </w:rPr>
              <w:t>文本</w:t>
            </w:r>
          </w:p>
        </w:tc>
        <w:tc>
          <w:tcPr>
            <w:tcW w:type="dxa" w:w="4137"/>
            <w:vAlign w:val="top"/>
            <w:tcMar>
              <w:top w:w="65" w:type="dxa"/>
              <w:bottom w:w="65" w:type="dxa"/>
              <w:left w:w="65" w:type="dxa"/>
              <w:right w:w="65" w:type="dxa"/>
            </w:tcMar>
          </w:tcPr>
          <w:p>
            <w:pPr>
              <w:spacing w:before="30" w:after="30" w:line="252" w:lineRule="auto"/>
            </w:pPr>
            <w:r>
              <w:rPr>
                <w:rFonts w:ascii="Arial" w:hAnsi="Arial" w:eastAsia="宋体"/>
                <w:b w:val="0"/>
                <w:i w:val="0"/>
                <w:sz w:val="19"/>
              </w:rPr>
              <w:t>原账含损益结转，管理损益排除结转另有记录。</w:t>
            </w:r>
          </w:p>
        </w:tc>
      </w:tr>
      <w:tr>
        <w:trPr>
          <w:cantSplit/>
        </w:trPr>
        <w:tc>
          <w:tcPr>
            <w:tcW w:type="dxa" w:w="33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passed</w:t>
            </w:r>
          </w:p>
        </w:tc>
        <w:tc>
          <w:tcPr>
            <w:tcW w:type="dxa" w:w="19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boolean</w:t>
            </w:r>
          </w:p>
        </w:tc>
        <w:tc>
          <w:tcPr>
            <w:tcW w:type="dxa" w:w="41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必须有有效外部基准且全部比较通过；有空基准不是通过。</w:t>
            </w:r>
          </w:p>
        </w:tc>
      </w:tr>
      <w:tr>
        <w:trPr>
          <w:cantSplit/>
        </w:trPr>
        <w:tc>
          <w:tcPr>
            <w:tcW w:type="dxa" w:w="3338"/>
            <w:vAlign w:val="top"/>
            <w:tcMar>
              <w:top w:w="65" w:type="dxa"/>
              <w:bottom w:w="65" w:type="dxa"/>
              <w:left w:w="65" w:type="dxa"/>
              <w:right w:w="65" w:type="dxa"/>
            </w:tcMar>
          </w:tcPr>
          <w:p>
            <w:pPr>
              <w:spacing w:before="30" w:after="30" w:line="252" w:lineRule="auto"/>
            </w:pPr>
            <w:r>
              <w:rPr>
                <w:rFonts w:ascii="Arial" w:hAnsi="Arial" w:eastAsia="宋体"/>
                <w:b w:val="0"/>
                <w:i w:val="0"/>
                <w:sz w:val="19"/>
              </w:rPr>
              <w:t>valid</w:t>
            </w:r>
          </w:p>
        </w:tc>
        <w:tc>
          <w:tcPr>
            <w:tcW w:type="dxa" w:w="1931"/>
            <w:vAlign w:val="top"/>
            <w:tcMar>
              <w:top w:w="65" w:type="dxa"/>
              <w:bottom w:w="65" w:type="dxa"/>
              <w:left w:w="65" w:type="dxa"/>
              <w:right w:w="65" w:type="dxa"/>
            </w:tcMar>
          </w:tcPr>
          <w:p>
            <w:pPr>
              <w:spacing w:before="30" w:after="30" w:line="252" w:lineRule="auto"/>
            </w:pPr>
            <w:r>
              <w:rPr>
                <w:rFonts w:ascii="Arial" w:hAnsi="Arial" w:eastAsia="宋体"/>
                <w:b w:val="0"/>
                <w:i w:val="0"/>
                <w:sz w:val="19"/>
              </w:rPr>
              <w:t>boolean</w:t>
            </w:r>
          </w:p>
        </w:tc>
        <w:tc>
          <w:tcPr>
            <w:tcW w:type="dxa" w:w="4137"/>
            <w:vAlign w:val="top"/>
            <w:tcMar>
              <w:top w:w="65" w:type="dxa"/>
              <w:bottom w:w="65" w:type="dxa"/>
              <w:left w:w="65" w:type="dxa"/>
              <w:right w:w="65" w:type="dxa"/>
            </w:tcMar>
          </w:tcPr>
          <w:p>
            <w:pPr>
              <w:spacing w:before="30" w:after="30" w:line="252" w:lineRule="auto"/>
            </w:pPr>
            <w:r>
              <w:rPr>
                <w:rFonts w:ascii="Arial" w:hAnsi="Arial" w:eastAsia="宋体"/>
                <w:b w:val="0"/>
                <w:i w:val="0"/>
                <w:sz w:val="19"/>
              </w:rPr>
              <w:t>执行核对时true，依赖变化false；valid与passed须同时为true。</w:t>
            </w:r>
          </w:p>
        </w:tc>
      </w:tr>
      <w:tr>
        <w:trPr>
          <w:cantSplit/>
        </w:trPr>
        <w:tc>
          <w:tcPr>
            <w:tcW w:type="dxa" w:w="33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inputFingerprint</w:t>
            </w:r>
          </w:p>
        </w:tc>
        <w:tc>
          <w:tcPr>
            <w:tcW w:type="dxa" w:w="19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SHA256文本</w:t>
            </w:r>
          </w:p>
        </w:tc>
        <w:tc>
          <w:tcPr>
            <w:tcW w:type="dxa" w:w="41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绑定当前原账和本期外部基准；正式计算比较当前摘要。</w:t>
            </w:r>
          </w:p>
        </w:tc>
      </w:tr>
      <w:tr>
        <w:trPr>
          <w:cantSplit/>
        </w:trPr>
        <w:tc>
          <w:tcPr>
            <w:tcW w:type="dxa" w:w="3338"/>
            <w:vAlign w:val="top"/>
            <w:tcMar>
              <w:top w:w="65" w:type="dxa"/>
              <w:bottom w:w="65" w:type="dxa"/>
              <w:left w:w="65" w:type="dxa"/>
              <w:right w:w="65" w:type="dxa"/>
            </w:tcMar>
          </w:tcPr>
          <w:p>
            <w:pPr>
              <w:spacing w:before="30" w:after="30" w:line="252" w:lineRule="auto"/>
            </w:pPr>
            <w:r>
              <w:rPr>
                <w:rFonts w:ascii="Arial" w:hAnsi="Arial" w:eastAsia="宋体"/>
                <w:b w:val="0"/>
                <w:i w:val="0"/>
                <w:sz w:val="19"/>
              </w:rPr>
              <w:t>checkedAt/checkedBy</w:t>
            </w:r>
          </w:p>
        </w:tc>
        <w:tc>
          <w:tcPr>
            <w:tcW w:type="dxa" w:w="1931"/>
            <w:vAlign w:val="top"/>
            <w:tcMar>
              <w:top w:w="65" w:type="dxa"/>
              <w:bottom w:w="65" w:type="dxa"/>
              <w:left w:w="65" w:type="dxa"/>
              <w:right w:w="65" w:type="dxa"/>
            </w:tcMar>
          </w:tcPr>
          <w:p>
            <w:pPr>
              <w:spacing w:before="30" w:after="30" w:line="252" w:lineRule="auto"/>
            </w:pPr>
            <w:r>
              <w:rPr>
                <w:rFonts w:ascii="Arial" w:hAnsi="Arial" w:eastAsia="宋体"/>
                <w:b w:val="0"/>
                <w:i w:val="0"/>
                <w:sz w:val="19"/>
              </w:rPr>
              <w:t>ISO时间/角色</w:t>
            </w:r>
          </w:p>
        </w:tc>
        <w:tc>
          <w:tcPr>
            <w:tcW w:type="dxa" w:w="4137"/>
            <w:vAlign w:val="top"/>
            <w:tcMar>
              <w:top w:w="65" w:type="dxa"/>
              <w:bottom w:w="65" w:type="dxa"/>
              <w:left w:w="65" w:type="dxa"/>
              <w:right w:w="65" w:type="dxa"/>
            </w:tcMar>
          </w:tcPr>
          <w:p>
            <w:pPr>
              <w:spacing w:before="30" w:after="30" w:line="252" w:lineRule="auto"/>
            </w:pPr>
            <w:r>
              <w:rPr>
                <w:rFonts w:ascii="Arial" w:hAnsi="Arial" w:eastAsia="宋体"/>
                <w:b w:val="0"/>
                <w:i w:val="0"/>
                <w:sz w:val="19"/>
              </w:rPr>
              <w:t>操作留痕，不是生产实名签章。</w:t>
            </w:r>
          </w:p>
        </w:tc>
      </w:tr>
      <w:tr>
        <w:trPr>
          <w:cantSplit/>
        </w:trPr>
        <w:tc>
          <w:tcPr>
            <w:tcW w:type="dxa" w:w="33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rows[]</w:t>
            </w:r>
          </w:p>
        </w:tc>
        <w:tc>
          <w:tcPr>
            <w:tcW w:type="dxa" w:w="19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array</w:t>
            </w:r>
          </w:p>
        </w:tc>
        <w:tc>
          <w:tcPr>
            <w:tcW w:type="dxa" w:w="41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每科目的expected/actual/differences及原行引用。</w:t>
            </w:r>
          </w:p>
        </w:tc>
      </w:tr>
      <w:tr>
        <w:trPr>
          <w:cantSplit/>
        </w:trPr>
        <w:tc>
          <w:tcPr>
            <w:tcW w:type="dxa" w:w="3338"/>
            <w:vAlign w:val="top"/>
            <w:tcMar>
              <w:top w:w="65" w:type="dxa"/>
              <w:bottom w:w="65" w:type="dxa"/>
              <w:left w:w="65" w:type="dxa"/>
              <w:right w:w="65" w:type="dxa"/>
            </w:tcMar>
          </w:tcPr>
          <w:p>
            <w:pPr>
              <w:spacing w:before="30" w:after="30" w:line="252" w:lineRule="auto"/>
            </w:pPr>
            <w:r>
              <w:rPr>
                <w:rFonts w:ascii="Arial" w:hAnsi="Arial" w:eastAsia="宋体"/>
                <w:b w:val="0"/>
                <w:i w:val="0"/>
                <w:sz w:val="19"/>
              </w:rPr>
              <w:t>missingAccounts/extraAccounts</w:t>
            </w:r>
          </w:p>
        </w:tc>
        <w:tc>
          <w:tcPr>
            <w:tcW w:type="dxa" w:w="1931"/>
            <w:vAlign w:val="top"/>
            <w:tcMar>
              <w:top w:w="65" w:type="dxa"/>
              <w:bottom w:w="65" w:type="dxa"/>
              <w:left w:w="65" w:type="dxa"/>
              <w:right w:w="65" w:type="dxa"/>
            </w:tcMar>
          </w:tcPr>
          <w:p>
            <w:pPr>
              <w:spacing w:before="30" w:after="30" w:line="252" w:lineRule="auto"/>
            </w:pPr>
            <w:r>
              <w:rPr>
                <w:rFonts w:ascii="Arial" w:hAnsi="Arial" w:eastAsia="宋体"/>
                <w:b w:val="0"/>
                <w:i w:val="0"/>
                <w:sz w:val="19"/>
              </w:rPr>
              <w:t>array</w:t>
            </w:r>
            <w:r>
              <w:rPr>
                <w:rFonts w:ascii="Arial" w:hAnsi="Arial" w:eastAsia="宋体"/>
                <w:b w:val="0"/>
                <w:i w:val="0"/>
                <w:sz w:val="19"/>
              </w:rPr>
              <w:t>&lt;S&gt;</w:t>
            </w:r>
          </w:p>
        </w:tc>
        <w:tc>
          <w:tcPr>
            <w:tcW w:type="dxa" w:w="4137"/>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实际有账务外部缺科目，或外部有非零科目而原账无该科目。</w:t>
            </w:r>
          </w:p>
        </w:tc>
      </w:tr>
      <w:tr>
        <w:trPr>
          <w:cantSplit/>
        </w:trPr>
        <w:tc>
          <w:tcPr>
            <w:tcW w:type="dxa" w:w="333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totals.expected/totals.actual</w:t>
            </w:r>
          </w:p>
        </w:tc>
        <w:tc>
          <w:tcPr>
            <w:tcW w:type="dxa" w:w="193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map&lt;六金额,Y&gt;</w:t>
            </w:r>
          </w:p>
        </w:tc>
        <w:tc>
          <w:tcPr>
            <w:tcW w:type="dxa" w:w="41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科目汇总核对资料，不替代逐科目检查。</w:t>
            </w:r>
          </w:p>
        </w:tc>
      </w:tr>
      <w:tr>
        <w:trPr>
          <w:cantSplit/>
        </w:trPr>
        <w:tc>
          <w:tcPr>
            <w:tcW w:type="dxa" w:w="3338"/>
            <w:vAlign w:val="top"/>
            <w:tcMar>
              <w:top w:w="65" w:type="dxa"/>
              <w:bottom w:w="65" w:type="dxa"/>
              <w:left w:w="65" w:type="dxa"/>
              <w:right w:w="65" w:type="dxa"/>
            </w:tcMar>
          </w:tcPr>
          <w:p>
            <w:pPr>
              <w:spacing w:before="30" w:after="30" w:line="252" w:lineRule="auto"/>
            </w:pPr>
            <w:r>
              <w:rPr>
                <w:rFonts w:ascii="Arial" w:hAnsi="Arial" w:eastAsia="宋体"/>
                <w:b w:val="0"/>
                <w:i w:val="0"/>
                <w:sz w:val="19"/>
              </w:rPr>
              <w:t>externalRows[]</w:t>
            </w:r>
          </w:p>
        </w:tc>
        <w:tc>
          <w:tcPr>
            <w:tcW w:type="dxa" w:w="1931"/>
            <w:vAlign w:val="top"/>
            <w:tcMar>
              <w:top w:w="65" w:type="dxa"/>
              <w:bottom w:w="65" w:type="dxa"/>
              <w:left w:w="65" w:type="dxa"/>
              <w:right w:w="65" w:type="dxa"/>
            </w:tcMar>
          </w:tcPr>
          <w:p>
            <w:pPr>
              <w:spacing w:before="30" w:after="30" w:line="252" w:lineRule="auto"/>
            </w:pPr>
            <w:r>
              <w:rPr>
                <w:rFonts w:ascii="Arial" w:hAnsi="Arial" w:eastAsia="宋体"/>
                <w:b w:val="0"/>
                <w:i w:val="0"/>
                <w:sz w:val="19"/>
              </w:rPr>
              <w:t>原基准副本</w:t>
            </w:r>
          </w:p>
        </w:tc>
        <w:tc>
          <w:tcPr>
            <w:tcW w:type="dxa" w:w="4137"/>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保存该次核对所使用的完整本法人基准。</w:t>
            </w:r>
          </w:p>
        </w:tc>
      </w:tr>
    </w:tbl>
    <w:p>
      <w:pPr>
        <w:spacing w:after="40"/>
      </w:pPr>
    </w:p>
    <w:p>
      <w:pPr>
        <w:pStyle w:val="Heading3"/>
      </w:pPr>
      <w:bookmarkStart w:id="125" w:name="epm_125"/>
      <w:r>
        <w:rPr>
          <w:rFonts w:ascii="Arial" w:hAnsi="Arial" w:eastAsia="宋体"/>
          <w:b w:val="0"/>
          <w:i w:val="0"/>
        </w:rPr>
        <w:t>A.23.4 核对行与差异行</w:t>
      </w:r>
      <w:bookmarkEnd w:id="125"/>
    </w:p>
    <w:tbl>
      <w:tblPr>
        <w:tblStyle w:val="TableGrid"/>
        <w:tblW w:type="auto" w:w="0"/>
        <w:jc w:val="center"/>
        <w:tblLayout w:type="fixed"/>
        <w:tblLook w:firstColumn="1" w:firstRow="1" w:lastColumn="0" w:lastRow="0" w:noHBand="0" w:noVBand="1" w:val="04A0"/>
      </w:tblPr>
      <w:tblGrid>
        <w:gridCol w:w="3344"/>
        <w:gridCol w:w="2418"/>
        <w:gridCol w:w="3644"/>
      </w:tblGrid>
      <w:tr>
        <w:trPr>
          <w:cantSplit/>
          <w:tblHeader w:val="true"/>
        </w:trPr>
        <w:tc>
          <w:tcPr>
            <w:tcW w:type="dxa" w:w="33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核对行键</w:t>
            </w:r>
          </w:p>
        </w:tc>
        <w:tc>
          <w:tcPr>
            <w:tcW w:type="dxa" w:w="24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w:t>
            </w:r>
          </w:p>
        </w:tc>
        <w:tc>
          <w:tcPr>
            <w:tcW w:type="dxa" w:w="36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3344"/>
            <w:vAlign w:val="top"/>
            <w:tcMar>
              <w:top w:w="65" w:type="dxa"/>
              <w:bottom w:w="65" w:type="dxa"/>
              <w:left w:w="65" w:type="dxa"/>
              <w:right w:w="65" w:type="dxa"/>
            </w:tcMar>
          </w:tcPr>
          <w:p>
            <w:pPr>
              <w:spacing w:before="30" w:after="30" w:line="252" w:lineRule="auto"/>
            </w:pPr>
            <w:r>
              <w:rPr>
                <w:rFonts w:ascii="Arial" w:hAnsi="Arial" w:eastAsia="宋体"/>
                <w:b w:val="0"/>
                <w:i w:val="0"/>
                <w:sz w:val="19"/>
              </w:rPr>
              <w:t>accountCode/accountName</w:t>
            </w:r>
          </w:p>
        </w:tc>
        <w:tc>
          <w:tcPr>
            <w:tcW w:type="dxa" w:w="2418"/>
            <w:vAlign w:val="top"/>
            <w:tcMar>
              <w:top w:w="65" w:type="dxa"/>
              <w:bottom w:w="65" w:type="dxa"/>
              <w:left w:w="65" w:type="dxa"/>
              <w:right w:w="65" w:type="dxa"/>
            </w:tcMar>
          </w:tcPr>
          <w:p>
            <w:pPr>
              <w:spacing w:before="30" w:after="30" w:line="252" w:lineRule="auto"/>
            </w:pPr>
            <w:r>
              <w:rPr>
                <w:rFonts w:ascii="Arial" w:hAnsi="Arial" w:eastAsia="宋体"/>
                <w:b w:val="0"/>
                <w:i w:val="0"/>
                <w:sz w:val="19"/>
              </w:rPr>
              <w:t>S/S</w:t>
            </w:r>
          </w:p>
        </w:tc>
        <w:tc>
          <w:tcPr>
            <w:tcW w:type="dxa" w:w="3644"/>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实际映射名称；外部有科目无账务也明确显示。</w:t>
            </w:r>
          </w:p>
        </w:tc>
      </w:tr>
      <w:tr>
        <w:trPr>
          <w:cantSplit/>
        </w:trPr>
        <w:tc>
          <w:tcPr>
            <w:tcW w:type="dxa" w:w="33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expected</w:t>
            </w:r>
          </w:p>
        </w:tc>
        <w:tc>
          <w:tcPr>
            <w:tcW w:type="dxa" w:w="24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六金额对象</w:t>
            </w:r>
          </w:p>
        </w:tc>
        <w:tc>
          <w:tcPr>
            <w:tcW w:type="dxa" w:w="3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外部余额表数；缺行时不能冒称0已核清。</w:t>
            </w:r>
          </w:p>
        </w:tc>
      </w:tr>
      <w:tr>
        <w:trPr>
          <w:cantSplit/>
        </w:trPr>
        <w:tc>
          <w:tcPr>
            <w:tcW w:type="dxa" w:w="3344"/>
            <w:vAlign w:val="top"/>
            <w:tcMar>
              <w:top w:w="65" w:type="dxa"/>
              <w:bottom w:w="65" w:type="dxa"/>
              <w:left w:w="65" w:type="dxa"/>
              <w:right w:w="65" w:type="dxa"/>
            </w:tcMar>
          </w:tcPr>
          <w:p>
            <w:pPr>
              <w:spacing w:before="30" w:after="30" w:line="252" w:lineRule="auto"/>
            </w:pPr>
            <w:r>
              <w:rPr>
                <w:rFonts w:ascii="Arial" w:hAnsi="Arial" w:eastAsia="宋体"/>
                <w:b w:val="0"/>
                <w:i w:val="0"/>
                <w:sz w:val="19"/>
              </w:rPr>
              <w:t>actual</w:t>
            </w:r>
          </w:p>
        </w:tc>
        <w:tc>
          <w:tcPr>
            <w:tcW w:type="dxa" w:w="2418"/>
            <w:vAlign w:val="top"/>
            <w:tcMar>
              <w:top w:w="65" w:type="dxa"/>
              <w:bottom w:w="65" w:type="dxa"/>
              <w:left w:w="65" w:type="dxa"/>
              <w:right w:w="65" w:type="dxa"/>
            </w:tcMar>
          </w:tcPr>
          <w:p>
            <w:pPr>
              <w:spacing w:before="30" w:after="30" w:line="252" w:lineRule="auto"/>
            </w:pPr>
            <w:r>
              <w:rPr>
                <w:rFonts w:ascii="Arial" w:hAnsi="Arial" w:eastAsia="宋体"/>
                <w:b w:val="0"/>
                <w:i w:val="0"/>
                <w:sz w:val="19"/>
              </w:rPr>
              <w:t>六金额对象</w:t>
            </w:r>
          </w:p>
        </w:tc>
        <w:tc>
          <w:tcPr>
            <w:tcW w:type="dxa" w:w="3644"/>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当前有效期初+原始凭证试算，含损益结转原账。</w:t>
            </w:r>
          </w:p>
        </w:tc>
      </w:tr>
      <w:tr>
        <w:trPr>
          <w:cantSplit/>
        </w:trPr>
        <w:tc>
          <w:tcPr>
            <w:tcW w:type="dxa" w:w="33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passed</w:t>
            </w:r>
          </w:p>
        </w:tc>
        <w:tc>
          <w:tcPr>
            <w:tcW w:type="dxa" w:w="24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boolean</w:t>
            </w:r>
          </w:p>
        </w:tc>
        <w:tc>
          <w:tcPr>
            <w:tcW w:type="dxa" w:w="3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无该行差异才true。</w:t>
            </w:r>
          </w:p>
        </w:tc>
      </w:tr>
      <w:tr>
        <w:trPr>
          <w:cantSplit/>
        </w:trPr>
        <w:tc>
          <w:tcPr>
            <w:tcW w:type="dxa" w:w="3344"/>
            <w:vAlign w:val="top"/>
            <w:tcMar>
              <w:top w:w="65" w:type="dxa"/>
              <w:bottom w:w="65" w:type="dxa"/>
              <w:left w:w="65" w:type="dxa"/>
              <w:right w:w="65" w:type="dxa"/>
            </w:tcMar>
          </w:tcPr>
          <w:p>
            <w:pPr>
              <w:spacing w:before="30" w:after="30" w:line="252" w:lineRule="auto"/>
            </w:pPr>
            <w:r>
              <w:rPr>
                <w:rFonts w:ascii="Arial" w:hAnsi="Arial" w:eastAsia="宋体"/>
                <w:b w:val="0"/>
                <w:i w:val="0"/>
                <w:sz w:val="19"/>
              </w:rPr>
              <w:t>differences[]</w:t>
            </w:r>
          </w:p>
        </w:tc>
        <w:tc>
          <w:tcPr>
            <w:tcW w:type="dxa" w:w="2418"/>
            <w:vAlign w:val="top"/>
            <w:tcMar>
              <w:top w:w="65" w:type="dxa"/>
              <w:bottom w:w="65" w:type="dxa"/>
              <w:left w:w="65" w:type="dxa"/>
              <w:right w:w="65" w:type="dxa"/>
            </w:tcMar>
          </w:tcPr>
          <w:p>
            <w:pPr>
              <w:spacing w:before="30" w:after="30" w:line="252" w:lineRule="auto"/>
            </w:pPr>
            <w:r>
              <w:rPr>
                <w:rFonts w:ascii="Arial" w:hAnsi="Arial" w:eastAsia="宋体"/>
                <w:b w:val="0"/>
                <w:i w:val="0"/>
                <w:sz w:val="19"/>
              </w:rPr>
              <w:t>array</w:t>
            </w:r>
          </w:p>
        </w:tc>
        <w:tc>
          <w:tcPr>
            <w:tcW w:type="dxa" w:w="3644"/>
            <w:vAlign w:val="top"/>
            <w:tcMar>
              <w:top w:w="65" w:type="dxa"/>
              <w:bottom w:w="65" w:type="dxa"/>
              <w:left w:w="65" w:type="dxa"/>
              <w:right w:w="65" w:type="dxa"/>
            </w:tcMar>
          </w:tcPr>
          <w:p>
            <w:pPr>
              <w:spacing w:before="30" w:after="30" w:line="252" w:lineRule="auto"/>
            </w:pPr>
            <w:r>
              <w:rPr>
                <w:rFonts w:ascii="Arial" w:hAnsi="Arial" w:eastAsia="宋体"/>
                <w:b w:val="0"/>
                <w:i w:val="0"/>
                <w:sz w:val="19"/>
              </w:rPr>
              <w:t>只保留实际差异；不能一键忽略或自动补平。</w:t>
            </w:r>
          </w:p>
        </w:tc>
      </w:tr>
      <w:tr>
        <w:trPr>
          <w:cantSplit/>
        </w:trPr>
        <w:tc>
          <w:tcPr>
            <w:tcW w:type="dxa" w:w="33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voucherRefs/openingRefs</w:t>
            </w:r>
          </w:p>
        </w:tc>
        <w:tc>
          <w:tcPr>
            <w:tcW w:type="dxa" w:w="24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array</w:t>
            </w:r>
          </w:p>
        </w:tc>
        <w:tc>
          <w:tcPr>
            <w:tcW w:type="dxa" w:w="36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相关原分录和期初引用；无分录不能虚构凭证。</w:t>
            </w:r>
          </w:p>
        </w:tc>
      </w:tr>
      <w:tr>
        <w:trPr>
          <w:cantSplit/>
        </w:trPr>
        <w:tc>
          <w:tcPr>
            <w:tcW w:type="dxa" w:w="3344"/>
            <w:vAlign w:val="top"/>
            <w:tcMar>
              <w:top w:w="65" w:type="dxa"/>
              <w:bottom w:w="65" w:type="dxa"/>
              <w:left w:w="65" w:type="dxa"/>
              <w:right w:w="65" w:type="dxa"/>
            </w:tcMar>
          </w:tcPr>
          <w:p>
            <w:pPr>
              <w:spacing w:before="30" w:after="30" w:line="252" w:lineRule="auto"/>
            </w:pPr>
            <w:r>
              <w:rPr>
                <w:rFonts w:ascii="Arial" w:hAnsi="Arial" w:eastAsia="宋体"/>
                <w:b w:val="0"/>
                <w:i w:val="0"/>
                <w:sz w:val="19"/>
              </w:rPr>
              <w:t>batchId/sourceRow/rawFields</w:t>
            </w:r>
          </w:p>
        </w:tc>
        <w:tc>
          <w:tcPr>
            <w:tcW w:type="dxa" w:w="2418"/>
            <w:vAlign w:val="top"/>
            <w:tcMar>
              <w:top w:w="65" w:type="dxa"/>
              <w:bottom w:w="65" w:type="dxa"/>
              <w:left w:w="65" w:type="dxa"/>
              <w:right w:w="65" w:type="dxa"/>
            </w:tcMar>
          </w:tcPr>
          <w:p>
            <w:pPr>
              <w:spacing w:before="30" w:after="30" w:line="252" w:lineRule="auto"/>
            </w:pPr>
            <w:r>
              <w:rPr>
                <w:rFonts w:ascii="Arial" w:hAnsi="Arial" w:eastAsia="宋体"/>
                <w:b w:val="0"/>
                <w:i w:val="0"/>
                <w:sz w:val="19"/>
              </w:rPr>
              <w:t>S/integer/object</w:t>
            </w:r>
          </w:p>
        </w:tc>
        <w:tc>
          <w:tcPr>
            <w:tcW w:type="dxa" w:w="3644"/>
            <w:vAlign w:val="top"/>
            <w:tcMar>
              <w:top w:w="65" w:type="dxa"/>
              <w:bottom w:w="65" w:type="dxa"/>
              <w:left w:w="65" w:type="dxa"/>
              <w:right w:w="65" w:type="dxa"/>
            </w:tcMar>
          </w:tcPr>
          <w:p>
            <w:pPr>
              <w:spacing w:before="30" w:after="30" w:line="252" w:lineRule="auto"/>
            </w:pPr>
            <w:r>
              <w:rPr>
                <w:rFonts w:ascii="Arial" w:hAnsi="Arial" w:eastAsia="宋体"/>
                <w:b w:val="0"/>
                <w:i w:val="0"/>
                <w:sz w:val="19"/>
              </w:rPr>
              <w:t>外部余额表原行；与voucherRefs的原凭证批次分开表达。</w:t>
            </w:r>
          </w:p>
        </w:tc>
      </w:tr>
    </w:tbl>
    <w:p>
      <w:pPr>
        <w:spacing w:after="40"/>
      </w:pPr>
    </w:p>
    <w:tbl>
      <w:tblPr>
        <w:tblStyle w:val="TableGrid"/>
        <w:tblW w:type="auto" w:w="0"/>
        <w:jc w:val="center"/>
        <w:tblLayout w:type="fixed"/>
        <w:tblLook w:firstColumn="1" w:firstRow="1" w:lastColumn="0" w:lastRow="0" w:noHBand="0" w:noVBand="1" w:val="04A0"/>
      </w:tblPr>
      <w:tblGrid>
        <w:gridCol w:w="1904"/>
        <w:gridCol w:w="4115"/>
        <w:gridCol w:w="3388"/>
      </w:tblGrid>
      <w:tr>
        <w:trPr>
          <w:cantSplit/>
          <w:tblHeader w:val="true"/>
        </w:trPr>
        <w:tc>
          <w:tcPr>
            <w:tcW w:type="dxa" w:w="19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差异键</w:t>
            </w:r>
          </w:p>
        </w:tc>
        <w:tc>
          <w:tcPr>
            <w:tcW w:type="dxa" w:w="411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类型</w:t>
            </w:r>
          </w:p>
        </w:tc>
        <w:tc>
          <w:tcPr>
            <w:tcW w:type="dxa" w:w="33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w:t>
            </w:r>
          </w:p>
        </w:tc>
      </w:tr>
      <w:tr>
        <w:trPr>
          <w:cantSplit/>
        </w:trPr>
        <w:tc>
          <w:tcPr>
            <w:tcW w:type="dxa" w:w="1904"/>
            <w:vAlign w:val="top"/>
            <w:tcMar>
              <w:top w:w="65" w:type="dxa"/>
              <w:bottom w:w="65" w:type="dxa"/>
              <w:left w:w="65" w:type="dxa"/>
              <w:right w:w="65" w:type="dxa"/>
            </w:tcMar>
          </w:tcPr>
          <w:p>
            <w:pPr>
              <w:spacing w:before="30" w:after="30" w:line="252" w:lineRule="auto"/>
            </w:pPr>
            <w:r>
              <w:rPr>
                <w:rFonts w:ascii="Arial" w:hAnsi="Arial" w:eastAsia="宋体"/>
                <w:b w:val="0"/>
                <w:i w:val="0"/>
                <w:sz w:val="19"/>
              </w:rPr>
              <w:t>code</w:t>
            </w:r>
          </w:p>
        </w:tc>
        <w:tc>
          <w:tcPr>
            <w:tcW w:type="dxa" w:w="4115"/>
            <w:vAlign w:val="top"/>
            <w:tcMar>
              <w:top w:w="65" w:type="dxa"/>
              <w:bottom w:w="65" w:type="dxa"/>
              <w:left w:w="65" w:type="dxa"/>
              <w:right w:w="65" w:type="dxa"/>
            </w:tcMar>
          </w:tcPr>
          <w:p>
            <w:pPr>
              <w:spacing w:before="30" w:after="30" w:line="252" w:lineRule="auto"/>
            </w:pPr>
            <w:r>
              <w:rPr>
                <w:rFonts w:ascii="Arial" w:hAnsi="Arial" w:eastAsia="宋体"/>
                <w:b w:val="0"/>
                <w:i w:val="0"/>
                <w:sz w:val="19"/>
              </w:rPr>
              <w:t>missing_account/amount_mismatch/external_rollforward</w:t>
            </w:r>
          </w:p>
        </w:tc>
        <w:tc>
          <w:tcPr>
            <w:tcW w:type="dxa" w:w="3388"/>
            <w:vAlign w:val="top"/>
            <w:tcMar>
              <w:top w:w="65" w:type="dxa"/>
              <w:bottom w:w="65" w:type="dxa"/>
              <w:left w:w="65" w:type="dxa"/>
              <w:right w:w="65" w:type="dxa"/>
            </w:tcMar>
          </w:tcPr>
          <w:p>
            <w:pPr>
              <w:spacing w:before="30" w:after="30" w:line="252" w:lineRule="auto"/>
            </w:pPr>
            <w:r>
              <w:rPr>
                <w:rFonts w:ascii="Arial" w:hAnsi="Arial" w:eastAsia="宋体"/>
                <w:b w:val="0"/>
                <w:i w:val="0"/>
                <w:sz w:val="19"/>
              </w:rPr>
              <w:t>分别缺科目、具体金额项不符、外部表自身滚动不符。</w:t>
            </w:r>
          </w:p>
        </w:tc>
      </w:tr>
      <w:tr>
        <w:trPr>
          <w:cantSplit/>
        </w:trPr>
        <w:tc>
          <w:tcPr>
            <w:tcW w:type="dxa" w:w="19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field/label</w:t>
            </w:r>
          </w:p>
        </w:tc>
        <w:tc>
          <w:tcPr>
            <w:tcW w:type="dxa" w:w="41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S/S</w:t>
            </w:r>
          </w:p>
        </w:tc>
        <w:tc>
          <w:tcPr>
            <w:tcW w:type="dxa" w:w="3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六金额键之一，或account/rollforward；中文标签辅助用户。</w:t>
            </w:r>
          </w:p>
        </w:tc>
      </w:tr>
      <w:tr>
        <w:trPr>
          <w:cantSplit/>
        </w:trPr>
        <w:tc>
          <w:tcPr>
            <w:tcW w:type="dxa" w:w="1904"/>
            <w:vAlign w:val="top"/>
            <w:tcMar>
              <w:top w:w="65" w:type="dxa"/>
              <w:bottom w:w="65" w:type="dxa"/>
              <w:left w:w="65" w:type="dxa"/>
              <w:right w:w="65" w:type="dxa"/>
            </w:tcMar>
          </w:tcPr>
          <w:p>
            <w:pPr>
              <w:spacing w:before="30" w:after="30" w:line="252" w:lineRule="auto"/>
            </w:pPr>
            <w:r>
              <w:rPr>
                <w:rFonts w:ascii="Arial" w:hAnsi="Arial" w:eastAsia="宋体"/>
                <w:b w:val="0"/>
                <w:i w:val="0"/>
                <w:sz w:val="19"/>
              </w:rPr>
              <w:t>expected/actual</w:t>
            </w:r>
          </w:p>
        </w:tc>
        <w:tc>
          <w:tcPr>
            <w:tcW w:type="dxa" w:w="4115"/>
            <w:vAlign w:val="top"/>
            <w:tcMar>
              <w:top w:w="65" w:type="dxa"/>
              <w:bottom w:w="65" w:type="dxa"/>
              <w:left w:w="65" w:type="dxa"/>
              <w:right w:w="65" w:type="dxa"/>
            </w:tcMar>
          </w:tcPr>
          <w:p>
            <w:pPr>
              <w:spacing w:before="30" w:after="30" w:line="252" w:lineRule="auto"/>
            </w:pPr>
            <w:r>
              <w:rPr>
                <w:rFonts w:ascii="Arial" w:hAnsi="Arial" w:eastAsia="宋体"/>
                <w:b w:val="0"/>
                <w:i w:val="0"/>
                <w:sz w:val="19"/>
              </w:rPr>
              <w:t>Y或S/null</w:t>
            </w:r>
          </w:p>
        </w:tc>
        <w:tc>
          <w:tcPr>
            <w:tcW w:type="dxa" w:w="3388"/>
            <w:vAlign w:val="top"/>
            <w:tcMar>
              <w:top w:w="65" w:type="dxa"/>
              <w:bottom w:w="65" w:type="dxa"/>
              <w:left w:w="65" w:type="dxa"/>
              <w:right w:w="65" w:type="dxa"/>
            </w:tcMar>
          </w:tcPr>
          <w:p>
            <w:pPr>
              <w:spacing w:before="30" w:after="30" w:line="252" w:lineRule="auto"/>
            </w:pPr>
            <w:r>
              <w:rPr>
                <w:rFonts w:ascii="Arial" w:hAnsi="Arial" w:eastAsia="宋体"/>
                <w:b w:val="0"/>
                <w:i w:val="0"/>
                <w:sz w:val="19"/>
              </w:rPr>
              <w:t>预期外部值与实际凭证值；科目缺失时不是伪造金额。</w:t>
            </w:r>
          </w:p>
        </w:tc>
      </w:tr>
      <w:tr>
        <w:trPr>
          <w:cantSplit/>
        </w:trPr>
        <w:tc>
          <w:tcPr>
            <w:tcW w:type="dxa" w:w="19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difference</w:t>
            </w:r>
          </w:p>
        </w:tc>
        <w:tc>
          <w:tcPr>
            <w:tcW w:type="dxa" w:w="411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Y/null</w:t>
            </w:r>
          </w:p>
        </w:tc>
        <w:tc>
          <w:tcPr>
            <w:tcW w:type="dxa" w:w="33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actual减expected；正负含义在页面说明，不用差额金额自动造凭证。</w:t>
            </w:r>
          </w:p>
        </w:tc>
      </w:tr>
      <w:tr>
        <w:trPr>
          <w:cantSplit/>
        </w:trPr>
        <w:tc>
          <w:tcPr>
            <w:tcW w:type="dxa" w:w="1904"/>
            <w:vAlign w:val="top"/>
            <w:tcMar>
              <w:top w:w="65" w:type="dxa"/>
              <w:bottom w:w="65" w:type="dxa"/>
              <w:left w:w="65" w:type="dxa"/>
              <w:right w:w="65" w:type="dxa"/>
            </w:tcMar>
          </w:tcPr>
          <w:p>
            <w:pPr>
              <w:spacing w:before="30" w:after="30" w:line="252" w:lineRule="auto"/>
            </w:pPr>
            <w:r>
              <w:rPr>
                <w:rFonts w:ascii="Arial" w:hAnsi="Arial" w:eastAsia="宋体"/>
                <w:b w:val="0"/>
                <w:i w:val="0"/>
                <w:sz w:val="19"/>
              </w:rPr>
              <w:t>message</w:t>
            </w:r>
          </w:p>
        </w:tc>
        <w:tc>
          <w:tcPr>
            <w:tcW w:type="dxa" w:w="4115"/>
            <w:vAlign w:val="top"/>
            <w:tcMar>
              <w:top w:w="65" w:type="dxa"/>
              <w:bottom w:w="65" w:type="dxa"/>
              <w:left w:w="65" w:type="dxa"/>
              <w:right w:w="65" w:type="dxa"/>
            </w:tcMar>
          </w:tcPr>
          <w:p>
            <w:pPr>
              <w:spacing w:before="30" w:after="30" w:line="252" w:lineRule="auto"/>
            </w:pPr>
            <w:r>
              <w:rPr>
                <w:rFonts w:ascii="Arial" w:hAnsi="Arial" w:eastAsia="宋体"/>
                <w:b w:val="0"/>
                <w:i w:val="0"/>
                <w:sz w:val="19"/>
              </w:rPr>
              <w:t>S</w:t>
            </w:r>
          </w:p>
        </w:tc>
        <w:tc>
          <w:tcPr>
            <w:tcW w:type="dxa" w:w="3388"/>
            <w:vAlign w:val="top"/>
            <w:tcMar>
              <w:top w:w="65" w:type="dxa"/>
              <w:bottom w:w="65" w:type="dxa"/>
              <w:left w:w="65" w:type="dxa"/>
              <w:right w:w="65" w:type="dxa"/>
            </w:tcMar>
          </w:tcPr>
          <w:p>
            <w:pPr>
              <w:spacing w:before="30" w:after="30" w:line="252" w:lineRule="auto"/>
            </w:pPr>
            <w:r>
              <w:rPr>
                <w:rFonts w:ascii="Arial" w:hAnsi="Arial" w:eastAsia="宋体"/>
                <w:b w:val="0"/>
                <w:i w:val="0"/>
                <w:sz w:val="19"/>
              </w:rPr>
              <w:t>准确中文原因，结合原行及凭证引用核实。</w:t>
            </w:r>
          </w:p>
        </w:tc>
      </w:tr>
    </w:tbl>
    <w:p>
      <w:pPr>
        <w:spacing w:after="40"/>
      </w:pPr>
    </w:p>
    <w:p>
      <w:pPr>
        <w:pStyle w:val="Heading3"/>
      </w:pPr>
      <w:bookmarkStart w:id="126" w:name="epm_126"/>
      <w:r>
        <w:rPr>
          <w:rFonts w:ascii="Arial" w:hAnsi="Arial" w:eastAsia="宋体"/>
          <w:b w:val="0"/>
          <w:i w:val="0"/>
        </w:rPr>
        <w:t>A.23.5 两个正式动作与硬前置</w:t>
      </w:r>
      <w:bookmarkEnd w:id="126"/>
    </w:p>
    <w:tbl>
      <w:tblPr>
        <w:tblStyle w:val="TableGrid"/>
        <w:tblW w:type="auto" w:w="0"/>
        <w:jc w:val="center"/>
        <w:tblLayout w:type="fixed"/>
        <w:tblLook w:firstColumn="1" w:firstRow="1" w:lastColumn="0" w:lastRow="0" w:noHBand="0" w:noVBand="1" w:val="04A0"/>
      </w:tblPr>
      <w:tblGrid>
        <w:gridCol w:w="1907"/>
        <w:gridCol w:w="3656"/>
        <w:gridCol w:w="3842"/>
      </w:tblGrid>
      <w:tr>
        <w:trPr>
          <w:cantSplit/>
          <w:tblHeader w:val="true"/>
        </w:trPr>
        <w:tc>
          <w:tcPr>
            <w:tcW w:type="dxa" w:w="19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动作/权限</w:t>
            </w:r>
          </w:p>
        </w:tc>
        <w:tc>
          <w:tcPr>
            <w:tcW w:type="dxa" w:w="36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载荷</w:t>
            </w:r>
          </w:p>
        </w:tc>
        <w:tc>
          <w:tcPr>
            <w:tcW w:type="dxa" w:w="38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校验及产出</w:t>
            </w:r>
          </w:p>
        </w:tc>
      </w:tr>
      <w:tr>
        <w:trPr>
          <w:cantSplit/>
        </w:trPr>
        <w:tc>
          <w:tcPr>
            <w:tcW w:type="dxa" w:w="1907"/>
            <w:vAlign w:val="top"/>
            <w:tcMar>
              <w:top w:w="65" w:type="dxa"/>
              <w:bottom w:w="65" w:type="dxa"/>
              <w:left w:w="65" w:type="dxa"/>
              <w:right w:w="65" w:type="dxa"/>
            </w:tcMar>
          </w:tcPr>
          <w:p>
            <w:pPr>
              <w:spacing w:before="30" w:after="30" w:line="252" w:lineRule="auto"/>
            </w:pPr>
            <w:r>
              <w:rPr>
                <w:rFonts w:ascii="Arial" w:hAnsi="Arial" w:eastAsia="宋体"/>
                <w:b w:val="0"/>
                <w:i w:val="0"/>
                <w:sz w:val="19"/>
              </w:rPr>
              <w:t>erp_balance_import；WR</w:t>
            </w:r>
          </w:p>
        </w:tc>
        <w:tc>
          <w:tcPr>
            <w:tcW w:type="dxa" w:w="3656"/>
            <w:vAlign w:val="top"/>
            <w:tcMar>
              <w:top w:w="65" w:type="dxa"/>
              <w:bottom w:w="65" w:type="dxa"/>
              <w:left w:w="65" w:type="dxa"/>
              <w:right w:w="65" w:type="dxa"/>
            </w:tcMar>
          </w:tcPr>
          <w:p>
            <w:pPr>
              <w:spacing w:before="30" w:after="30" w:line="252" w:lineRule="auto"/>
            </w:pPr>
            <w:r>
              <w:rPr>
                <w:rFonts w:ascii="Arial" w:hAnsi="Arial" w:eastAsia="宋体"/>
                <w:b w:val="0"/>
                <w:i w:val="0"/>
                <w:sz w:val="19"/>
              </w:rPr>
              <w:t>csv或fileBase64/fileName/sheetName，sourceName可选，amountUnit默认元</w:t>
            </w:r>
          </w:p>
        </w:tc>
        <w:tc>
          <w:tcPr>
            <w:tcW w:type="dxa" w:w="3842"/>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本期、已映射科目、本位币、同法人科目唯一；按受影响法人本期替换有效基准，旧基准和批次保留，相关结果失效；不产生分录。</w:t>
            </w:r>
          </w:p>
        </w:tc>
      </w:tr>
      <w:tr>
        <w:trPr>
          <w:cantSplit/>
        </w:trPr>
        <w:tc>
          <w:tcPr>
            <w:tcW w:type="dxa" w:w="19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erp_balance_check；WR</w:t>
            </w:r>
          </w:p>
        </w:tc>
        <w:tc>
          <w:tcPr>
            <w:tcW w:type="dxa" w:w="36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entityIds可选数组；不传选当前范围有账务法人</w:t>
            </w:r>
          </w:p>
        </w:tc>
        <w:tc>
          <w:tcPr>
            <w:tcW w:type="dxa" w:w="38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ID不重复且属于当前单元，已有有效账务、当前ERP源指纹匹配；先生成单体再核对。保存每法人核对结果，存在差异也留记录但正式合并被阻断。</w:t>
            </w:r>
          </w:p>
        </w:tc>
      </w:tr>
    </w:tbl>
    <w:p>
      <w:pPr>
        <w:spacing w:after="40"/>
      </w:pPr>
    </w:p>
    <w:p>
      <w:r>
        <w:rPr>
          <w:rFonts w:ascii="Arial" w:hAnsi="Arial" w:eastAsia="宋体"/>
          <w:b w:val="0"/>
          <w:i w:val="0"/>
        </w:rPr>
        <w:t>bootstrap.erp.balanceReports按当前期投影为法人ID→结果，balanceRows为外部基准原行。页面入口为“ERP凭证与期初→④科目余额表核对基准→导入科目余额表”，执行入口为“法人凭证与三表→科目余额表与凭证试算核对→执行当前法人余额核对”。“查看余额及凭证”显示六项外部/试算/差额、原行及相关原始凭证，当前已核对源的ledgerSnapshot.balanceCheck也保存核对证据，历史余额证据另放在合并结果balanceSnapshots；无另一个虚构余额trace接口。</w:t>
      </w:r>
    </w:p>
    <w:p>
      <w:r>
        <w:rPr>
          <w:rFonts w:ascii="Arial" w:hAnsi="Arial" w:eastAsia="宋体"/>
          <w:b w:val="0"/>
          <w:i w:val="0"/>
        </w:rPr>
        <w:t>正式前置erp_balance_法人ID要求modelPolicy.requiresLedgerBalanceCheck=true时当前结果valid且passed且inputFingerprint相同。导入基准或账务更改之后必须重新核对，签核不能把旧检查结果作为通过。现金分类/共同号补注虽然不改金额，依赖版本仍更新，按流程重新生成和核对以保留一套一致证据。</w:t>
      </w:r>
    </w:p>
    <w:p>
      <w:pPr>
        <w:pStyle w:val="Heading3"/>
      </w:pPr>
      <w:bookmarkStart w:id="127" w:name="epm_127"/>
      <w:r>
        <w:rPr>
          <w:rFonts w:ascii="Arial" w:hAnsi="Arial" w:eastAsia="宋体"/>
          <w:b w:val="0"/>
          <w:i w:val="0"/>
        </w:rPr>
        <w:t>A.23.6 余额核对最低验收</w:t>
      </w:r>
      <w:bookmarkEnd w:id="127"/>
    </w:p>
    <w:tbl>
      <w:tblPr>
        <w:tblStyle w:val="TableGrid"/>
        <w:tblW w:type="auto" w:w="0"/>
        <w:jc w:val="center"/>
        <w:tblLayout w:type="fixed"/>
        <w:tblLook w:firstColumn="1" w:firstRow="1" w:lastColumn="0" w:lastRow="0" w:noHBand="0" w:noVBand="1" w:val="04A0"/>
      </w:tblPr>
      <w:tblGrid>
        <w:gridCol w:w="1530"/>
        <w:gridCol w:w="2835"/>
        <w:gridCol w:w="5041"/>
      </w:tblGrid>
      <w:tr>
        <w:trPr>
          <w:cantSplit/>
          <w:tblHeader w:val="true"/>
        </w:trPr>
        <w:tc>
          <w:tcPr>
            <w:tcW w:type="dxa" w:w="15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编号</w:t>
            </w:r>
          </w:p>
        </w:tc>
        <w:tc>
          <w:tcPr>
            <w:tcW w:type="dxa" w:w="283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场景</w:t>
            </w:r>
          </w:p>
        </w:tc>
        <w:tc>
          <w:tcPr>
            <w:tcW w:type="dxa" w:w="50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必须结果</w:t>
            </w:r>
          </w:p>
        </w:tc>
      </w:tr>
      <w:tr>
        <w:trPr>
          <w:cantSplit/>
        </w:trPr>
        <w:tc>
          <w:tcPr>
            <w:tcW w:type="dxa" w:w="1530"/>
            <w:vAlign w:val="top"/>
            <w:tcMar>
              <w:top w:w="65" w:type="dxa"/>
              <w:bottom w:w="65" w:type="dxa"/>
              <w:left w:w="65" w:type="dxa"/>
              <w:right w:w="65" w:type="dxa"/>
            </w:tcMar>
          </w:tcPr>
          <w:p>
            <w:pPr>
              <w:spacing w:before="30" w:after="30" w:line="252" w:lineRule="auto"/>
            </w:pPr>
            <w:r>
              <w:rPr>
                <w:rFonts w:ascii="Arial" w:hAnsi="Arial" w:eastAsia="宋体"/>
                <w:b w:val="0"/>
                <w:i w:val="0"/>
                <w:sz w:val="19"/>
              </w:rPr>
              <w:t>BAL01</w:t>
            </w:r>
          </w:p>
        </w:tc>
        <w:tc>
          <w:tcPr>
            <w:tcW w:type="dxa" w:w="2835"/>
            <w:vAlign w:val="top"/>
            <w:tcMar>
              <w:top w:w="65" w:type="dxa"/>
              <w:bottom w:w="65" w:type="dxa"/>
              <w:left w:w="65" w:type="dxa"/>
              <w:right w:w="65" w:type="dxa"/>
            </w:tcMar>
          </w:tcPr>
          <w:p>
            <w:pPr>
              <w:spacing w:before="30" w:after="30" w:line="252" w:lineRule="auto"/>
            </w:pPr>
            <w:r>
              <w:rPr>
                <w:rFonts w:ascii="Arial" w:hAnsi="Arial" w:eastAsia="宋体"/>
                <w:b w:val="0"/>
                <w:i w:val="0"/>
                <w:sz w:val="19"/>
              </w:rPr>
              <w:t>无业务/无源点击核对</w:t>
            </w:r>
          </w:p>
        </w:tc>
        <w:tc>
          <w:tcPr>
            <w:tcW w:type="dxa" w:w="5041"/>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不能生成空通过；无业务空容器不能合并。</w:t>
            </w:r>
          </w:p>
        </w:tc>
      </w:tr>
      <w:tr>
        <w:trPr>
          <w:cantSplit/>
        </w:trPr>
        <w:tc>
          <w:tcPr>
            <w:tcW w:type="dxa" w:w="15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BAL02</w:t>
            </w:r>
          </w:p>
        </w:tc>
        <w:tc>
          <w:tcPr>
            <w:tcW w:type="dxa" w:w="28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独立正确基准与原账相符</w:t>
            </w:r>
          </w:p>
        </w:tc>
        <w:tc>
          <w:tcPr>
            <w:tcW w:type="dxa" w:w="50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逐科目六项一致，核对通过，只更新核对记录不追加账务。</w:t>
            </w:r>
          </w:p>
        </w:tc>
      </w:tr>
      <w:tr>
        <w:trPr>
          <w:cantSplit/>
        </w:trPr>
        <w:tc>
          <w:tcPr>
            <w:tcW w:type="dxa" w:w="1530"/>
            <w:vAlign w:val="top"/>
            <w:tcMar>
              <w:top w:w="65" w:type="dxa"/>
              <w:bottom w:w="65" w:type="dxa"/>
              <w:left w:w="65" w:type="dxa"/>
              <w:right w:w="65" w:type="dxa"/>
            </w:tcMar>
          </w:tcPr>
          <w:p>
            <w:pPr>
              <w:spacing w:before="30" w:after="30" w:line="252" w:lineRule="auto"/>
            </w:pPr>
            <w:r>
              <w:rPr>
                <w:rFonts w:ascii="Arial" w:hAnsi="Arial" w:eastAsia="宋体"/>
                <w:b w:val="0"/>
                <w:i w:val="0"/>
                <w:sz w:val="19"/>
              </w:rPr>
              <w:t>BAL03</w:t>
            </w:r>
          </w:p>
        </w:tc>
        <w:tc>
          <w:tcPr>
            <w:tcW w:type="dxa" w:w="2835"/>
            <w:vAlign w:val="top"/>
            <w:tcMar>
              <w:top w:w="65" w:type="dxa"/>
              <w:bottom w:w="65" w:type="dxa"/>
              <w:left w:w="65" w:type="dxa"/>
              <w:right w:w="65" w:type="dxa"/>
            </w:tcMar>
          </w:tcPr>
          <w:p>
            <w:pPr>
              <w:spacing w:before="30" w:after="30" w:line="252" w:lineRule="auto"/>
            </w:pPr>
            <w:r>
              <w:rPr>
                <w:rFonts w:ascii="Arial" w:hAnsi="Arial" w:eastAsia="宋体"/>
                <w:b w:val="0"/>
                <w:i w:val="0"/>
                <w:sz w:val="19"/>
              </w:rPr>
              <w:t>改外部期末/累计金额1元</w:t>
            </w:r>
          </w:p>
        </w:tc>
        <w:tc>
          <w:tcPr>
            <w:tcW w:type="dxa" w:w="5041"/>
            <w:vAlign w:val="top"/>
            <w:tcMar>
              <w:top w:w="65" w:type="dxa"/>
              <w:bottom w:w="65" w:type="dxa"/>
              <w:left w:w="65" w:type="dxa"/>
              <w:right w:w="65" w:type="dxa"/>
            </w:tcMar>
          </w:tcPr>
          <w:p>
            <w:pPr>
              <w:spacing w:before="30" w:after="30" w:line="252" w:lineRule="auto"/>
            </w:pPr>
            <w:r>
              <w:rPr>
                <w:rFonts w:ascii="Arial" w:hAnsi="Arial" w:eastAsia="宋体"/>
                <w:b w:val="0"/>
                <w:i w:val="0"/>
                <w:sz w:val="19"/>
              </w:rPr>
              <w:t>保存可核对但出现精确差异，正式合并阻断，原凭证金额不改。</w:t>
            </w:r>
          </w:p>
        </w:tc>
      </w:tr>
      <w:tr>
        <w:trPr>
          <w:cantSplit/>
        </w:trPr>
        <w:tc>
          <w:tcPr>
            <w:tcW w:type="dxa" w:w="15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BAL04</w:t>
            </w:r>
          </w:p>
        </w:tc>
        <w:tc>
          <w:tcPr>
            <w:tcW w:type="dxa" w:w="28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漏有发生科目或导出外部额外非零科目</w:t>
            </w:r>
          </w:p>
        </w:tc>
        <w:tc>
          <w:tcPr>
            <w:tcW w:type="dxa" w:w="50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missing/extra与原行明确，不能靠汇总平衡通过。</w:t>
            </w:r>
          </w:p>
        </w:tc>
      </w:tr>
      <w:tr>
        <w:trPr>
          <w:cantSplit/>
        </w:trPr>
        <w:tc>
          <w:tcPr>
            <w:tcW w:type="dxa" w:w="1530"/>
            <w:vAlign w:val="top"/>
            <w:tcMar>
              <w:top w:w="65" w:type="dxa"/>
              <w:bottom w:w="65" w:type="dxa"/>
              <w:left w:w="65" w:type="dxa"/>
              <w:right w:w="65" w:type="dxa"/>
            </w:tcMar>
          </w:tcPr>
          <w:p>
            <w:pPr>
              <w:spacing w:before="30" w:after="30" w:line="252" w:lineRule="auto"/>
            </w:pPr>
            <w:r>
              <w:rPr>
                <w:rFonts w:ascii="Arial" w:hAnsi="Arial" w:eastAsia="宋体"/>
                <w:b w:val="0"/>
                <w:i w:val="0"/>
                <w:sz w:val="19"/>
              </w:rPr>
              <w:t>BAL05</w:t>
            </w:r>
          </w:p>
        </w:tc>
        <w:tc>
          <w:tcPr>
            <w:tcW w:type="dxa" w:w="2835"/>
            <w:vAlign w:val="top"/>
            <w:tcMar>
              <w:top w:w="65" w:type="dxa"/>
              <w:bottom w:w="65" w:type="dxa"/>
              <w:left w:w="65" w:type="dxa"/>
              <w:right w:w="65" w:type="dxa"/>
            </w:tcMar>
          </w:tcPr>
          <w:p>
            <w:pPr>
              <w:spacing w:before="30" w:after="30" w:line="252" w:lineRule="auto"/>
            </w:pPr>
            <w:r>
              <w:rPr>
                <w:rFonts w:ascii="Arial" w:hAnsi="Arial" w:eastAsia="宋体"/>
                <w:b w:val="0"/>
                <w:i w:val="0"/>
                <w:sz w:val="19"/>
              </w:rPr>
              <w:t>基准自身不滚动</w:t>
            </w:r>
          </w:p>
        </w:tc>
        <w:tc>
          <w:tcPr>
            <w:tcW w:type="dxa" w:w="5041"/>
            <w:vAlign w:val="top"/>
            <w:tcMar>
              <w:top w:w="65" w:type="dxa"/>
              <w:bottom w:w="65" w:type="dxa"/>
              <w:left w:w="65" w:type="dxa"/>
              <w:right w:w="65" w:type="dxa"/>
            </w:tcMar>
          </w:tcPr>
          <w:p>
            <w:pPr>
              <w:spacing w:before="30" w:after="30" w:line="252" w:lineRule="auto"/>
            </w:pPr>
            <w:r>
              <w:rPr>
                <w:rFonts w:ascii="Arial" w:hAnsi="Arial" w:eastAsia="宋体"/>
                <w:b w:val="0"/>
                <w:i w:val="0"/>
                <w:sz w:val="19"/>
              </w:rPr>
              <w:t>external_rollforward，原始外部值保留，不倒挤。</w:t>
            </w:r>
          </w:p>
        </w:tc>
      </w:tr>
      <w:tr>
        <w:trPr>
          <w:cantSplit/>
        </w:trPr>
        <w:tc>
          <w:tcPr>
            <w:tcW w:type="dxa" w:w="15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BAL06</w:t>
            </w:r>
          </w:p>
        </w:tc>
        <w:tc>
          <w:tcPr>
            <w:tcW w:type="dxa" w:w="28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原账含受限损益结转</w:t>
            </w:r>
          </w:p>
        </w:tc>
        <w:tc>
          <w:tcPr>
            <w:tcW w:type="dxa" w:w="50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余额比较包含原账结转；管理PL仍按单独受限规则，二者不混。</w:t>
            </w:r>
          </w:p>
        </w:tc>
      </w:tr>
      <w:tr>
        <w:trPr>
          <w:cantSplit/>
        </w:trPr>
        <w:tc>
          <w:tcPr>
            <w:tcW w:type="dxa" w:w="1530"/>
            <w:vAlign w:val="top"/>
            <w:tcMar>
              <w:top w:w="65" w:type="dxa"/>
              <w:bottom w:w="65" w:type="dxa"/>
              <w:left w:w="65" w:type="dxa"/>
              <w:right w:w="65" w:type="dxa"/>
            </w:tcMar>
          </w:tcPr>
          <w:p>
            <w:pPr>
              <w:spacing w:before="30" w:after="30" w:line="252" w:lineRule="auto"/>
            </w:pPr>
            <w:r>
              <w:rPr>
                <w:rFonts w:ascii="Arial" w:hAnsi="Arial" w:eastAsia="宋体"/>
                <w:b w:val="0"/>
                <w:i w:val="0"/>
                <w:sz w:val="19"/>
              </w:rPr>
              <w:t>BAL07</w:t>
            </w:r>
          </w:p>
        </w:tc>
        <w:tc>
          <w:tcPr>
            <w:tcW w:type="dxa" w:w="2835"/>
            <w:vAlign w:val="top"/>
            <w:tcMar>
              <w:top w:w="65" w:type="dxa"/>
              <w:bottom w:w="65" w:type="dxa"/>
              <w:left w:w="65" w:type="dxa"/>
              <w:right w:w="65" w:type="dxa"/>
            </w:tcMar>
          </w:tcPr>
          <w:p>
            <w:pPr>
              <w:spacing w:before="30" w:after="30" w:line="252" w:lineRule="auto"/>
            </w:pPr>
            <w:r>
              <w:rPr>
                <w:rFonts w:ascii="Arial" w:hAnsi="Arial" w:eastAsia="宋体"/>
                <w:b w:val="0"/>
                <w:i w:val="0"/>
                <w:sz w:val="19"/>
              </w:rPr>
              <w:t>停批重导、补注或换新基准</w:t>
            </w:r>
          </w:p>
        </w:tc>
        <w:tc>
          <w:tcPr>
            <w:tcW w:type="dxa" w:w="5041"/>
            <w:vAlign w:val="top"/>
            <w:tcMar>
              <w:top w:w="65" w:type="dxa"/>
              <w:bottom w:w="65" w:type="dxa"/>
              <w:left w:w="65" w:type="dxa"/>
              <w:right w:w="65" w:type="dxa"/>
            </w:tcMar>
          </w:tcPr>
          <w:p>
            <w:pPr>
              <w:spacing w:before="30" w:after="30" w:line="252" w:lineRule="auto"/>
            </w:pPr>
            <w:r>
              <w:rPr>
                <w:rFonts w:ascii="Arial" w:hAnsi="Arial" w:eastAsia="宋体"/>
                <w:b w:val="0"/>
                <w:i w:val="0"/>
                <w:sz w:val="19"/>
              </w:rPr>
              <w:t>旧valid失效/指纹不符，重核后才可合并，历史balanceSnapshots不改。</w:t>
            </w:r>
          </w:p>
        </w:tc>
      </w:tr>
      <w:tr>
        <w:trPr>
          <w:cantSplit/>
        </w:trPr>
        <w:tc>
          <w:tcPr>
            <w:tcW w:type="dxa" w:w="15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BAL08</w:t>
            </w:r>
          </w:p>
        </w:tc>
        <w:tc>
          <w:tcPr>
            <w:tcW w:type="dxa" w:w="283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从差异到原凭证与期初</w:t>
            </w:r>
          </w:p>
        </w:tc>
        <w:tc>
          <w:tcPr>
            <w:tcW w:type="dxa" w:w="50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显示实际batch/sourceRow/ref，缺失凭证只报缺失不捏造。</w:t>
            </w:r>
          </w:p>
        </w:tc>
      </w:tr>
    </w:tbl>
    <w:p>
      <w:pPr>
        <w:spacing w:after="40"/>
      </w:pPr>
    </w:p>
    <w:sectPr w:rsidR="00FC693F" w:rsidRPr="0006063C" w:rsidSect="00034616">
      <w:headerReference w:type="default" r:id="rId9"/>
      <w:footerReference w:type="default" r:id="rId10"/>
      <w:pgSz w:w="12240" w:h="15840"/>
      <w:pgMar w:top="1134" w:right="1417" w:bottom="1134"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TY-EPM-PRD-FOUNDATION-001  ·  D1.0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PRD研发需求规格说明书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6"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PRD研发需求规格说明书</dc:title>
  <dc:subject>杭州天元宠物用品有限公司：中文本机EPM Demo文档</dc:subject>
  <dc:creator>自研EPM项目文档</dc:creator>
  <cp:keywords>集团财务合并,全面预算,经营分析,多层合并,PRD,全模块,FOUNDATION-20261028,D1.0</cp:keywords>
  <dc:description>generated by python-docx</dc:description>
  <cp:lastModifiedBy/>
  <cp:revision>1</cp:revision>
  <dcterms:created xsi:type="dcterms:W3CDTF">2026-10-28T10:57:02Z</dcterms:created>
  <dcterms:modified xsi:type="dcterms:W3CDTF">2026-10-28T10:57:02Z</dcterms:modified>
  <cp:category/>
</cp:coreProperties>
</file>