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从零建账与凭证合并版</w:t>
      </w:r>
    </w:p>
    <w:p>
      <w:pPr>
        <w:spacing w:before="240" w:after="280"/>
      </w:pPr>
      <w:r>
        <w:rPr>
          <w:rFonts w:ascii="Arial" w:hAnsi="Arial" w:eastAsia="宋体"/>
          <w:b/>
          <w:color w:val="173F6E"/>
          <w:sz w:val="50"/>
        </w:rPr>
        <w:t>系统研发与交互说明书</w:t>
      </w:r>
    </w:p>
    <w:p>
      <w:r>
        <w:rPr>
          <w:rFonts w:ascii="Arial" w:hAnsi="Arial" w:eastAsia="宋体"/>
          <w:sz w:val="30"/>
        </w:rPr>
        <w:t>杭州天元宠物用品有限公司</w:t>
      </w:r>
    </w:p>
    <w:p>
      <w:r>
        <w:rPr>
          <w:rFonts w:ascii="Arial" w:hAnsi="Arial" w:eastAsia="宋体"/>
          <w:color w:val="66758D"/>
          <w:sz w:val="22"/>
        </w:rPr>
        <w:t>研发架构 · 全模块交互 · 数据与算法 · 部署交付</w:t>
      </w:r>
    </w:p>
    <w:p/>
    <w:tbl>
      <w:tblPr>
        <w:tblStyle w:val="TableGrid"/>
        <w:tblW w:type="auto" w:w="0"/>
        <w:jc w:val="center"/>
        <w:tblLayout w:type="fixed"/>
        <w:tblLook w:firstColumn="1" w:firstRow="1" w:lastColumn="0" w:lastRow="0" w:noHBand="0" w:noVBand="1" w:val="04A0"/>
      </w:tblPr>
      <w:tblGrid>
        <w:gridCol w:w="2508"/>
        <w:gridCol w:w="6898"/>
      </w:tblGrid>
      <w:tr>
        <w:trPr>
          <w:cantSplit/>
          <w:tblHeader w:val="true"/>
        </w:trPr>
        <w:tc>
          <w:tcPr>
            <w:tcW w:type="dxa" w:w="25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8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508"/>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898"/>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TY-EPM-SYS-FOUNDATION-001</w:t>
            </w:r>
          </w:p>
        </w:tc>
      </w:tr>
      <w:tr>
        <w:trPr>
          <w:cantSplit/>
        </w:trPr>
        <w:tc>
          <w:tcPr>
            <w:tcW w:type="dxa" w:w="25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D1.0 / 2026-10-28</w:t>
            </w:r>
          </w:p>
        </w:tc>
      </w:tr>
      <w:tr>
        <w:trPr>
          <w:cantSplit/>
        </w:trPr>
        <w:tc>
          <w:tcPr>
            <w:tcW w:type="dxa" w:w="2508"/>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适配软件基线</w:t>
            </w:r>
          </w:p>
        </w:tc>
        <w:tc>
          <w:tcPr>
            <w:tcW w:type="dxa" w:w="6898"/>
            <w:vAlign w:val="top"/>
            <w:tcMar>
              <w:top w:w="65" w:type="dxa"/>
              <w:bottom w:w="65" w:type="dxa"/>
              <w:left w:w="65" w:type="dxa"/>
              <w:right w:w="65" w:type="dxa"/>
            </w:tcMar>
          </w:tcPr>
          <w:p>
            <w:pPr>
              <w:spacing w:before="30" w:after="30" w:line="252" w:lineRule="auto"/>
            </w:pPr>
            <w:r>
              <w:rPr>
                <w:rFonts w:ascii="Arial" w:hAnsi="Arial" w:eastAsia="宋体"/>
                <w:b w:val="0"/>
                <w:i w:val="0"/>
                <w:sz w:val="19"/>
              </w:rPr>
              <w:t>FOUNDATION-20261028 · 空框架、基础档案、凭证余额核对与分级合并Demo</w:t>
            </w:r>
          </w:p>
        </w:tc>
      </w:tr>
      <w:tr>
        <w:trPr>
          <w:cantSplit/>
        </w:trPr>
        <w:tc>
          <w:tcPr>
            <w:tcW w:type="dxa" w:w="25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研发、测试、实施及技术负责人</w:t>
            </w:r>
          </w:p>
        </w:tc>
      </w:tr>
      <w:tr>
        <w:trPr>
          <w:cantSplit/>
        </w:trPr>
        <w:tc>
          <w:tcPr>
            <w:tcW w:type="dxa" w:w="2508"/>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898"/>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主公司及鸿旺相关主体名称由用户提供；其他演示主体、人员、交易和财务金额为虚构样例。</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文档控制与适用范围</w:t>
        </w:r>
      </w:hyperlink>
    </w:p>
    <w:p>
      <w:pPr>
        <w:spacing w:after="80"/>
      </w:pPr>
      <w:hyperlink w:anchor="epm_2">
        <w:r>
          <w:rPr>
            <w:color w:val="245CA8"/>
            <w:rFonts w:ascii="Arial" w:eastAsia="宋体"/>
            <w:sz w:val="21"/>
          </w:rPr>
          <w:t xml:space="preserve">一、业务目标、运行形式和版本隔离</w:t>
        </w:r>
      </w:hyperlink>
    </w:p>
    <w:p>
      <w:pPr>
        <w:spacing w:after="80"/>
      </w:pPr>
      <w:hyperlink w:anchor="epm_3">
        <w:r>
          <w:rPr>
            <w:color w:val="245CA8"/>
            <w:rFonts w:ascii="Arial" w:eastAsia="宋体"/>
            <w:sz w:val="21"/>
          </w:rPr>
          <w:t xml:space="preserve">二、真正空初始化的含义</w:t>
        </w:r>
      </w:hyperlink>
    </w:p>
    <w:p>
      <w:pPr>
        <w:spacing w:after="80"/>
      </w:pPr>
      <w:hyperlink w:anchor="epm_4">
        <w:r>
          <w:rPr>
            <w:color w:val="245CA8"/>
            <w:rFonts w:ascii="Arial" w:eastAsia="宋体"/>
            <w:sz w:val="21"/>
          </w:rPr>
          <w:t xml:space="preserve">三、技术结构与文件职责</w:t>
        </w:r>
      </w:hyperlink>
    </w:p>
    <w:p>
      <w:pPr>
        <w:spacing w:after="80"/>
      </w:pPr>
      <w:hyperlink w:anchor="epm_5">
        <w:r>
          <w:rPr>
            <w:color w:val="245CA8"/>
            <w:rFonts w:ascii="Arial" w:eastAsia="宋体"/>
            <w:sz w:val="21"/>
          </w:rPr>
          <w:t xml:space="preserve">四、集团基础档案与从零建账交互</w:t>
        </w:r>
      </w:hyperlink>
    </w:p>
    <w:p>
      <w:pPr>
        <w:spacing w:after="80"/>
      </w:pPr>
      <w:hyperlink w:anchor="epm_10">
        <w:r>
          <w:rPr>
            <w:color w:val="245CA8"/>
            <w:rFonts w:ascii="Arial" w:eastAsia="宋体"/>
            <w:sz w:val="21"/>
          </w:rPr>
          <w:t xml:space="preserve">五、统一请求、上下文与身份边界</w:t>
        </w:r>
      </w:hyperlink>
    </w:p>
    <w:p>
      <w:pPr>
        <w:spacing w:after="80"/>
      </w:pPr>
      <w:hyperlink w:anchor="epm_11">
        <w:r>
          <w:rPr>
            <w:color w:val="245CA8"/>
            <w:rFonts w:ascii="Arial" w:eastAsia="宋体"/>
            <w:sz w:val="21"/>
          </w:rPr>
          <w:t xml:space="preserve">六、文件导入、金额和原始来源</w:t>
        </w:r>
      </w:hyperlink>
    </w:p>
    <w:p>
      <w:pPr>
        <w:spacing w:after="80"/>
      </w:pPr>
      <w:hyperlink w:anchor="epm_15">
        <w:r>
          <w:rPr>
            <w:color w:val="245CA8"/>
            <w:rFonts w:ascii="Arial" w:eastAsia="宋体"/>
            <w:sz w:val="21"/>
          </w:rPr>
          <w:t xml:space="preserve">七、法人三表与真实原账余额核对</w:t>
        </w:r>
      </w:hyperlink>
    </w:p>
    <w:p>
      <w:pPr>
        <w:spacing w:after="80"/>
      </w:pPr>
      <w:hyperlink w:anchor="epm_19">
        <w:r>
          <w:rPr>
            <w:color w:val="245CA8"/>
            <w:rFonts w:ascii="Arial" w:eastAsia="宋体"/>
            <w:sz w:val="21"/>
          </w:rPr>
          <w:t xml:space="preserve">八、内部交易异常、凭证追溯和处理闭环</w:t>
        </w:r>
      </w:hyperlink>
    </w:p>
    <w:p>
      <w:pPr>
        <w:spacing w:after="80"/>
      </w:pPr>
      <w:hyperlink w:anchor="epm_20">
        <w:r>
          <w:rPr>
            <w:color w:val="245CA8"/>
            <w:rFonts w:ascii="Arial" w:eastAsia="宋体"/>
            <w:sz w:val="21"/>
          </w:rPr>
          <w:t xml:space="preserve">九、抵销草稿、审批和集团上卷</w:t>
        </w:r>
      </w:hyperlink>
    </w:p>
    <w:p>
      <w:pPr>
        <w:spacing w:after="80"/>
      </w:pPr>
      <w:hyperlink w:anchor="epm_21">
        <w:r>
          <w:rPr>
            <w:color w:val="245CA8"/>
            <w:rFonts w:ascii="Arial" w:eastAsia="宋体"/>
            <w:sz w:val="21"/>
          </w:rPr>
          <w:t xml:space="preserve">十、源码保存、SQLite事务和版本快照</w:t>
        </w:r>
      </w:hyperlink>
    </w:p>
    <w:p>
      <w:pPr>
        <w:spacing w:after="80"/>
      </w:pPr>
      <w:hyperlink w:anchor="epm_22">
        <w:r>
          <w:rPr>
            <w:color w:val="245CA8"/>
            <w:rFonts w:ascii="Arial" w:eastAsia="宋体"/>
            <w:sz w:val="21"/>
          </w:rPr>
          <w:t xml:space="preserve">十一、全模块交互与调用职责</w:t>
        </w:r>
      </w:hyperlink>
    </w:p>
    <w:p>
      <w:pPr>
        <w:spacing w:after="80"/>
      </w:pPr>
      <w:hyperlink w:anchor="epm_23">
        <w:r>
          <w:rPr>
            <w:color w:val="245CA8"/>
            <w:rFonts w:ascii="Arial" w:eastAsia="宋体"/>
            <w:sz w:val="21"/>
          </w:rPr>
          <w:t xml:space="preserve">十二、预算和经营分析的实际口径</w:t>
        </w:r>
      </w:hyperlink>
    </w:p>
    <w:p>
      <w:pPr>
        <w:spacing w:after="80"/>
      </w:pPr>
      <w:hyperlink w:anchor="epm_24">
        <w:r>
          <w:rPr>
            <w:color w:val="245CA8"/>
            <w:rFonts w:ascii="Arial" w:eastAsia="宋体"/>
            <w:sz w:val="21"/>
          </w:rPr>
          <w:t xml:space="preserve">十三、CNY/USD多层折算与已知会计边界</w:t>
        </w:r>
      </w:hyperlink>
    </w:p>
    <w:p>
      <w:pPr>
        <w:spacing w:after="80"/>
      </w:pPr>
      <w:hyperlink w:anchor="epm_25">
        <w:r>
          <w:rPr>
            <w:color w:val="245CA8"/>
            <w:rFonts w:ascii="Arial" w:eastAsia="宋体"/>
            <w:sz w:val="21"/>
          </w:rPr>
          <w:t xml:space="preserve">十四、验证、重建与完整交付</w:t>
        </w:r>
      </w:hyperlink>
    </w:p>
    <w:p>
      <w:pPr>
        <w:spacing w:after="80"/>
      </w:pPr>
      <w:hyperlink w:anchor="epm_26">
        <w:r>
          <w:rPr>
            <w:color w:val="245CA8"/>
            <w:rFonts w:ascii="Arial" w:eastAsia="宋体"/>
            <w:sz w:val="21"/>
          </w:rPr>
          <w:t xml:space="preserve">十五、运维、数据备份与故障定位</w:t>
        </w:r>
      </w:hyperlink>
    </w:p>
    <w:p>
      <w:r>
        <w:br w:type="page"/>
      </w:r>
    </w:p>
    <w:p>
      <w:pPr>
        <w:pStyle w:val="Heading1"/>
      </w:pPr>
      <w:bookmarkStart w:id="1" w:name="epm_1"/>
      <w:r>
        <w:rPr>
          <w:rFonts w:ascii="Arial" w:hAnsi="Arial" w:eastAsia="宋体"/>
          <w:b w:val="0"/>
          <w:i w:val="0"/>
        </w:rPr>
        <w:t>文档控制与适用范围</w:t>
      </w:r>
      <w:bookmarkEnd w:id="1"/>
    </w:p>
    <w:tbl>
      <w:tblPr>
        <w:tblStyle w:val="TableGrid"/>
        <w:tblW w:type="auto" w:w="0"/>
        <w:jc w:val="center"/>
        <w:tblLayout w:type="fixed"/>
        <w:tblLook w:firstColumn="1" w:firstRow="1" w:lastColumn="0" w:lastRow="0" w:noHBand="0" w:noVBand="1" w:val="04A0"/>
      </w:tblPr>
      <w:tblGrid>
        <w:gridCol w:w="2446"/>
        <w:gridCol w:w="6960"/>
      </w:tblGrid>
      <w:tr>
        <w:trPr>
          <w:cantSplit/>
          <w:tblHeader w:val="true"/>
        </w:trPr>
        <w:tc>
          <w:tcPr>
            <w:tcW w:type="dxa" w:w="24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控制项</w:t>
            </w:r>
          </w:p>
        </w:tc>
        <w:tc>
          <w:tcPr>
            <w:tcW w:type="dxa" w:w="69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内容</w:t>
            </w:r>
          </w:p>
        </w:tc>
      </w:tr>
      <w:tr>
        <w:trPr>
          <w:cantSplit/>
        </w:trPr>
        <w:tc>
          <w:tcPr>
            <w:tcW w:type="dxa" w:w="2446"/>
            <w:vAlign w:val="top"/>
            <w:tcMar>
              <w:top w:w="65" w:type="dxa"/>
              <w:bottom w:w="65" w:type="dxa"/>
              <w:left w:w="65" w:type="dxa"/>
              <w:right w:w="65" w:type="dxa"/>
            </w:tcMar>
          </w:tcPr>
          <w:p>
            <w:pPr>
              <w:spacing w:before="30" w:after="30" w:line="252" w:lineRule="auto"/>
            </w:pPr>
            <w:r>
              <w:rPr>
                <w:rFonts w:ascii="Arial" w:hAnsi="Arial" w:eastAsia="宋体"/>
                <w:b w:val="0"/>
                <w:i w:val="0"/>
                <w:sz w:val="19"/>
              </w:rPr>
              <w:t>公司</w:t>
            </w:r>
          </w:p>
        </w:tc>
        <w:tc>
          <w:tcPr>
            <w:tcW w:type="dxa" w:w="6960"/>
            <w:vAlign w:val="top"/>
            <w:tcMar>
              <w:top w:w="65" w:type="dxa"/>
              <w:bottom w:w="65" w:type="dxa"/>
              <w:left w:w="65" w:type="dxa"/>
              <w:right w:w="65" w:type="dxa"/>
            </w:tcMar>
          </w:tcPr>
          <w:p>
            <w:pPr>
              <w:spacing w:before="30" w:after="30" w:line="252" w:lineRule="auto"/>
            </w:pPr>
            <w:r>
              <w:rPr>
                <w:rFonts w:ascii="Arial" w:hAnsi="Arial" w:eastAsia="宋体"/>
                <w:b w:val="0"/>
                <w:i w:val="0"/>
                <w:sz w:val="19"/>
              </w:rPr>
              <w:t>杭州天元宠物用品有限公司</w:t>
            </w:r>
          </w:p>
        </w:tc>
      </w:tr>
      <w:tr>
        <w:trPr>
          <w:cantSplit/>
        </w:trPr>
        <w:tc>
          <w:tcPr>
            <w:tcW w:type="dxa" w:w="24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软件基线</w:t>
            </w:r>
          </w:p>
        </w:tc>
        <w:tc>
          <w:tcPr>
            <w:tcW w:type="dxa" w:w="6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FOUNDATION-20261028</w:t>
            </w:r>
          </w:p>
        </w:tc>
      </w:tr>
      <w:tr>
        <w:trPr>
          <w:cantSplit/>
        </w:trPr>
        <w:tc>
          <w:tcPr>
            <w:tcW w:type="dxa" w:w="2446"/>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文档版本／日期</w:t>
            </w:r>
          </w:p>
        </w:tc>
        <w:tc>
          <w:tcPr>
            <w:tcW w:type="dxa" w:w="6960"/>
            <w:vAlign w:val="top"/>
            <w:tcMar>
              <w:top w:w="65" w:type="dxa"/>
              <w:bottom w:w="65" w:type="dxa"/>
              <w:left w:w="65" w:type="dxa"/>
              <w:right w:w="65" w:type="dxa"/>
            </w:tcMar>
          </w:tcPr>
          <w:p>
            <w:pPr>
              <w:spacing w:before="30" w:after="30" w:line="252" w:lineRule="auto"/>
            </w:pPr>
            <w:r>
              <w:rPr>
                <w:rFonts w:ascii="Arial" w:hAnsi="Arial" w:eastAsia="宋体"/>
                <w:b w:val="0"/>
                <w:i w:val="0"/>
                <w:sz w:val="19"/>
              </w:rPr>
              <w:t>D1.0／2026年10月28日</w:t>
            </w:r>
          </w:p>
        </w:tc>
      </w:tr>
      <w:tr>
        <w:trPr>
          <w:cantSplit/>
        </w:trPr>
        <w:tc>
          <w:tcPr>
            <w:tcW w:type="dxa" w:w="24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产品标识／数据库模型</w:t>
            </w:r>
          </w:p>
        </w:tc>
        <w:tc>
          <w:tcPr>
            <w:tcW w:type="dxa" w:w="6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SelfDevelopedEPM-Foundation-Demo／schemaVersion=4</w:t>
            </w:r>
          </w:p>
        </w:tc>
      </w:tr>
      <w:tr>
        <w:trPr>
          <w:cantSplit/>
        </w:trPr>
        <w:tc>
          <w:tcPr>
            <w:tcW w:type="dxa" w:w="2446"/>
            <w:vAlign w:val="top"/>
            <w:tcMar>
              <w:top w:w="65" w:type="dxa"/>
              <w:bottom w:w="65" w:type="dxa"/>
              <w:left w:w="65" w:type="dxa"/>
              <w:right w:w="65" w:type="dxa"/>
            </w:tcMar>
          </w:tcPr>
          <w:p>
            <w:pPr>
              <w:spacing w:before="30" w:after="30" w:line="252" w:lineRule="auto"/>
            </w:pPr>
            <w:r>
              <w:rPr>
                <w:rFonts w:ascii="Arial" w:hAnsi="Arial" w:eastAsia="宋体"/>
                <w:b w:val="0"/>
                <w:i w:val="0"/>
                <w:sz w:val="19"/>
              </w:rPr>
              <w:t>读者</w:t>
            </w:r>
          </w:p>
        </w:tc>
        <w:tc>
          <w:tcPr>
            <w:tcW w:type="dxa" w:w="6960"/>
            <w:vAlign w:val="top"/>
            <w:tcMar>
              <w:top w:w="65" w:type="dxa"/>
              <w:bottom w:w="65" w:type="dxa"/>
              <w:left w:w="65" w:type="dxa"/>
              <w:right w:w="65" w:type="dxa"/>
            </w:tcMar>
          </w:tcPr>
          <w:p>
            <w:pPr>
              <w:spacing w:before="30" w:after="30" w:line="252" w:lineRule="auto"/>
            </w:pPr>
            <w:r>
              <w:rPr>
                <w:rFonts w:ascii="Arial" w:hAnsi="Arial" w:eastAsia="宋体"/>
                <w:b w:val="0"/>
                <w:i w:val="0"/>
                <w:sz w:val="19"/>
              </w:rPr>
              <w:t>研发、实施、测试、集团财务及系统负责人</w:t>
            </w:r>
          </w:p>
        </w:tc>
      </w:tr>
      <w:tr>
        <w:trPr>
          <w:cantSplit/>
        </w:trPr>
        <w:tc>
          <w:tcPr>
            <w:tcW w:type="dxa" w:w="24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交付类型</w:t>
            </w:r>
          </w:p>
        </w:tc>
        <w:tc>
          <w:tcPr>
            <w:tcW w:type="dxa" w:w="6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Windows本机空框架、可维护业务界面、独立输入模板、四册Word/PDF、专项从零图文指南及实际验收证据</w:t>
            </w:r>
          </w:p>
        </w:tc>
      </w:tr>
    </w:tbl>
    <w:p>
      <w:pPr>
        <w:spacing w:after="40"/>
      </w:pPr>
    </w:p>
    <w:p>
      <w:r>
        <w:rPr>
          <w:rFonts w:ascii="Arial" w:hAnsi="Arial" w:eastAsia="宋体"/>
          <w:b w:val="0"/>
          <w:i w:val="0"/>
        </w:rPr>
        <w:t>本册说明当前软件如何研发、存储和交互，并覆盖全部业务模块。字段级枚举、完整载荷和表结构见同版PRD字段附录及包内API契约；产品演示和逐按钮操作见产品说明书、用户手册及从零图文指南。本版仍为受限会计口径的本机研发Demo，不把界面框架等同于生产级EPM全部会计能力。</w:t>
      </w:r>
    </w:p>
    <w:p>
      <w:pPr>
        <w:pStyle w:val="Heading1"/>
      </w:pPr>
      <w:bookmarkStart w:id="2" w:name="epm_2"/>
      <w:r>
        <w:rPr>
          <w:rFonts w:ascii="Arial" w:hAnsi="Arial" w:eastAsia="宋体"/>
          <w:b w:val="0"/>
          <w:i w:val="0"/>
        </w:rPr>
        <w:t>一、业务目标、运行形式和版本隔离</w:t>
      </w:r>
      <w:bookmarkEnd w:id="2"/>
    </w:p>
    <w:p>
      <w:r>
        <w:rPr>
          <w:rFonts w:ascii="Arial" w:hAnsi="Arial" w:eastAsia="宋体"/>
          <w:b w:val="0"/>
          <w:i w:val="0"/>
        </w:rPr>
        <w:t>本版从没有业务数据的环境开始，由用户建立集团本部、法人、真实持股、管理合并范围、科目及NC识别关系，再输入年初科目余额、完整已记账凭证和期间科目余额核对表。系统由原始账务生成法人财务源，进行内部销售／成本、应收／应付匹配，保留差异和原凭证，生成抵销草稿，负责人审批后计算并签核小合并，集团引用有效已签核下级版本。</w:t>
      </w:r>
    </w:p>
    <w:p>
      <w:r>
        <w:rPr>
          <w:rFonts w:ascii="Arial" w:hAnsi="Arial" w:eastAsia="宋体"/>
          <w:b w:val="0"/>
          <w:i w:val="0"/>
        </w:rPr>
        <w:t>Windows用户完整解压后双击“天元EPM 从零配置Demo.exe”。原生GUI入口启动包内私有运行环境、本机HTTP服务并打开浏览器，不要求用户安装Python、Docker、WSL或虚拟机。运行时只监听127.0.0.1，端口自动选择；使用本次EXE打开的新地址，不沿用旧18480/Frappe页面。</w:t>
      </w:r>
    </w:p>
    <w:p>
      <w:r>
        <w:rPr>
          <w:rFonts w:ascii="Arial" w:hAnsi="Arial" w:eastAsia="宋体"/>
          <w:b w:val="0"/>
          <w:i w:val="0"/>
        </w:rPr>
        <w:t>新版默认数据目录为%LOCALAPPDATA%\TianyuanEPMFoundationDemo。旧TianyuanEPMVoucherDemo及更早目录保留，不自动迁入；旧或未知product/schema数据库只读识别后拒绝写入。需要测试新版本时使用独立目录，不在旧库上直接执行迁移DDL。本版没有把任何企业真实NC凭据写入包内，也不向NC回写凭证。</w:t>
      </w:r>
    </w:p>
    <w:p>
      <w:pPr>
        <w:pStyle w:val="Heading1"/>
      </w:pPr>
      <w:bookmarkStart w:id="3" w:name="epm_3"/>
      <w:r>
        <w:rPr>
          <w:rFonts w:ascii="Arial" w:hAnsi="Arial" w:eastAsia="宋体"/>
          <w:b w:val="0"/>
          <w:i w:val="0"/>
        </w:rPr>
        <w:t>二、真正空初始化的含义</w:t>
      </w:r>
      <w:bookmarkEnd w:id="3"/>
    </w:p>
    <w:tbl>
      <w:tblPr>
        <w:tblStyle w:val="TableGrid"/>
        <w:tblW w:type="auto" w:w="0"/>
        <w:jc w:val="center"/>
        <w:tblLayout w:type="fixed"/>
        <w:tblLook w:firstColumn="1" w:firstRow="1" w:lastColumn="0" w:lastRow="0" w:noHBand="0" w:noVBand="1" w:val="04A0"/>
      </w:tblPr>
      <w:tblGrid>
        <w:gridCol w:w="2972"/>
        <w:gridCol w:w="2613"/>
        <w:gridCol w:w="3821"/>
      </w:tblGrid>
      <w:tr>
        <w:trPr>
          <w:cantSplit/>
          <w:tblHeader w:val="true"/>
        </w:trPr>
        <w:tc>
          <w:tcPr>
            <w:tcW w:type="dxa" w:w="29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初始化对象</w:t>
            </w:r>
          </w:p>
        </w:tc>
        <w:tc>
          <w:tcPr>
            <w:tcW w:type="dxa" w:w="26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首次启动状态</w:t>
            </w:r>
          </w:p>
        </w:tc>
        <w:tc>
          <w:tcPr>
            <w:tcW w:type="dxa" w:w="38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用户下一步</w:t>
            </w:r>
          </w:p>
        </w:tc>
      </w:tr>
      <w:tr>
        <w:trPr>
          <w:cantSplit/>
        </w:trPr>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独立法人、真实持股</w:t>
            </w:r>
          </w:p>
        </w:tc>
        <w:tc>
          <w:tcPr>
            <w:tcW w:type="dxa" w:w="2613"/>
            <w:vAlign w:val="top"/>
            <w:tcMar>
              <w:top w:w="65" w:type="dxa"/>
              <w:bottom w:w="65" w:type="dxa"/>
              <w:left w:w="65" w:type="dxa"/>
              <w:right w:w="65" w:type="dxa"/>
            </w:tcMar>
          </w:tcPr>
          <w:p>
            <w:pPr>
              <w:spacing w:before="30" w:after="30" w:line="252" w:lineRule="auto"/>
            </w:pPr>
            <w:r>
              <w:rPr>
                <w:rFonts w:ascii="Arial" w:hAnsi="Arial" w:eastAsia="宋体"/>
                <w:b w:val="0"/>
                <w:i w:val="0"/>
                <w:sz w:val="19"/>
              </w:rPr>
              <w:t>空</w:t>
            </w:r>
          </w:p>
        </w:tc>
        <w:tc>
          <w:tcPr>
            <w:tcW w:type="dxa" w:w="3821"/>
            <w:vAlign w:val="top"/>
            <w:tcMar>
              <w:top w:w="65" w:type="dxa"/>
              <w:bottom w:w="65" w:type="dxa"/>
              <w:left w:w="65" w:type="dxa"/>
              <w:right w:w="65" w:type="dxa"/>
            </w:tcMar>
          </w:tcPr>
          <w:p>
            <w:pPr>
              <w:spacing w:before="30" w:after="30" w:line="252" w:lineRule="auto"/>
            </w:pPr>
            <w:r>
              <w:rPr>
                <w:rFonts w:ascii="Arial" w:hAnsi="Arial" w:eastAsia="宋体"/>
                <w:b w:val="0"/>
                <w:i w:val="0"/>
                <w:sz w:val="19"/>
              </w:rPr>
              <w:t>先建立集团本部，再建立独立法人及真实持股</w:t>
            </w:r>
          </w:p>
        </w:tc>
      </w:tr>
      <w:tr>
        <w:trPr>
          <w:cantSplit/>
        </w:trPr>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集团科目、ERP科目映射</w:t>
            </w:r>
          </w:p>
        </w:tc>
        <w:tc>
          <w:tcPr>
            <w:tcW w:type="dxa" w:w="26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w:t>
            </w:r>
          </w:p>
        </w:tc>
        <w:tc>
          <w:tcPr>
            <w:tcW w:type="dxa" w:w="38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维护集团科目与本地科目的报表字段归属</w:t>
            </w:r>
          </w:p>
        </w:tc>
      </w:tr>
      <w:tr>
        <w:trPr>
          <w:cantSplit/>
        </w:trPr>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NC账簿、内部客商识别</w:t>
            </w:r>
          </w:p>
        </w:tc>
        <w:tc>
          <w:tcPr>
            <w:tcW w:type="dxa" w:w="2613"/>
            <w:vAlign w:val="top"/>
            <w:tcMar>
              <w:top w:w="65" w:type="dxa"/>
              <w:bottom w:w="65" w:type="dxa"/>
              <w:left w:w="65" w:type="dxa"/>
              <w:right w:w="65" w:type="dxa"/>
            </w:tcMar>
          </w:tcPr>
          <w:p>
            <w:pPr>
              <w:spacing w:before="30" w:after="30" w:line="252" w:lineRule="auto"/>
            </w:pPr>
            <w:r>
              <w:rPr>
                <w:rFonts w:ascii="Arial" w:hAnsi="Arial" w:eastAsia="宋体"/>
                <w:b w:val="0"/>
                <w:i w:val="0"/>
                <w:sz w:val="19"/>
              </w:rPr>
              <w:t>空</w:t>
            </w:r>
          </w:p>
        </w:tc>
        <w:tc>
          <w:tcPr>
            <w:tcW w:type="dxa" w:w="3821"/>
            <w:vAlign w:val="top"/>
            <w:tcMar>
              <w:top w:w="65" w:type="dxa"/>
              <w:bottom w:w="65" w:type="dxa"/>
              <w:left w:w="65" w:type="dxa"/>
              <w:right w:w="65" w:type="dxa"/>
            </w:tcMar>
          </w:tcPr>
          <w:p>
            <w:pPr>
              <w:spacing w:before="30" w:after="30" w:line="252" w:lineRule="auto"/>
            </w:pPr>
            <w:r>
              <w:rPr>
                <w:rFonts w:ascii="Arial" w:hAnsi="Arial" w:eastAsia="宋体"/>
                <w:b w:val="0"/>
                <w:i w:val="0"/>
                <w:sz w:val="19"/>
              </w:rPr>
              <w:t>按真实NC导出值维护法人、本位币、辅助列与共同号</w:t>
            </w:r>
          </w:p>
        </w:tc>
      </w:tr>
      <w:tr>
        <w:trPr>
          <w:cantSplit/>
        </w:trPr>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期初余额、凭证、期间余额核对资料</w:t>
            </w:r>
          </w:p>
        </w:tc>
        <w:tc>
          <w:tcPr>
            <w:tcW w:type="dxa" w:w="26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w:t>
            </w:r>
          </w:p>
        </w:tc>
        <w:tc>
          <w:tcPr>
            <w:tcW w:type="dxa" w:w="38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从单独文件导入并查看批次</w:t>
            </w:r>
          </w:p>
        </w:tc>
      </w:tr>
      <w:tr>
        <w:trPr>
          <w:cantSplit/>
        </w:trPr>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财务源、匹配、差异、抵销</w:t>
            </w:r>
          </w:p>
        </w:tc>
        <w:tc>
          <w:tcPr>
            <w:tcW w:type="dxa" w:w="2613"/>
            <w:vAlign w:val="top"/>
            <w:tcMar>
              <w:top w:w="65" w:type="dxa"/>
              <w:bottom w:w="65" w:type="dxa"/>
              <w:left w:w="65" w:type="dxa"/>
              <w:right w:w="65" w:type="dxa"/>
            </w:tcMar>
          </w:tcPr>
          <w:p>
            <w:pPr>
              <w:spacing w:before="30" w:after="30" w:line="252" w:lineRule="auto"/>
            </w:pPr>
            <w:r>
              <w:rPr>
                <w:rFonts w:ascii="Arial" w:hAnsi="Arial" w:eastAsia="宋体"/>
                <w:b w:val="0"/>
                <w:i w:val="0"/>
                <w:sz w:val="19"/>
              </w:rPr>
              <w:t>空</w:t>
            </w:r>
          </w:p>
        </w:tc>
        <w:tc>
          <w:tcPr>
            <w:tcW w:type="dxa" w:w="3821"/>
            <w:vAlign w:val="top"/>
            <w:tcMar>
              <w:top w:w="65" w:type="dxa"/>
              <w:bottom w:w="65" w:type="dxa"/>
              <w:left w:w="65" w:type="dxa"/>
              <w:right w:w="65" w:type="dxa"/>
            </w:tcMar>
          </w:tcPr>
          <w:p>
            <w:pPr>
              <w:spacing w:before="30" w:after="30" w:line="252" w:lineRule="auto"/>
            </w:pPr>
            <w:r>
              <w:rPr>
                <w:rFonts w:ascii="Arial" w:hAnsi="Arial" w:eastAsia="宋体"/>
                <w:b w:val="0"/>
                <w:i w:val="0"/>
                <w:sz w:val="19"/>
              </w:rPr>
              <w:t>由本次输入生成与处理</w:t>
            </w:r>
          </w:p>
        </w:tc>
      </w:tr>
      <w:tr>
        <w:trPr>
          <w:cantSplit/>
        </w:trPr>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已计算／已签核结果</w:t>
            </w:r>
          </w:p>
        </w:tc>
        <w:tc>
          <w:tcPr>
            <w:tcW w:type="dxa" w:w="26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w:t>
            </w:r>
          </w:p>
        </w:tc>
        <w:tc>
          <w:tcPr>
            <w:tcW w:type="dxa" w:w="38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完成校验和审批后首次计算</w:t>
            </w:r>
          </w:p>
        </w:tc>
      </w:tr>
      <w:tr>
        <w:trPr>
          <w:cantSplit/>
        </w:trPr>
        <w:tc>
          <w:tcPr>
            <w:tcW w:type="dxa" w:w="2972"/>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预算、经营实际、历史业绩</w:t>
            </w:r>
          </w:p>
        </w:tc>
        <w:tc>
          <w:tcPr>
            <w:tcW w:type="dxa" w:w="2613"/>
            <w:vAlign w:val="top"/>
            <w:tcMar>
              <w:top w:w="65" w:type="dxa"/>
              <w:bottom w:w="65" w:type="dxa"/>
              <w:left w:w="65" w:type="dxa"/>
              <w:right w:w="65" w:type="dxa"/>
            </w:tcMar>
          </w:tcPr>
          <w:p>
            <w:pPr>
              <w:spacing w:before="30" w:after="30" w:line="252" w:lineRule="auto"/>
            </w:pPr>
            <w:r>
              <w:rPr>
                <w:rFonts w:ascii="Arial" w:hAnsi="Arial" w:eastAsia="宋体"/>
                <w:b w:val="0"/>
                <w:i w:val="0"/>
                <w:sz w:val="19"/>
              </w:rPr>
              <w:t>无预置样例金额和业务计划</w:t>
            </w:r>
          </w:p>
        </w:tc>
        <w:tc>
          <w:tcPr>
            <w:tcW w:type="dxa" w:w="3821"/>
            <w:vAlign w:val="top"/>
            <w:tcMar>
              <w:top w:w="65" w:type="dxa"/>
              <w:bottom w:w="65" w:type="dxa"/>
              <w:left w:w="65" w:type="dxa"/>
              <w:right w:w="65" w:type="dxa"/>
            </w:tcMar>
          </w:tcPr>
          <w:p>
            <w:pPr>
              <w:spacing w:before="30" w:after="30" w:line="252" w:lineRule="auto"/>
            </w:pPr>
            <w:r>
              <w:rPr>
                <w:rFonts w:ascii="Arial" w:hAnsi="Arial" w:eastAsia="宋体"/>
                <w:b w:val="0"/>
                <w:i w:val="0"/>
                <w:sz w:val="19"/>
              </w:rPr>
              <w:t>按模块维护后才产生数据</w:t>
            </w:r>
          </w:p>
        </w:tc>
      </w:tr>
      <w:tr>
        <w:trPr>
          <w:cantSplit/>
        </w:trPr>
        <w:tc>
          <w:tcPr>
            <w:tcW w:type="dxa" w:w="29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TY_GROUP</w:t>
            </w:r>
          </w:p>
        </w:tc>
        <w:tc>
          <w:tcPr>
            <w:tcW w:type="dxa" w:w="26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仅空技术容器，用于首次导航</w:t>
            </w:r>
          </w:p>
        </w:tc>
        <w:tc>
          <w:tcPr>
            <w:tcW w:type="dxa" w:w="38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用户配置名称和成员；空成员不能计算或签核</w:t>
            </w:r>
          </w:p>
        </w:tc>
      </w:tr>
    </w:tbl>
    <w:p>
      <w:pPr>
        <w:spacing w:after="40"/>
      </w:pPr>
    </w:p>
    <w:p>
      <w:r>
        <w:rPr>
          <w:rFonts w:ascii="Arial" w:hAnsi="Arial" w:eastAsia="宋体"/>
          <w:b w:val="0"/>
          <w:i w:val="0"/>
        </w:rPr>
        <w:t>技术容器不是一个已建立的法定集团本部，也不代表系统已自动配置鸿旺或其他七家主体。用户未建数据时，页面应显示待配置／暂无业务数据，不显示默认合并收入、预置抵销或已签核结果。基础字段字典、日期和币种选项属于框架元数据，不是业务种子。</w:t>
      </w:r>
    </w:p>
    <w:p>
      <w:r>
        <w:rPr>
          <w:rFonts w:ascii="Arial" w:hAnsi="Arial" w:eastAsia="宋体"/>
          <w:b w:val="0"/>
          <w:i w:val="0"/>
        </w:rPr>
        <w:t>演示用文件与软件分开。示例数据必须经用户按指南选择并导入；不能在启动器、首次访问、模板下载、后台计算或错误恢复中偷偷写入样例。原ERP基线种子可保留为旧功能回归夹具，不能成为新默认初始化流程或公开的自动填充捷径。</w:t>
      </w:r>
    </w:p>
    <w:p>
      <w:pPr>
        <w:pStyle w:val="Heading1"/>
      </w:pPr>
      <w:bookmarkStart w:id="4" w:name="epm_4"/>
      <w:r>
        <w:rPr>
          <w:rFonts w:ascii="Arial" w:hAnsi="Arial" w:eastAsia="宋体"/>
          <w:b w:val="0"/>
          <w:i w:val="0"/>
        </w:rPr>
        <w:t>三、技术结构与文件职责</w:t>
      </w:r>
      <w:bookmarkEnd w:id="4"/>
    </w:p>
    <w:tbl>
      <w:tblPr>
        <w:tblStyle w:val="TableGrid"/>
        <w:tblW w:type="auto" w:w="0"/>
        <w:jc w:val="center"/>
        <w:tblLayout w:type="fixed"/>
        <w:tblLook w:firstColumn="1" w:firstRow="1" w:lastColumn="0" w:lastRow="0" w:noHBand="0" w:noVBand="1" w:val="04A0"/>
      </w:tblPr>
      <w:tblGrid>
        <w:gridCol w:w="1610"/>
        <w:gridCol w:w="4268"/>
        <w:gridCol w:w="3529"/>
      </w:tblGrid>
      <w:tr>
        <w:trPr>
          <w:cantSplit/>
          <w:tblHeader w:val="true"/>
        </w:trPr>
        <w:tc>
          <w:tcPr>
            <w:tcW w:type="dxa" w:w="16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层次</w:t>
            </w:r>
          </w:p>
        </w:tc>
        <w:tc>
          <w:tcPr>
            <w:tcW w:type="dxa" w:w="42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主要文件／目录</w:t>
            </w:r>
          </w:p>
        </w:tc>
        <w:tc>
          <w:tcPr>
            <w:tcW w:type="dxa" w:w="3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职责</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Windows原生入口</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windows/launcher.c</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Unicode启动、识别运行目录、调用包内私有启动管理器</w:t>
            </w:r>
          </w:p>
        </w:tc>
      </w:tr>
      <w:tr>
        <w:trPr>
          <w:cantSplit/>
        </w:trPr>
        <w:tc>
          <w:tcPr>
            <w:tcW w:type="dxa" w:w="16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进程管理</w:t>
            </w:r>
          </w:p>
        </w:tc>
        <w:tc>
          <w:tcPr>
            <w:tcW w:type="dxa" w:w="4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windows/app/demo_launcher.py</w:t>
            </w:r>
          </w:p>
        </w:tc>
        <w:tc>
          <w:tcPr>
            <w:tcW w:type="dxa" w:w="3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数据目录锁、进程身份核对、启动／复用、安全退出、打开数据位置</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HTTP边界</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backend/server.py</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本机Host/Origin、会话、CSRF、正文限制、静态页面、读取及命令分派</w:t>
            </w:r>
          </w:p>
        </w:tc>
      </w:tr>
      <w:tr>
        <w:trPr>
          <w:cantSplit/>
        </w:trPr>
        <w:tc>
          <w:tcPr>
            <w:tcW w:type="dxa" w:w="16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投影入口</w:t>
            </w:r>
          </w:p>
        </w:tc>
        <w:tc>
          <w:tcPr>
            <w:tcW w:type="dxa" w:w="4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backend/engine.py</w:t>
            </w:r>
          </w:p>
        </w:tc>
        <w:tc>
          <w:tcPr>
            <w:tcW w:type="dxa" w:w="3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空初始化、上下文解析、向前端返回当前期视图、各领域路由</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分级领域</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backend/multilevel_domain.py</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法人／持股／成员、完整源、抵销审批、依赖与结果版本、签核</w:t>
            </w:r>
          </w:p>
        </w:tc>
      </w:tr>
      <w:tr>
        <w:trPr>
          <w:cantSplit/>
        </w:trPr>
        <w:tc>
          <w:tcPr>
            <w:tcW w:type="dxa" w:w="16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凭证领域</w:t>
            </w:r>
          </w:p>
        </w:tc>
        <w:tc>
          <w:tcPr>
            <w:tcW w:type="dxa" w:w="4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backend/erp_domain.py</w:t>
            </w:r>
          </w:p>
        </w:tc>
        <w:tc>
          <w:tcPr>
            <w:tcW w:type="dxa" w:w="3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导入事务、批次、规范化补注、法人源、匹配／草稿／批审、来源失效</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账务纯逻辑</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backend/ledger.py</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CSV/XLSX规范化、元分金额、原凭证试算、三表派生、内部交易匹配</w:t>
            </w:r>
          </w:p>
        </w:tc>
      </w:tr>
      <w:tr>
        <w:trPr>
          <w:cantSplit/>
        </w:trPr>
        <w:tc>
          <w:tcPr>
            <w:tcW w:type="dxa" w:w="16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余额核对领域</w:t>
            </w:r>
          </w:p>
        </w:tc>
        <w:tc>
          <w:tcPr>
            <w:tcW w:type="dxa" w:w="4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backend/balance_domain.py</w:t>
            </w:r>
          </w:p>
        </w:tc>
        <w:tc>
          <w:tcPr>
            <w:tcW w:type="dxa" w:w="3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期间余额文件、原账核对、差异与来源、核对有效性</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财务计算</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backend/consolidation.py</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合并树检查、逐层财务计算、分类折算、三表勾稽与快照</w:t>
            </w:r>
          </w:p>
        </w:tc>
      </w:tr>
      <w:tr>
        <w:trPr>
          <w:cantSplit/>
        </w:trPr>
        <w:tc>
          <w:tcPr>
            <w:tcW w:type="dxa" w:w="16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事务存储</w:t>
            </w:r>
          </w:p>
        </w:tc>
        <w:tc>
          <w:tcPr>
            <w:tcW w:type="dxa" w:w="4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backend/store.py</w:t>
            </w:r>
          </w:p>
        </w:tc>
        <w:tc>
          <w:tcPr>
            <w:tcW w:type="dxa" w:w="3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SQLite事务、revision、审计、旧库识别</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预算逻辑</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backend/legacy_engine.py及前端预算模块</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集团人民币预算、量价、分摊、审批／锁定／调整；不接管新财务签核</w:t>
            </w:r>
          </w:p>
        </w:tc>
      </w:tr>
      <w:tr>
        <w:trPr>
          <w:cantSplit/>
        </w:trPr>
        <w:tc>
          <w:tcPr>
            <w:tcW w:type="dxa" w:w="16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中文界面</w:t>
            </w:r>
          </w:p>
        </w:tc>
        <w:tc>
          <w:tcPr>
            <w:tcW w:type="dxa" w:w="4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frontend/src及frontend/dist/index.html</w:t>
            </w:r>
          </w:p>
        </w:tc>
        <w:tc>
          <w:tcPr>
            <w:tcW w:type="dxa" w:w="3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导航、表单、当前状态、文件上传、异常与来源展示</w:t>
            </w:r>
          </w:p>
        </w:tc>
      </w:tr>
      <w:tr>
        <w:trPr>
          <w:cantSplit/>
        </w:trPr>
        <w:tc>
          <w:tcPr>
            <w:tcW w:type="dxa" w:w="1610"/>
            <w:vAlign w:val="top"/>
            <w:tcMar>
              <w:top w:w="65" w:type="dxa"/>
              <w:bottom w:w="65" w:type="dxa"/>
              <w:left w:w="65" w:type="dxa"/>
              <w:right w:w="65" w:type="dxa"/>
            </w:tcMar>
          </w:tcPr>
          <w:p>
            <w:pPr>
              <w:spacing w:before="30" w:after="30" w:line="252" w:lineRule="auto"/>
            </w:pPr>
            <w:r>
              <w:rPr>
                <w:rFonts w:ascii="Arial" w:hAnsi="Arial" w:eastAsia="宋体"/>
                <w:b w:val="0"/>
                <w:i w:val="0"/>
                <w:sz w:val="19"/>
              </w:rPr>
              <w:t>交付工程</w:t>
            </w:r>
          </w:p>
        </w:tc>
        <w:tc>
          <w:tcPr>
            <w:tcW w:type="dxa" w:w="4268"/>
            <w:vAlign w:val="top"/>
            <w:tcMar>
              <w:top w:w="65" w:type="dxa"/>
              <w:bottom w:w="65" w:type="dxa"/>
              <w:left w:w="65" w:type="dxa"/>
              <w:right w:w="65" w:type="dxa"/>
            </w:tcMar>
          </w:tcPr>
          <w:p>
            <w:pPr>
              <w:spacing w:before="30" w:after="30" w:line="252" w:lineRule="auto"/>
            </w:pPr>
            <w:r>
              <w:rPr>
                <w:rFonts w:ascii="Arial" w:hAnsi="Arial" w:eastAsia="宋体"/>
                <w:b w:val="0"/>
                <w:i w:val="0"/>
                <w:sz w:val="19"/>
              </w:rPr>
              <w:t>build_windows.py、package_windows.py、documentation-set</w:t>
            </w:r>
          </w:p>
        </w:tc>
        <w:tc>
          <w:tcPr>
            <w:tcW w:type="dxa" w:w="3529"/>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本机包、源码与测试证明、四册文档、完整性与版本门禁</w:t>
            </w:r>
          </w:p>
        </w:tc>
      </w:tr>
    </w:tbl>
    <w:p>
      <w:pPr>
        <w:spacing w:after="40"/>
      </w:pPr>
    </w:p>
    <w:p>
      <w:r>
        <w:rPr>
          <w:rFonts w:ascii="Arial" w:hAnsi="Arial" w:eastAsia="宋体"/>
          <w:b w:val="0"/>
          <w:i w:val="0"/>
        </w:rPr>
        <w:t>前端不能自行修改服务器状态对象或伪造财务结果。每个改变业务状态的动作都提交领域命令，服务器在事务中校验权限、期间、依赖、金额、数据版本和当前来源。纯账务／计算模块不写数据库，实际保存由领域和Store负责。</w:t>
      </w:r>
    </w:p>
    <w:p>
      <w:pPr>
        <w:keepNext/>
        <w:jc w:val="center"/>
      </w:pPr>
      <w:r>
        <w:drawing>
          <wp:inline xmlns:a="http://schemas.openxmlformats.org/drawingml/2006/main" xmlns:pic="http://schemas.openxmlformats.org/drawingml/2006/picture">
            <wp:extent cx="3217520" cy="6299998"/>
            <wp:docPr id="1" name="Picture 1"/>
            <wp:cNvGraphicFramePr>
              <a:graphicFrameLocks noChangeAspect="1"/>
            </wp:cNvGraphicFramePr>
            <a:graphic>
              <a:graphicData uri="http://schemas.openxmlformats.org/drawingml/2006/picture">
                <pic:pic>
                  <pic:nvPicPr>
                    <pic:cNvPr id="0" name="从零建账系统架构.png"/>
                    <pic:cNvPicPr/>
                  </pic:nvPicPr>
                  <pic:blipFill>
                    <a:blip r:embed="rId11"/>
                    <a:stretch>
                      <a:fillRect/>
                    </a:stretch>
                  </pic:blipFill>
                  <pic:spPr>
                    <a:xfrm>
                      <a:off x="0" y="0"/>
                      <a:ext cx="3217520" cy="6299998"/>
                    </a:xfrm>
                    <a:prstGeom prst="rect"/>
                  </pic:spPr>
                </pic:pic>
              </a:graphicData>
            </a:graphic>
          </wp:inline>
        </w:drawing>
      </w:r>
    </w:p>
    <w:p>
      <w:pPr>
        <w:jc w:val="center"/>
      </w:pPr>
      <w:r>
        <w:rPr>
          <w:rFonts w:ascii="Arial" w:hAnsi="Arial" w:eastAsia="宋体"/>
          <w:color w:val="66758D"/>
          <w:sz w:val="18"/>
        </w:rPr>
        <w:t>图 1  空框架、账务核对与分级合并的实际系统结构</w:t>
      </w:r>
    </w:p>
    <w:p>
      <w:pPr>
        <w:pStyle w:val="Heading1"/>
      </w:pPr>
      <w:bookmarkStart w:id="5" w:name="epm_5"/>
      <w:r>
        <w:rPr>
          <w:rFonts w:ascii="Arial" w:hAnsi="Arial" w:eastAsia="宋体"/>
          <w:b w:val="0"/>
          <w:i w:val="0"/>
        </w:rPr>
        <w:t>四、集团基础档案与从零建账交互</w:t>
      </w:r>
      <w:bookmarkEnd w:id="5"/>
    </w:p>
    <w:p>
      <w:pPr>
        <w:pStyle w:val="Heading2"/>
      </w:pPr>
      <w:bookmarkStart w:id="6" w:name="epm_6"/>
      <w:r>
        <w:rPr>
          <w:rFonts w:ascii="Arial" w:hAnsi="Arial" w:eastAsia="宋体"/>
          <w:b w:val="0"/>
          <w:i w:val="0"/>
        </w:rPr>
        <w:t>4.1 先建集团本部，再建独立法人</w:t>
      </w:r>
      <w:bookmarkEnd w:id="6"/>
    </w:p>
    <w:p>
      <w:r>
        <w:rPr>
          <w:rFonts w:ascii="Arial" w:hAnsi="Arial" w:eastAsia="宋体"/>
          <w:b w:val="0"/>
          <w:i w:val="0"/>
        </w:rPr>
        <w:t>法人具有稳定ID、页面编码、全名／简称、记账本位币、责任人及有效配置版本。本币是法人档案，不从一条NC凭证的交易币反推。集团本部本身是一个有单体账的法人，与管理合并单元分开。</w:t>
      </w:r>
    </w:p>
    <w:p>
      <w:r>
        <w:rPr>
          <w:rFonts w:ascii="Arial" w:hAnsi="Arial" w:eastAsia="宋体"/>
          <w:b w:val="0"/>
          <w:i w:val="0"/>
        </w:rPr>
        <w:t>创建后尚未有报表。更改已有业务法人的币种不能重新标记旧期初和凭证，必须受已有来源和签核约束；不能只因尚未生成财务源就允许对已导账务变更本位币。编码／ID去重、格式及空值在服务器检查。</w:t>
      </w:r>
    </w:p>
    <w:p>
      <w:pPr>
        <w:pStyle w:val="Heading2"/>
      </w:pPr>
      <w:bookmarkStart w:id="7" w:name="epm_7"/>
      <w:r>
        <w:rPr>
          <w:rFonts w:ascii="Arial" w:hAnsi="Arial" w:eastAsia="宋体"/>
          <w:b w:val="0"/>
          <w:i w:val="0"/>
        </w:rPr>
        <w:t>4.2 真实持股与管理树分别维护</w:t>
      </w:r>
      <w:bookmarkEnd w:id="7"/>
    </w:p>
    <w:p>
      <w:r>
        <w:rPr>
          <w:rFonts w:ascii="Arial" w:hAnsi="Arial" w:eastAsia="宋体"/>
          <w:b w:val="0"/>
          <w:i w:val="0"/>
        </w:rPr>
        <w:t>真实持股定义实际母公司、子公司、100%持股和全额合并方法；集团本部无虚构母公司，不允许自持股或循环。当前模型不支持少数股东、部分权益法、商誉、分红或期间复杂资本事件。</w:t>
      </w:r>
    </w:p>
    <w:p>
      <w:r>
        <w:rPr>
          <w:rFonts w:ascii="Arial" w:hAnsi="Arial" w:eastAsia="宋体"/>
          <w:b w:val="0"/>
          <w:i w:val="0"/>
        </w:rPr>
        <w:t>管理合并单元由成员组成，成员是独立法人或下级合并单元。鸿旺小合并可纳入三个互不重叠的独立法人，集团则引用鸿旺小合并结果；不能在集团同时再次平铺同三法人。最低共同合并层决定内部交易在哪一层抵销，管理归属不产生不存在的鸿旺股权投资。</w:t>
      </w:r>
    </w:p>
    <w:p>
      <w:r>
        <w:rPr>
          <w:rFonts w:ascii="Arial" w:hAnsi="Arial" w:eastAsia="宋体"/>
          <w:b w:val="0"/>
          <w:i w:val="0"/>
        </w:rPr>
        <w:t>配置空技术容器允许首次启动和维护入口存在；正式计算要求有效非空范围、无重复叶子、无环，并具备各输入。修改树或持股影响相关源和结果有效性，已签范围先重开并保留历史。</w:t>
      </w:r>
    </w:p>
    <w:p>
      <w:pPr>
        <w:pStyle w:val="Heading2"/>
      </w:pPr>
      <w:bookmarkStart w:id="8" w:name="epm_8"/>
      <w:r>
        <w:rPr>
          <w:rFonts w:ascii="Arial" w:hAnsi="Arial" w:eastAsia="宋体"/>
          <w:b w:val="0"/>
          <w:i w:val="0"/>
        </w:rPr>
        <w:t>4.3 集团科目和ERP科目映射</w:t>
      </w:r>
      <w:bookmarkEnd w:id="8"/>
    </w:p>
    <w:p>
      <w:r>
        <w:rPr>
          <w:rFonts w:ascii="Arial" w:hAnsi="Arial" w:eastAsia="宋体"/>
          <w:b w:val="0"/>
          <w:i w:val="0"/>
        </w:rPr>
        <w:t>集团科目档案维护编码、名称、类型、正常余额方向及报表字段，定义统一展示归属。ERP映射按“法人＋实际ERP科目编码”维护归属；多个本地明细科目可汇总到同一报表字段，不能改造原凭证科目码来匹配示例。</w:t>
      </w:r>
    </w:p>
    <w:p>
      <w:r>
        <w:rPr>
          <w:rFonts w:ascii="Arial" w:hAnsi="Arial" w:eastAsia="宋体"/>
          <w:b w:val="0"/>
          <w:i w:val="0"/>
        </w:rPr>
        <w:t>余额方向影响源字段金额解释，不是把每个借贷数字简单相加。科目未映射、重复映射、无效报表字段应明确拒绝并显示源行。集团科目档案和法人ERP映射有不同用途，操作说明分别给入口，不能把两表当同一个接口。</w:t>
      </w:r>
    </w:p>
    <w:p>
      <w:pPr>
        <w:pStyle w:val="Heading2"/>
      </w:pPr>
      <w:bookmarkStart w:id="9" w:name="epm_9"/>
      <w:r>
        <w:rPr>
          <w:rFonts w:ascii="Arial" w:hAnsi="Arial" w:eastAsia="宋体"/>
          <w:b w:val="0"/>
          <w:i w:val="0"/>
        </w:rPr>
        <w:t>4.4 账簿、内部客商、辅助列及现金流</w:t>
      </w:r>
      <w:bookmarkEnd w:id="9"/>
    </w:p>
    <w:p>
      <w:r>
        <w:rPr>
          <w:rFonts w:ascii="Arial" w:hAnsi="Arial" w:eastAsia="宋体"/>
          <w:b w:val="0"/>
          <w:i w:val="0"/>
        </w:rPr>
        <w:t>NC账簿原值对应法人和记账本位币。内部客商映射按所选辅助列中的完整原值精确解析，可限定列，明确外部映射EXTERNAL。无值、未知或冲突不能自动默认为外部；多个辅助列不代表系统可以任取一个内部法人。</w:t>
      </w:r>
    </w:p>
    <w:p>
      <w:r>
        <w:rPr>
          <w:rFonts w:ascii="Arial" w:hAnsi="Arial" w:eastAsia="宋体"/>
          <w:b w:val="0"/>
          <w:i w:val="0"/>
        </w:rPr>
        <w:t>共同业务号只从配置的结算号或核销号读取。双方凭证号不同不妨碍有共同号的匹配，但只凭同金额／相似摘要不构成匹配证据。同凭证唯一已解析客商和共同号可按规则向原辅助为空的相关行承接，保留推导依据，不能跨凭证或冲突任取。</w:t>
      </w:r>
    </w:p>
    <w:p>
      <w:r>
        <w:rPr>
          <w:rFonts w:ascii="Arial" w:hAnsi="Arial" w:eastAsia="宋体"/>
          <w:b w:val="0"/>
          <w:i w:val="0"/>
        </w:rPr>
        <w:t>现金行只有经营、投资、筹资之一。可按明确现金分录类别，或无歧义对方科目推导；混合现金行缺分类时拒绝生成，不倒挤经营现金流。同一现金行实际混合多类金额时须取得拆分依据，不能随意选一类凑平。NC原48列没有独立现金流类别列，需要在有效现金原行补注，或使用通用凭证格式明确输入。</w:t>
      </w:r>
    </w:p>
    <w:p>
      <w:pPr>
        <w:pStyle w:val="Heading1"/>
      </w:pPr>
      <w:bookmarkStart w:id="10" w:name="epm_10"/>
      <w:r>
        <w:rPr>
          <w:rFonts w:ascii="Arial" w:hAnsi="Arial" w:eastAsia="宋体"/>
          <w:b w:val="0"/>
          <w:i w:val="0"/>
        </w:rPr>
        <w:t>五、统一请求、上下文与身份边界</w:t>
      </w:r>
      <w:bookmarkEnd w:id="10"/>
    </w:p>
    <w:p>
      <w:r>
        <w:rPr>
          <w:rFonts w:ascii="Arial" w:hAnsi="Arial" w:eastAsia="宋体"/>
          <w:b w:val="0"/>
          <w:i w:val="0"/>
        </w:rPr>
        <w:t>GET /api/bootstrap返回当前合并单元、2026年所选月、报表币种、法人筛选、当前数据版本、可操作权限、当前有效状态与结果。month为1—12；当前流程默认06期，计算范围和币种来自真实配置，不随一个显示下拉任意重标整张报表。</w:t>
      </w:r>
    </w:p>
    <w:p>
      <w:r>
        <w:rPr>
          <w:rFonts w:ascii="Arial" w:hAnsi="Arial" w:eastAsia="宋体"/>
          <w:b w:val="0"/>
          <w:i w:val="0"/>
        </w:rPr>
        <w:t>POST /api/action接收action、payload、revision和context。身份来自本机启动会话，修改需同源Origin及CSRF；revision与SQLite当前值不同时409，前端刷新后重新核对，不盲目重发旧变更。只读角色不能写，会计不能替负责人配置／批审／签核。</w:t>
      </w:r>
    </w:p>
    <w:tbl>
      <w:tblPr>
        <w:tblStyle w:val="TableGrid"/>
        <w:tblW w:type="auto" w:w="0"/>
        <w:jc w:val="center"/>
        <w:tblLayout w:type="fixed"/>
        <w:tblLook w:firstColumn="1" w:firstRow="1" w:lastColumn="0" w:lastRow="0" w:noHBand="0" w:noVBand="1" w:val="04A0"/>
      </w:tblPr>
      <w:tblGrid>
        <w:gridCol w:w="4226"/>
        <w:gridCol w:w="5180"/>
      </w:tblGrid>
      <w:tr>
        <w:trPr>
          <w:cantSplit/>
          <w:tblHeader w:val="true"/>
        </w:trPr>
        <w:tc>
          <w:tcPr>
            <w:tcW w:type="dxa" w:w="42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读取／操作</w:t>
            </w:r>
          </w:p>
        </w:tc>
        <w:tc>
          <w:tcPr>
            <w:tcW w:type="dxa" w:w="51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用途</w:t>
            </w:r>
          </w:p>
        </w:tc>
      </w:tr>
      <w:tr>
        <w:trPr>
          <w:cantSplit/>
        </w:trPr>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/api/health</w:t>
            </w:r>
          </w:p>
        </w:tc>
        <w:tc>
          <w:tcPr>
            <w:tcW w:type="dxa" w:w="5180"/>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本机身份与就绪，不包含业务凭据</w:t>
            </w:r>
          </w:p>
        </w:tc>
      </w:tr>
      <w:tr>
        <w:trPr>
          <w:cantSplit/>
        </w:trPr>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/api/session</w:t>
            </w:r>
          </w:p>
        </w:tc>
        <w:tc>
          <w:tcPr>
            <w:tcW w:type="dxa" w:w="5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启动器提供随机凭据建立会话；不使用谷歌邮箱登录</w:t>
            </w:r>
          </w:p>
        </w:tc>
      </w:tr>
      <w:tr>
        <w:trPr>
          <w:cantSplit/>
        </w:trPr>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/api/bootstrap</w:t>
            </w:r>
          </w:p>
        </w:tc>
        <w:tc>
          <w:tcPr>
            <w:tcW w:type="dxa" w:w="5180"/>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当前范围、期间、来源及业务状态投影</w:t>
            </w:r>
          </w:p>
        </w:tc>
      </w:tr>
      <w:tr>
        <w:trPr>
          <w:cantSplit/>
        </w:trPr>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/api/action</w:t>
            </w:r>
          </w:p>
        </w:tc>
        <w:tc>
          <w:tcPr>
            <w:tcW w:type="dxa" w:w="5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经过事务的正式业务命令</w:t>
            </w:r>
          </w:p>
        </w:tc>
      </w:tr>
      <w:tr>
        <w:trPr>
          <w:cantSplit/>
        </w:trPr>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/api/erp/trace</w:t>
            </w:r>
          </w:p>
        </w:tc>
        <w:tc>
          <w:tcPr>
            <w:tcW w:type="dxa" w:w="5180"/>
            <w:vAlign w:val="top"/>
            <w:tcMar>
              <w:top w:w="65" w:type="dxa"/>
              <w:bottom w:w="65" w:type="dxa"/>
              <w:left w:w="65" w:type="dxa"/>
              <w:right w:w="65" w:type="dxa"/>
            </w:tcMar>
          </w:tcPr>
          <w:p>
            <w:pPr>
              <w:spacing w:before="30" w:after="30" w:line="252" w:lineRule="auto"/>
            </w:pPr>
            <w:r>
              <w:rPr>
                <w:rFonts w:ascii="Arial" w:hAnsi="Arial" w:eastAsia="宋体"/>
                <w:b w:val="0"/>
                <w:i w:val="0"/>
                <w:sz w:val="19"/>
              </w:rPr>
              <w:t>按法人、期间、字段和可选历史结果ID精确查凭证来源</w:t>
            </w:r>
          </w:p>
        </w:tc>
      </w:tr>
      <w:tr>
        <w:trPr>
          <w:cantSplit/>
        </w:trPr>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/api/runtime</w:t>
            </w:r>
          </w:p>
        </w:tc>
        <w:tc>
          <w:tcPr>
            <w:tcW w:type="dxa" w:w="5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展示本次实际数据位置与运行信息</w:t>
            </w:r>
          </w:p>
        </w:tc>
      </w:tr>
      <w:tr>
        <w:trPr>
          <w:cantSplit/>
        </w:trPr>
        <w:tc>
          <w:tcPr>
            <w:tcW w:type="dxa" w:w="4226"/>
            <w:vAlign w:val="top"/>
            <w:tcMar>
              <w:top w:w="65" w:type="dxa"/>
              <w:bottom w:w="65" w:type="dxa"/>
              <w:left w:w="65" w:type="dxa"/>
              <w:right w:w="65" w:type="dxa"/>
            </w:tcMar>
          </w:tcPr>
          <w:p>
            <w:pPr>
              <w:spacing w:before="30" w:after="30" w:line="252" w:lineRule="auto"/>
            </w:pPr>
            <w:r>
              <w:rPr>
                <w:rFonts w:ascii="Arial" w:hAnsi="Arial" w:eastAsia="宋体"/>
                <w:b w:val="0"/>
                <w:i w:val="0"/>
                <w:sz w:val="19"/>
              </w:rPr>
              <w:t>/api/open-data-dir</w:t>
            </w:r>
          </w:p>
        </w:tc>
        <w:tc>
          <w:tcPr>
            <w:tcW w:type="dxa" w:w="5180"/>
            <w:vAlign w:val="top"/>
            <w:tcMar>
              <w:top w:w="65" w:type="dxa"/>
              <w:bottom w:w="65" w:type="dxa"/>
              <w:left w:w="65" w:type="dxa"/>
              <w:right w:w="65" w:type="dxa"/>
            </w:tcMar>
          </w:tcPr>
          <w:p>
            <w:pPr>
              <w:spacing w:before="30" w:after="30" w:line="252" w:lineRule="auto"/>
            </w:pPr>
            <w:r>
              <w:rPr>
                <w:rFonts w:ascii="Arial" w:hAnsi="Arial" w:eastAsia="宋体"/>
                <w:b w:val="0"/>
                <w:i w:val="0"/>
                <w:sz w:val="19"/>
              </w:rPr>
              <w:t>用户主动打开数据目录</w:t>
            </w:r>
          </w:p>
        </w:tc>
      </w:tr>
      <w:tr>
        <w:trPr>
          <w:cantSplit/>
        </w:trPr>
        <w:tc>
          <w:tcPr>
            <w:tcW w:type="dxa" w:w="42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/api/shutdown</w:t>
            </w:r>
          </w:p>
        </w:tc>
        <w:tc>
          <w:tcPr>
            <w:tcW w:type="dxa" w:w="51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当前会话安全退出；关闭标签不等于停服务</w:t>
            </w:r>
          </w:p>
        </w:tc>
      </w:tr>
    </w:tbl>
    <w:p>
      <w:pPr>
        <w:spacing w:after="40"/>
      </w:pPr>
    </w:p>
    <w:p>
      <w:r>
        <w:rPr>
          <w:rFonts w:ascii="Arial" w:hAnsi="Arial" w:eastAsia="宋体"/>
          <w:b w:val="0"/>
          <w:i w:val="0"/>
        </w:rPr>
        <w:t>默认会话cookie为epm_foundation_session，旧版本cookie和product不复用。本机演示角色切换用于验证流程，不代表已经实现企业SSO、租户隔离、生产密码策略和组织身份治理。</w:t>
      </w:r>
    </w:p>
    <w:p>
      <w:pPr>
        <w:pStyle w:val="Heading1"/>
      </w:pPr>
      <w:bookmarkStart w:id="11" w:name="epm_11"/>
      <w:r>
        <w:rPr>
          <w:rFonts w:ascii="Arial" w:hAnsi="Arial" w:eastAsia="宋体"/>
          <w:b w:val="0"/>
          <w:i w:val="0"/>
        </w:rPr>
        <w:t>六、文件导入、金额和原始来源</w:t>
      </w:r>
      <w:bookmarkEnd w:id="11"/>
    </w:p>
    <w:p>
      <w:pPr>
        <w:pStyle w:val="Heading2"/>
      </w:pPr>
      <w:bookmarkStart w:id="12" w:name="epm_12"/>
      <w:r>
        <w:rPr>
          <w:rFonts w:ascii="Arial" w:hAnsi="Arial" w:eastAsia="宋体"/>
          <w:b w:val="0"/>
          <w:i w:val="0"/>
        </w:rPr>
        <w:t>6.1 三类账务资料与两种用途</w:t>
      </w:r>
      <w:bookmarkEnd w:id="12"/>
    </w:p>
    <w:tbl>
      <w:tblPr>
        <w:tblStyle w:val="TableGrid"/>
        <w:tblW w:type="auto" w:w="0"/>
        <w:jc w:val="center"/>
        <w:tblLayout w:type="fixed"/>
        <w:tblLook w:firstColumn="1" w:firstRow="1" w:lastColumn="0" w:lastRow="0" w:noHBand="0" w:noVBand="1" w:val="04A0"/>
      </w:tblPr>
      <w:tblGrid>
        <w:gridCol w:w="1673"/>
        <w:gridCol w:w="2829"/>
        <w:gridCol w:w="4904"/>
      </w:tblGrid>
      <w:tr>
        <w:trPr>
          <w:cantSplit/>
          <w:tblHeader w:val="true"/>
        </w:trPr>
        <w:tc>
          <w:tcPr>
            <w:tcW w:type="dxa" w:w="16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资料</w:t>
            </w:r>
          </w:p>
        </w:tc>
        <w:tc>
          <w:tcPr>
            <w:tcW w:type="dxa" w:w="28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时间口径／金额</w:t>
            </w:r>
          </w:p>
        </w:tc>
        <w:tc>
          <w:tcPr>
            <w:tcW w:type="dxa" w:w="49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用途与保存效果</w:t>
            </w:r>
          </w:p>
        </w:tc>
      </w:tr>
      <w:tr>
        <w:trPr>
          <w:cantSplit/>
        </w:trPr>
        <w:tc>
          <w:tcPr>
            <w:tcW w:type="dxa" w:w="1673"/>
            <w:vAlign w:val="top"/>
            <w:tcMar>
              <w:top w:w="65" w:type="dxa"/>
              <w:bottom w:w="65" w:type="dxa"/>
              <w:left w:w="65" w:type="dxa"/>
              <w:right w:w="65" w:type="dxa"/>
            </w:tcMar>
          </w:tcPr>
          <w:p>
            <w:pPr>
              <w:spacing w:before="30" w:after="30" w:line="252" w:lineRule="auto"/>
            </w:pPr>
            <w:r>
              <w:rPr>
                <w:rFonts w:ascii="Arial" w:hAnsi="Arial" w:eastAsia="宋体"/>
                <w:b w:val="0"/>
                <w:i w:val="0"/>
                <w:sz w:val="19"/>
              </w:rPr>
              <w:t>ERP科目映射</w:t>
            </w:r>
          </w:p>
        </w:tc>
        <w:tc>
          <w:tcPr>
            <w:tcW w:type="dxa" w:w="2829"/>
            <w:vAlign w:val="top"/>
            <w:tcMar>
              <w:top w:w="65" w:type="dxa"/>
              <w:bottom w:w="65" w:type="dxa"/>
              <w:left w:w="65" w:type="dxa"/>
              <w:right w:w="65" w:type="dxa"/>
            </w:tcMar>
          </w:tcPr>
          <w:p>
            <w:pPr>
              <w:spacing w:before="30" w:after="30" w:line="252" w:lineRule="auto"/>
            </w:pPr>
            <w:r>
              <w:rPr>
                <w:rFonts w:ascii="Arial" w:hAnsi="Arial" w:eastAsia="宋体"/>
                <w:b w:val="0"/>
                <w:i w:val="0"/>
                <w:sz w:val="19"/>
              </w:rPr>
              <w:t>按法人／科目，字段与方向</w:t>
            </w:r>
          </w:p>
        </w:tc>
        <w:tc>
          <w:tcPr>
            <w:tcW w:type="dxa" w:w="4904"/>
            <w:vAlign w:val="top"/>
            <w:tcMar>
              <w:top w:w="65" w:type="dxa"/>
              <w:bottom w:w="65" w:type="dxa"/>
              <w:left w:w="65" w:type="dxa"/>
              <w:right w:w="65" w:type="dxa"/>
            </w:tcMar>
          </w:tcPr>
          <w:p>
            <w:pPr>
              <w:spacing w:before="30" w:after="30" w:line="252" w:lineRule="auto"/>
            </w:pPr>
            <w:r>
              <w:rPr>
                <w:rFonts w:ascii="Arial" w:hAnsi="Arial" w:eastAsia="宋体"/>
                <w:b w:val="0"/>
                <w:i w:val="0"/>
                <w:sz w:val="19"/>
              </w:rPr>
              <w:t>解释后续账务归属</w:t>
            </w:r>
          </w:p>
        </w:tc>
      </w:tr>
      <w:tr>
        <w:trPr>
          <w:cantSplit/>
        </w:trPr>
        <w:tc>
          <w:tcPr>
            <w:tcW w:type="dxa" w:w="16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年初科目余额</w:t>
            </w:r>
          </w:p>
        </w:tc>
        <w:tc>
          <w:tcPr>
            <w:tcW w:type="dxa" w:w="28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2026年初，法人本币元两位</w:t>
            </w:r>
          </w:p>
        </w:tc>
        <w:tc>
          <w:tcPr>
            <w:tcW w:type="dxa" w:w="49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入账一次，建立起始科目余额；内部往来按对方＋共同号分拆</w:t>
            </w:r>
          </w:p>
        </w:tc>
      </w:tr>
      <w:tr>
        <w:trPr>
          <w:cantSplit/>
        </w:trPr>
        <w:tc>
          <w:tcPr>
            <w:tcW w:type="dxa" w:w="1673"/>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完整财务凭证</w:t>
            </w:r>
          </w:p>
        </w:tc>
        <w:tc>
          <w:tcPr>
            <w:tcW w:type="dxa" w:w="2829"/>
            <w:vAlign w:val="top"/>
            <w:tcMar>
              <w:top w:w="65" w:type="dxa"/>
              <w:bottom w:w="65" w:type="dxa"/>
              <w:left w:w="65" w:type="dxa"/>
              <w:right w:w="65" w:type="dxa"/>
            </w:tcMar>
          </w:tcPr>
          <w:p>
            <w:pPr>
              <w:spacing w:before="30" w:after="30" w:line="252" w:lineRule="auto"/>
            </w:pPr>
            <w:r>
              <w:rPr>
                <w:rFonts w:ascii="Arial" w:hAnsi="Arial" w:eastAsia="宋体"/>
                <w:b w:val="0"/>
                <w:i w:val="0"/>
                <w:sz w:val="19"/>
              </w:rPr>
              <w:t>2026年初至所选月，法人本币元两位</w:t>
            </w:r>
          </w:p>
        </w:tc>
        <w:tc>
          <w:tcPr>
            <w:tcW w:type="dxa" w:w="4904"/>
            <w:vAlign w:val="top"/>
            <w:tcMar>
              <w:top w:w="65" w:type="dxa"/>
              <w:bottom w:w="65" w:type="dxa"/>
              <w:left w:w="65" w:type="dxa"/>
              <w:right w:w="65" w:type="dxa"/>
            </w:tcMar>
          </w:tcPr>
          <w:p>
            <w:pPr>
              <w:spacing w:before="30" w:after="30" w:line="252" w:lineRule="auto"/>
            </w:pPr>
            <w:r>
              <w:rPr>
                <w:rFonts w:ascii="Arial" w:hAnsi="Arial" w:eastAsia="宋体"/>
                <w:b w:val="0"/>
                <w:i w:val="0"/>
                <w:sz w:val="19"/>
              </w:rPr>
              <w:t>逐张完整平衡入账，保留原行和批次，生成单体账及财务源</w:t>
            </w:r>
          </w:p>
        </w:tc>
      </w:tr>
      <w:tr>
        <w:trPr>
          <w:cantSplit/>
        </w:trPr>
        <w:tc>
          <w:tcPr>
            <w:tcW w:type="dxa" w:w="16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期间科目余额核对表</w:t>
            </w:r>
          </w:p>
        </w:tc>
        <w:tc>
          <w:tcPr>
            <w:tcW w:type="dxa" w:w="28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所选月末，本年累计口径，本币元两位</w:t>
            </w:r>
          </w:p>
        </w:tc>
        <w:tc>
          <w:tcPr>
            <w:tcW w:type="dxa" w:w="49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与前述原账核对，只作对账输入，不能再次加进账务</w:t>
            </w:r>
          </w:p>
        </w:tc>
      </w:tr>
      <w:tr>
        <w:trPr>
          <w:cantSplit/>
        </w:trPr>
        <w:tc>
          <w:tcPr>
            <w:tcW w:type="dxa" w:w="1673"/>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完整财务源CSV</w:t>
            </w:r>
          </w:p>
        </w:tc>
        <w:tc>
          <w:tcPr>
            <w:tcW w:type="dxa" w:w="2829"/>
            <w:vAlign w:val="top"/>
            <w:tcMar>
              <w:top w:w="65" w:type="dxa"/>
              <w:bottom w:w="65" w:type="dxa"/>
              <w:left w:w="65" w:type="dxa"/>
              <w:right w:w="65" w:type="dxa"/>
            </w:tcMar>
          </w:tcPr>
          <w:p>
            <w:pPr>
              <w:spacing w:before="30" w:after="30" w:line="252" w:lineRule="auto"/>
            </w:pPr>
            <w:r>
              <w:rPr>
                <w:rFonts w:ascii="Arial" w:hAnsi="Arial" w:eastAsia="宋体"/>
                <w:b w:val="0"/>
                <w:i w:val="0"/>
                <w:sz w:val="19"/>
              </w:rPr>
              <w:t>本位币万元六位，期初／期末及累计／逐月六区</w:t>
            </w:r>
          </w:p>
        </w:tc>
        <w:tc>
          <w:tcPr>
            <w:tcW w:type="dxa" w:w="4904"/>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保留兼容报表资料；Foundation正式合并必须当前ERP源，不能以手工报表替代凭证链或绕过余额核对</w:t>
            </w:r>
          </w:p>
        </w:tc>
      </w:tr>
    </w:tbl>
    <w:p>
      <w:pPr>
        <w:spacing w:after="40"/>
      </w:pPr>
    </w:p>
    <w:p>
      <w:r>
        <w:rPr>
          <w:rFonts w:ascii="Arial" w:hAnsi="Arial" w:eastAsia="宋体"/>
          <w:b w:val="0"/>
          <w:i w:val="0"/>
        </w:rPr>
        <w:t>科目余额核对表10列为：法人编码、期间、科目编码、币种、年初借方余额、年初贷方余额、本年累计借方发生额、本年累计贷方发生额、期末借方余额、期末贷方余额。期间例如2026-06，累计为1月起至6月末，不能把6月当月发生额放进本年累计列。年初／期末余额与累计借贷的使用方式不同，累计借贷允许两边都有发生额。</w:t>
      </w:r>
    </w:p>
    <w:p>
      <w:pPr>
        <w:pStyle w:val="Heading2"/>
      </w:pPr>
      <w:bookmarkStart w:id="13" w:name="epm_13"/>
      <w:r>
        <w:rPr>
          <w:rFonts w:ascii="Arial" w:hAnsi="Arial" w:eastAsia="宋体"/>
          <w:b w:val="0"/>
          <w:i w:val="0"/>
        </w:rPr>
        <w:t>6.2 CSV、XLSX和完整性</w:t>
      </w:r>
      <w:bookmarkEnd w:id="13"/>
    </w:p>
    <w:p>
      <w:r>
        <w:rPr>
          <w:rFonts w:ascii="Arial" w:hAnsi="Arial" w:eastAsia="宋体"/>
          <w:b w:val="0"/>
          <w:i w:val="0"/>
        </w:rPr>
        <w:t>账务导入支持按实际页面及合同读取CSV或XLSX；旧.xls须另存。XLSX只解析指定或首个工作表的本地OOXML，不执行公式／宏／外部连接；空白样式行不当业务，公式金额和说明行不能当原账。编码按文本保留前导0，日期用明确2026年日期，金额不附货币符号。</w:t>
      </w:r>
    </w:p>
    <w:p>
      <w:r>
        <w:rPr>
          <w:rFonts w:ascii="Arial" w:hAnsi="Arial" w:eastAsia="宋体"/>
          <w:b w:val="0"/>
          <w:i w:val="0"/>
        </w:rPr>
        <w:t>NC采用用户提供的48列表头，允许原星号和空白按规则规范化。NC“币种”为交易币，法人本币来自账簿；只用“本币借方金额／本币贷方金额”记账，原币、集团／全局币及汇率留原字段核对，不重复计入或提前替系统折算。单价、数量和汇率保留源精度；账务元分字段按本版接收精度检查，不擅自截断。</w:t>
      </w:r>
    </w:p>
    <w:p>
      <w:r>
        <w:rPr>
          <w:rFonts w:ascii="Arial" w:hAnsi="Arial" w:eastAsia="宋体"/>
          <w:b w:val="0"/>
          <w:i w:val="0"/>
        </w:rPr>
        <w:t>凭证唯一性考虑账簿／法人、年月、类别、号及行，同号不同账簿／月份不能混为同一凭证。每张凭证必须完整平衡进入同一批；重复、未知科目、日期／币种矛盾等整批拒绝，不写半批。NC48没有记账状态列，用户须导出已记账资料并确认，系统不能声称已经在线向NC核实状态。</w:t>
      </w:r>
    </w:p>
    <w:p>
      <w:pPr>
        <w:pStyle w:val="Heading2"/>
      </w:pPr>
      <w:bookmarkStart w:id="14" w:name="epm_14"/>
      <w:r>
        <w:rPr>
          <w:rFonts w:ascii="Arial" w:hAnsi="Arial" w:eastAsia="宋体"/>
          <w:b w:val="0"/>
          <w:i w:val="0"/>
        </w:rPr>
        <w:t>6.3 原账与规范化值</w:t>
      </w:r>
      <w:bookmarkEnd w:id="14"/>
    </w:p>
    <w:p>
      <w:r>
        <w:rPr>
          <w:rFonts w:ascii="Arial" w:hAnsi="Arial" w:eastAsia="宋体"/>
          <w:b w:val="0"/>
          <w:i w:val="0"/>
        </w:rPr>
        <w:t>保存原文件名、批次、sourceRow、原凭证号和类别、日期、科目、借贷、NC原字段及辅助值；标准化字段另存客商、共同号、现金类别等解释。规范化承接／人工补注保留依据及前后值，不改原NC金额。</w:t>
      </w:r>
    </w:p>
    <w:p>
      <w:r>
        <w:rPr>
          <w:rFonts w:ascii="Arial" w:hAnsi="Arial" w:eastAsia="宋体"/>
          <w:b w:val="0"/>
          <w:i w:val="0"/>
        </w:rPr>
        <w:t>canonical凭证ID在停用后同键重导可能复用；界面和历史展示须联合ID、批次及源行定位。停用旧行只读，不能让旧行因存在同ID新行而获得补注按钮；历史抵销来源只读，不从全局活动列表挑新行替换。</w:t>
      </w:r>
    </w:p>
    <w:p>
      <w:pPr>
        <w:pStyle w:val="Heading1"/>
      </w:pPr>
      <w:bookmarkStart w:id="15" w:name="epm_15"/>
      <w:r>
        <w:rPr>
          <w:rFonts w:ascii="Arial" w:hAnsi="Arial" w:eastAsia="宋体"/>
          <w:b w:val="0"/>
          <w:i w:val="0"/>
        </w:rPr>
        <w:t>七、法人三表与真实原账余额核对</w:t>
      </w:r>
      <w:bookmarkEnd w:id="15"/>
    </w:p>
    <w:p>
      <w:pPr>
        <w:pStyle w:val="Heading2"/>
      </w:pPr>
      <w:bookmarkStart w:id="16" w:name="epm_16"/>
      <w:r>
        <w:rPr>
          <w:rFonts w:ascii="Arial" w:hAnsi="Arial" w:eastAsia="宋体"/>
          <w:b w:val="0"/>
          <w:i w:val="0"/>
        </w:rPr>
        <w:t>7.1 法人源生成</w:t>
      </w:r>
      <w:bookmarkEnd w:id="16"/>
    </w:p>
    <w:p>
      <w:r>
        <w:rPr>
          <w:rFonts w:ascii="Arial" w:hAnsi="Arial" w:eastAsia="宋体"/>
          <w:b w:val="0"/>
          <w:i w:val="0"/>
        </w:rPr>
        <w:t>根据完整期初和截至所选月有效凭证，生成科目试算、期初／期末资产负债、累计和逐月损益、现金流。管理财务源以万元六位输出，原账金额保留元两位；一分对应0.000001万元，不能沿用原两位万元截断。</w:t>
      </w:r>
    </w:p>
    <w:p>
      <w:r>
        <w:rPr>
          <w:rFonts w:ascii="Arial" w:hAnsi="Arial" w:eastAsia="宋体"/>
          <w:b w:val="0"/>
          <w:i w:val="0"/>
        </w:rPr>
        <w:t>财务检查包括期初／期末资产负债平衡、留存收益与本期净利、累计与逐月相符、现金流与现金余额相符、资本变化等受限政策。出现缺科目、未分类现金、无明确期初或本年业务不完整时拒绝可签核源，不为通关编补差项。</w:t>
      </w:r>
    </w:p>
    <w:p>
      <w:pPr>
        <w:pStyle w:val="Heading2"/>
      </w:pPr>
      <w:bookmarkStart w:id="17" w:name="epm_17"/>
      <w:r>
        <w:rPr>
          <w:rFonts w:ascii="Arial" w:hAnsi="Arial" w:eastAsia="宋体"/>
          <w:b w:val="0"/>
          <w:i w:val="0"/>
        </w:rPr>
        <w:t>7.2 余额表对账不是重复记账</w:t>
      </w:r>
      <w:bookmarkEnd w:id="17"/>
    </w:p>
    <w:p>
      <w:r>
        <w:rPr>
          <w:rFonts w:ascii="Arial" w:hAnsi="Arial" w:eastAsia="宋体"/>
          <w:b w:val="0"/>
          <w:i w:val="0"/>
        </w:rPr>
        <w:t>将导入余额的期初、累计借方、累计贷方、期末余额逐科目与原始有效账务比较，范围覆盖上报与账务并集内有数科目，不能遗漏有余额／发生额科目后仍判通过。使用精确元分，差异列明项目、双方金额、差额、余额文件批次／原行，以及有关原凭证行。</w:t>
      </w:r>
    </w:p>
    <w:p>
      <w:r>
        <w:rPr>
          <w:rFonts w:ascii="Arial" w:hAnsi="Arial" w:eastAsia="宋体"/>
          <w:b w:val="0"/>
          <w:i w:val="0"/>
        </w:rPr>
        <w:t>缺核对资料、核对失败或来源过期时，已启用ERP法人的正式合并前置不通过。换余额表、期初／凭证／映射改变、补注或期间变化后，按当前输入重新生成及核对；不是一个永久为true的状态开关。核对成功也不代表内部交易对账已完成，两类检查分别保留。</w:t>
      </w:r>
    </w:p>
    <w:p>
      <w:pPr>
        <w:pStyle w:val="Heading2"/>
      </w:pPr>
      <w:bookmarkStart w:id="18" w:name="epm_18"/>
      <w:r>
        <w:rPr>
          <w:rFonts w:ascii="Arial" w:hAnsi="Arial" w:eastAsia="宋体"/>
          <w:b w:val="0"/>
          <w:i w:val="0"/>
        </w:rPr>
        <w:t>7.3 损益结转的双口径</w:t>
      </w:r>
      <w:bookmarkEnd w:id="18"/>
    </w:p>
    <w:p>
      <w:r>
        <w:rPr>
          <w:rFonts w:ascii="Arial" w:hAnsi="Arial" w:eastAsia="宋体"/>
          <w:b w:val="0"/>
          <w:i w:val="0"/>
        </w:rPr>
        <w:t>原账余额核对必须包含全部有效原始凭证及合法受限损益结转，累计借贷和期末PL余额应与NC原账一致；不能把管理报表排除结转后的试算直接对NC结账余额。</w:t>
      </w:r>
    </w:p>
    <w:p>
      <w:r>
        <w:rPr>
          <w:rFonts w:ascii="Arial" w:hAnsi="Arial" w:eastAsia="宋体"/>
          <w:b w:val="0"/>
          <w:i w:val="0"/>
        </w:rPr>
        <w:t>管理三表对满足“整张平衡且只含损益／留存科目”的受限结转保留原行及原因，避免损益清零或留存重复结转。因此结转后原账收入科目余额可为0，而管理利润表本期收入仍保留。含其他资产负债／资本的错误结转不得静默排除。两种口径在文档和界面中明确区分，不把其差额当业务不平。</w:t>
      </w:r>
    </w:p>
    <w:p>
      <w:pPr>
        <w:pStyle w:val="Heading1"/>
      </w:pPr>
      <w:bookmarkStart w:id="19" w:name="epm_19"/>
      <w:r>
        <w:rPr>
          <w:rFonts w:ascii="Arial" w:hAnsi="Arial" w:eastAsia="宋体"/>
          <w:b w:val="0"/>
          <w:i w:val="0"/>
        </w:rPr>
        <w:t>八、内部交易异常、凭证追溯和处理闭环</w:t>
      </w:r>
      <w:bookmarkEnd w:id="19"/>
    </w:p>
    <w:p>
      <w:r>
        <w:rPr>
          <w:rFonts w:ascii="Arial" w:hAnsi="Arial" w:eastAsia="宋体"/>
          <w:b w:val="0"/>
          <w:i w:val="0"/>
        </w:rPr>
        <w:t>内部销售匹配需要双方、共同业务号、发生月、本位币和金额一致；内部往来核期初与期末余额及对方／共同号。抵销落在双方最低共同合并层。下层匹配和抵销由下级结果继承，集团不能再对同事项二次扣减。集团上卷前仍须在集团上下文执行一次“扫描本层内部交易”，即使本例集团新增匹配0项、差异0项，也要保存当前层匹配版本。</w:t>
      </w:r>
    </w:p>
    <w:tbl>
      <w:tblPr>
        <w:tblStyle w:val="TableGrid"/>
        <w:tblW w:type="auto" w:w="0"/>
        <w:jc w:val="center"/>
        <w:tblLayout w:type="fixed"/>
        <w:tblLook w:firstColumn="1" w:firstRow="1" w:lastColumn="0" w:lastRow="0" w:noHBand="0" w:noVBand="1" w:val="04A0"/>
      </w:tblPr>
      <w:tblGrid>
        <w:gridCol w:w="2636"/>
        <w:gridCol w:w="3185"/>
        <w:gridCol w:w="3585"/>
      </w:tblGrid>
      <w:tr>
        <w:trPr>
          <w:cantSplit/>
          <w:tblHeader w:val="true"/>
        </w:trPr>
        <w:tc>
          <w:tcPr>
            <w:tcW w:type="dxa" w:w="26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异常</w:t>
            </w:r>
          </w:p>
        </w:tc>
        <w:tc>
          <w:tcPr>
            <w:tcW w:type="dxa" w:w="31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系统保存的证据</w:t>
            </w:r>
          </w:p>
        </w:tc>
        <w:tc>
          <w:tcPr>
            <w:tcW w:type="dxa" w:w="35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正确处理</w:t>
            </w:r>
          </w:p>
        </w:tc>
      </w:tr>
      <w:tr>
        <w:trPr>
          <w:cantSplit/>
        </w:trPr>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9"/>
              </w:rPr>
              <w:t>未识别／冲突客商</w:t>
            </w:r>
          </w:p>
        </w:tc>
        <w:tc>
          <w:tcPr>
            <w:tcW w:type="dxa" w:w="3185"/>
            <w:vAlign w:val="top"/>
            <w:tcMar>
              <w:top w:w="65" w:type="dxa"/>
              <w:bottom w:w="65" w:type="dxa"/>
              <w:left w:w="65" w:type="dxa"/>
              <w:right w:w="65" w:type="dxa"/>
            </w:tcMar>
          </w:tcPr>
          <w:p>
            <w:pPr>
              <w:spacing w:before="30" w:after="30" w:line="252" w:lineRule="auto"/>
            </w:pPr>
            <w:r>
              <w:rPr>
                <w:rFonts w:ascii="Arial" w:hAnsi="Arial" w:eastAsia="宋体"/>
                <w:b w:val="0"/>
                <w:i w:val="0"/>
                <w:sz w:val="19"/>
              </w:rPr>
              <w:t>NC辅助原值、配置、批次和原凭证</w:t>
            </w:r>
          </w:p>
        </w:tc>
        <w:tc>
          <w:tcPr>
            <w:tcW w:type="dxa" w:w="3585"/>
            <w:vAlign w:val="top"/>
            <w:tcMar>
              <w:top w:w="65" w:type="dxa"/>
              <w:bottom w:w="65" w:type="dxa"/>
              <w:left w:w="65" w:type="dxa"/>
              <w:right w:w="65" w:type="dxa"/>
            </w:tcMar>
          </w:tcPr>
          <w:p>
            <w:pPr>
              <w:spacing w:before="30" w:after="30" w:line="252" w:lineRule="auto"/>
            </w:pPr>
            <w:r>
              <w:rPr>
                <w:rFonts w:ascii="Arial" w:hAnsi="Arial" w:eastAsia="宋体"/>
                <w:b w:val="0"/>
                <w:i w:val="0"/>
                <w:sz w:val="19"/>
              </w:rPr>
              <w:t>核实真实对应；解释规则变化需停旧批按新配置重导</w:t>
            </w:r>
          </w:p>
        </w:tc>
      </w:tr>
      <w:tr>
        <w:trPr>
          <w:cantSplit/>
        </w:trPr>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缺共同号／双方号不一致</w:t>
            </w:r>
          </w:p>
        </w:tc>
        <w:tc>
          <w:tcPr>
            <w:tcW w:type="dxa" w:w="3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双方或单边原行、关联号和提示</w:t>
            </w:r>
          </w:p>
        </w:tc>
        <w:tc>
          <w:tcPr>
            <w:tcW w:type="dxa" w:w="35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取得合同／发票／对账依据后规范化补注并填原因</w:t>
            </w:r>
          </w:p>
        </w:tc>
      </w:tr>
      <w:tr>
        <w:trPr>
          <w:cantSplit/>
        </w:trPr>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9"/>
              </w:rPr>
              <w:t>单边、错月、币种或金额不一致</w:t>
            </w:r>
          </w:p>
        </w:tc>
        <w:tc>
          <w:tcPr>
            <w:tcW w:type="dxa" w:w="3185"/>
            <w:vAlign w:val="top"/>
            <w:tcMar>
              <w:top w:w="65" w:type="dxa"/>
              <w:bottom w:w="65" w:type="dxa"/>
              <w:left w:w="65" w:type="dxa"/>
              <w:right w:w="65" w:type="dxa"/>
            </w:tcMar>
          </w:tcPr>
          <w:p>
            <w:pPr>
              <w:spacing w:before="30" w:after="30" w:line="252" w:lineRule="auto"/>
            </w:pPr>
            <w:r>
              <w:rPr>
                <w:rFonts w:ascii="Arial" w:hAnsi="Arial" w:eastAsia="宋体"/>
                <w:b w:val="0"/>
                <w:i w:val="0"/>
                <w:sz w:val="19"/>
              </w:rPr>
              <w:t>对应双方金额、币种、月份、差额和原凭证</w:t>
            </w:r>
          </w:p>
        </w:tc>
        <w:tc>
          <w:tcPr>
            <w:tcW w:type="dxa" w:w="3585"/>
            <w:vAlign w:val="top"/>
            <w:tcMar>
              <w:top w:w="65" w:type="dxa"/>
              <w:bottom w:w="65" w:type="dxa"/>
              <w:left w:w="65" w:type="dxa"/>
              <w:right w:w="65" w:type="dxa"/>
            </w:tcMar>
          </w:tcPr>
          <w:p>
            <w:pPr>
              <w:spacing w:before="30" w:after="30" w:line="252" w:lineRule="auto"/>
            </w:pPr>
            <w:r>
              <w:rPr>
                <w:rFonts w:ascii="Arial" w:hAnsi="Arial" w:eastAsia="宋体"/>
                <w:b w:val="0"/>
                <w:i w:val="0"/>
                <w:sz w:val="19"/>
              </w:rPr>
              <w:t>回ERP核对更正；金额错误停旧批并重导，不补平</w:t>
            </w:r>
          </w:p>
        </w:tc>
      </w:tr>
      <w:tr>
        <w:trPr>
          <w:cantSplit/>
        </w:trPr>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科目余额不符</w:t>
            </w:r>
          </w:p>
        </w:tc>
        <w:tc>
          <w:tcPr>
            <w:tcW w:type="dxa" w:w="3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导入余额原行、原账累计／余额及贡献凭证</w:t>
            </w:r>
          </w:p>
        </w:tc>
        <w:tc>
          <w:tcPr>
            <w:tcW w:type="dxa" w:w="35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核期初、全期间完整性、结转口径、漏行与重复</w:t>
            </w:r>
          </w:p>
        </w:tc>
      </w:tr>
      <w:tr>
        <w:trPr>
          <w:cantSplit/>
        </w:trPr>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现金流类别歧义</w:t>
            </w:r>
          </w:p>
        </w:tc>
        <w:tc>
          <w:tcPr>
            <w:tcW w:type="dxa" w:w="3185"/>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现金原行及同凭证对方、未分类原因</w:t>
            </w:r>
          </w:p>
        </w:tc>
        <w:tc>
          <w:tcPr>
            <w:tcW w:type="dxa" w:w="3585"/>
            <w:vAlign w:val="top"/>
            <w:tcMar>
              <w:top w:w="65" w:type="dxa"/>
              <w:bottom w:w="65" w:type="dxa"/>
              <w:left w:w="65" w:type="dxa"/>
              <w:right w:w="65" w:type="dxa"/>
            </w:tcMar>
          </w:tcPr>
          <w:p>
            <w:pPr>
              <w:spacing w:before="30" w:after="30" w:line="252" w:lineRule="auto"/>
            </w:pPr>
            <w:r>
              <w:rPr>
                <w:rFonts w:ascii="Arial" w:hAnsi="Arial" w:eastAsia="宋体"/>
                <w:b w:val="0"/>
                <w:i w:val="0"/>
                <w:sz w:val="19"/>
              </w:rPr>
              <w:t>依据明确类别补现金行，混类单行需真实拆分</w:t>
            </w:r>
          </w:p>
        </w:tc>
      </w:tr>
    </w:tbl>
    <w:p>
      <w:pPr>
        <w:spacing w:after="40"/>
      </w:pPr>
    </w:p>
    <w:p>
      <w:r>
        <w:rPr>
          <w:rFonts w:ascii="Arial" w:hAnsi="Arial" w:eastAsia="宋体"/>
          <w:b w:val="0"/>
          <w:i w:val="0"/>
        </w:rPr>
        <w:t>补注只允许当前可编辑范围和期间内活动行的客商、共同号或现金类别，至少一个改项并有原因；日期、科目、金额、rawFields等不接受。混入非现金行的现金类别请求整笔拒绝。补注使依赖源／核对／匹配／自动抵销及结果失效，须重新走当前输入链。</w:t>
      </w:r>
    </w:p>
    <w:p>
      <w:r>
        <w:rPr>
          <w:rFonts w:ascii="Arial" w:hAnsi="Arial" w:eastAsia="宋体"/>
          <w:b w:val="0"/>
          <w:i w:val="0"/>
        </w:rPr>
        <w:t>当前字段追溯只返回该字段实际贡献的凭证和期初，完整同凭证行单独列，不把全法人凭证都称为该字段来源。历史结果按sourceSnapshots和ledgerSnapshot查当时凭证，不跳最新账务；历史核对资料及输入版本也应从结果快照读。当前差异清单在重新匹配时更新，需要留存当次核对证据可导出，不能假称有未实现的独立历史差异库。</w:t>
      </w:r>
    </w:p>
    <w:p>
      <w:pPr>
        <w:pStyle w:val="Heading1"/>
      </w:pPr>
      <w:bookmarkStart w:id="20" w:name="epm_20"/>
      <w:r>
        <w:rPr>
          <w:rFonts w:ascii="Arial" w:hAnsi="Arial" w:eastAsia="宋体"/>
          <w:b w:val="0"/>
          <w:i w:val="0"/>
        </w:rPr>
        <w:t>九、抵销草稿、审批和集团上卷</w:t>
      </w:r>
      <w:bookmarkEnd w:id="20"/>
    </w:p>
    <w:p>
      <w:r>
        <w:rPr>
          <w:rFonts w:ascii="Arial" w:hAnsi="Arial" w:eastAsia="宋体"/>
          <w:b w:val="0"/>
          <w:i w:val="0"/>
        </w:rPr>
        <w:t>准确匹配项生成自动草稿，销售为借收入贷成本；AR/AP为借应付贷应收，同时保留期初与期末影响。生成不等于审批，同一版本重复生成幂等；来源变化使旧草稿／审批无效，不沿用旧金额。负责人逐张或事务批审，任一校验失败整批不提交。</w:t>
      </w:r>
    </w:p>
    <w:p>
      <w:r>
        <w:rPr>
          <w:rFonts w:ascii="Arial" w:hAnsi="Arial" w:eastAsia="宋体"/>
          <w:b w:val="0"/>
          <w:i w:val="0"/>
        </w:rPr>
        <w:t>手工投资权益等仍走正式分层抵销草稿和审批。真实持股及历史投资／资本依据单独保存，不因管理范围把鸿旺当成虚构股东。集团母公司投资与子期初资本在集团层抵销，不能在只含三子法人的鸿旺层抵销集团母公司的投资。</w:t>
      </w:r>
    </w:p>
    <w:p>
      <w:r>
        <w:rPr>
          <w:rFonts w:ascii="Arial" w:hAnsi="Arial" w:eastAsia="宋体"/>
          <w:b w:val="0"/>
          <w:i w:val="0"/>
        </w:rPr>
        <w:t>Foundation开启requiresVoucherSources：正式计算每个底层法人都必须有当前有效的ERP凭证源和当前余额核对，不能用无凭证的source_import/source_save形成正式结果。外部手工销售抵销不能绕开凭证匹配；自动生成通道在服务器内部校验匹配依据，不以客户端伪造erpMatchId放行。</w:t>
      </w:r>
    </w:p>
    <w:p>
      <w:r>
        <w:rPr>
          <w:rFonts w:ascii="Arial" w:hAnsi="Arial" w:eastAsia="宋体"/>
          <w:b w:val="0"/>
          <w:i w:val="0"/>
        </w:rPr>
        <w:t>计算只读取本层有效法人源、已审批本层抵销及有效已签核下级结果。前置全部通过后计算新版本；签核只允许当前有效结果、来源指纹未变且全部检查通过。重开会解锁并使依赖祖先失效，旧金额和证据保留；小合并重做完成并不意味着集团已自动签核。</w:t>
      </w:r>
    </w:p>
    <w:p>
      <w:pPr>
        <w:pStyle w:val="Heading1"/>
      </w:pPr>
      <w:bookmarkStart w:id="21" w:name="epm_21"/>
      <w:r>
        <w:rPr>
          <w:rFonts w:ascii="Arial" w:hAnsi="Arial" w:eastAsia="宋体"/>
          <w:b w:val="0"/>
          <w:i w:val="0"/>
        </w:rPr>
        <w:t>十、源码保存、SQLite事务和版本快照</w:t>
      </w:r>
      <w:bookmarkEnd w:id="21"/>
    </w:p>
    <w:p>
      <w:r>
        <w:rPr>
          <w:rFonts w:ascii="Arial" w:hAnsi="Arial" w:eastAsia="宋体"/>
          <w:b w:val="0"/>
          <w:i w:val="0"/>
        </w:rPr>
        <w:t>SQLite以state保存当前完整业务JSON及revision，以audit保存动作、角色、时间、说明和提交版本。当前实际模型不是每个PRD业务对象都对应独立生产物理表；未来拆分需明确作为设计，不伪称已实现。</w:t>
      </w:r>
    </w:p>
    <w:p>
      <w:r>
        <w:rPr>
          <w:rFonts w:ascii="Arial" w:hAnsi="Arial" w:eastAsia="宋体"/>
          <w:b w:val="0"/>
          <w:i w:val="0"/>
        </w:rPr>
        <w:t>事务采用BEGIN IMMEDIATE：读当前revision→一致性与业务校验→整笔写state→写审计→commit。任何异常rollback；发生验证错误、权限不足、重复导入、草稿不符或版本冲突时不得留下部分写入。</w:t>
      </w:r>
    </w:p>
    <w:p>
      <w:r>
        <w:rPr>
          <w:rFonts w:ascii="Arial" w:hAnsi="Arial" w:eastAsia="宋体"/>
          <w:b w:val="0"/>
          <w:i w:val="0"/>
        </w:rPr>
        <w:t>结果保存财务源、原凭证／期初／映射、余额核对依据、汇率、成员、真实持股、抵销、下级结果ID及计算快照。当前指针与有效性分开，历史快照不覆盖；同月重新计算产生新版本并使旧引用失效。来源指纹的范围应与实际业务依赖一致，未来月输入不无故改写早期已签结果。</w:t>
      </w:r>
    </w:p>
    <w:p>
      <w:pPr>
        <w:pStyle w:val="Heading1"/>
      </w:pPr>
      <w:bookmarkStart w:id="22" w:name="epm_22"/>
      <w:r>
        <w:rPr>
          <w:rFonts w:ascii="Arial" w:hAnsi="Arial" w:eastAsia="宋体"/>
          <w:b w:val="0"/>
          <w:i w:val="0"/>
        </w:rPr>
        <w:t>十一、全模块交互与调用职责</w:t>
      </w:r>
      <w:bookmarkEnd w:id="22"/>
    </w:p>
    <w:tbl>
      <w:tblPr>
        <w:tblStyle w:val="TableGrid"/>
        <w:tblW w:type="auto" w:w="0"/>
        <w:jc w:val="center"/>
        <w:tblLayout w:type="fixed"/>
        <w:tblLook w:firstColumn="1" w:firstRow="1" w:lastColumn="0" w:lastRow="0" w:noHBand="0" w:noVBand="1" w:val="04A0"/>
      </w:tblPr>
      <w:tblGrid>
        <w:gridCol w:w="1567"/>
        <w:gridCol w:w="4012"/>
        <w:gridCol w:w="3827"/>
      </w:tblGrid>
      <w:tr>
        <w:trPr>
          <w:cantSplit/>
          <w:tblHeader w:val="true"/>
        </w:trPr>
        <w:tc>
          <w:tcPr>
            <w:tcW w:type="dxa" w:w="15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模块</w:t>
            </w:r>
          </w:p>
        </w:tc>
        <w:tc>
          <w:tcPr>
            <w:tcW w:type="dxa" w:w="40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关键输入与动作</w:t>
            </w:r>
          </w:p>
        </w:tc>
        <w:tc>
          <w:tcPr>
            <w:tcW w:type="dxa" w:w="382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保存结果／依赖</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集团经营总览</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范围、期间和有效已保存结果</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当前状态、来源版本、财务指标；空初始暂无业务</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集团组织与持股</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法人ID／编码／名称／币种、合并成员</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真实法人与管理树版本；无重复叶子与环</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科目与维度</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集团科目编码／字段／方向</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档案字典，ERP映射按法人另维护</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ERP凭证与期初</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科目映射、NC适配、期初、CSV/XLSX凭证</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原批次与活动行；不是自动在线同步</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法人凭证与三表</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法人、期间、生成、原账余额核对</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试算、财务源、余额核对及精确原凭证来源</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内部交易匹配与差异</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当前最低共同层扫描、原行补注、生成草稿</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相符项、待核差异和来源指纹</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数据接入</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当前凭证生成源及来源版本</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只读查看并转到ERP工作台，外部手工源导入403</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财务三表报送</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只读完整六区凭证源、1至当前月明细</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无手工保存入口；在ERP工作台更正及重新生成，正式输入须当前指纹和余额核对</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集团分类汇率</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opening／closing／historical及逐月average／flow</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新增率版本，关联结果失效；CNY小合并不需USD汇率</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分级合并与结果</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本层有效源／下级／抵销，计算／重开／签核</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不可变结果快照与有效性，严格逐层引用</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持股与企业合并</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真实母子、100%、历史资本及投资</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受限全资模型；与管理树分开</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内部往来核对</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对方、共同号、期初期末及凭证</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核对差异；不把相同金额认作交易证据</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抵销与调整凭证</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自动／手工草稿、类型／金额／月份、审批／停用</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实际分录和影响；草稿不入正式计算</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关账校验与签核</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源、余额、匹配、审批、财务勾稽</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仅当前有效版本签核，锁本层</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集团三张报表</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当前所选范围、结果和报表类型</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利润／资产负债／现金流及历史来源；不是菜单名强制根集团</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预算周期与审批</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集团CNY目标、提交／审批／锁定</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独立预算状态；空框架无预置业绩</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预算编制与分摊</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年度目标、量价、固定均匀／季节性月份方案和业务计划</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按当前预算版本保存；无自定义法人分配比例或月份权重维护入口，不自动写财务实绩</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预算调整与滚动预测</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调整项目／月份／理由、批准／退回</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独立变更记录及预算版本；不偷改已锁原计划</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版本与多情景</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预算复制、切换、情景</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版本隔离及比较，不替代财务结果版本</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经营差异与钻取</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当前结果、本币口径、可比预算和说明</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可比范围差异与来源，USD不和集团CNY直接混比</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管理报表中心</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选期、范围、已保存结果、导出</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带单位／期间／结果版本的报表证据</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组织权限</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演示角色、可写／配置／审批范围</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服务器能力检查；不是生产多租户认证</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审计轨迹</w:t>
            </w:r>
          </w:p>
        </w:tc>
        <w:tc>
          <w:tcPr>
            <w:tcW w:type="dxa" w:w="4012"/>
            <w:vAlign w:val="top"/>
            <w:tcMar>
              <w:top w:w="65" w:type="dxa"/>
              <w:bottom w:w="65" w:type="dxa"/>
              <w:left w:w="65" w:type="dxa"/>
              <w:right w:w="65" w:type="dxa"/>
            </w:tcMar>
          </w:tcPr>
          <w:p>
            <w:pPr>
              <w:spacing w:before="30" w:after="30" w:line="252" w:lineRule="auto"/>
            </w:pPr>
            <w:r>
              <w:rPr>
                <w:rFonts w:ascii="Arial" w:hAnsi="Arial" w:eastAsia="宋体"/>
                <w:b w:val="0"/>
                <w:i w:val="0"/>
                <w:sz w:val="19"/>
              </w:rPr>
              <w:t>已提交动作及版本</w:t>
            </w:r>
          </w:p>
        </w:tc>
        <w:tc>
          <w:tcPr>
            <w:tcW w:type="dxa" w:w="3827"/>
            <w:vAlign w:val="top"/>
            <w:tcMar>
              <w:top w:w="65" w:type="dxa"/>
              <w:bottom w:w="65" w:type="dxa"/>
              <w:left w:w="65" w:type="dxa"/>
              <w:right w:w="65" w:type="dxa"/>
            </w:tcMar>
          </w:tcPr>
          <w:p>
            <w:pPr>
              <w:spacing w:before="30" w:after="30" w:line="252" w:lineRule="auto"/>
            </w:pPr>
            <w:r>
              <w:rPr>
                <w:rFonts w:ascii="Arial" w:hAnsi="Arial" w:eastAsia="宋体"/>
                <w:b w:val="0"/>
                <w:i w:val="0"/>
                <w:sz w:val="19"/>
              </w:rPr>
              <w:t>谁在何时保存什么，失败不能伪造成功日志</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系统配置</w:t>
            </w:r>
          </w:p>
        </w:tc>
        <w:tc>
          <w:tcPr>
            <w:tcW w:type="dxa" w:w="40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公司显示名称、固定年度、运行位置</w:t>
            </w:r>
          </w:p>
        </w:tc>
        <w:tc>
          <w:tcPr>
            <w:tcW w:type="dxa" w:w="38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本机运行与安全退出；不自动创建业务法人</w:t>
            </w:r>
          </w:p>
        </w:tc>
      </w:tr>
    </w:tbl>
    <w:p>
      <w:pPr>
        <w:spacing w:after="40"/>
      </w:pPr>
    </w:p>
    <w:p>
      <w:r>
        <w:rPr>
          <w:rFonts w:ascii="Arial" w:hAnsi="Arial" w:eastAsia="宋体"/>
          <w:b w:val="0"/>
          <w:i w:val="0"/>
        </w:rPr>
        <w:t>若最终菜单分组调整，以发布导航及同版PRD覆盖矩阵为准；上述业务职责完整保留，余额核对不是重复入账的新总账。</w:t>
      </w:r>
    </w:p>
    <w:p>
      <w:pPr>
        <w:pStyle w:val="Heading1"/>
      </w:pPr>
      <w:bookmarkStart w:id="23" w:name="epm_23"/>
      <w:r>
        <w:rPr>
          <w:rFonts w:ascii="Arial" w:hAnsi="Arial" w:eastAsia="宋体"/>
          <w:b w:val="0"/>
          <w:i w:val="0"/>
        </w:rPr>
        <w:t>十二、预算和经营分析的实际口径</w:t>
      </w:r>
      <w:bookmarkEnd w:id="23"/>
    </w:p>
    <w:p>
      <w:r>
        <w:rPr>
          <w:rFonts w:ascii="Arial" w:hAnsi="Arial" w:eastAsia="宋体"/>
          <w:b w:val="0"/>
          <w:i w:val="0"/>
        </w:rPr>
        <w:t>预算独立于财务实际，编制范围为集团人民币。年度收入目标可按四层级和量价驱动维护，月份分配在均匀／固定季节性权重两种方案中选择，分摊后全年合计保持一致。当前没有自定义法人分配比例或月份权重的维护动作；兼容比例字典不构成从零已录业务。业务计划按类别保存。提交、审批、锁定及独立调整批准／退回按当前状态与角色限制执行；只读不能写，已锁计划不能直接改金额。</w:t>
      </w:r>
    </w:p>
    <w:p>
      <w:r>
        <w:rPr>
          <w:rFonts w:ascii="Arial" w:hAnsi="Arial" w:eastAsia="宋体"/>
          <w:b w:val="0"/>
          <w:i w:val="0"/>
        </w:rPr>
        <w:t>复制版本建立独立数据，切换只影响当前选定预算；调整按原因和审批保留记录。滚动预测是当前预算模块实际支持的更新／比较，不宣称已经完成所有业务预算自动驱动三张财务报表的完整生产模型。</w:t>
      </w:r>
    </w:p>
    <w:p>
      <w:r>
        <w:rPr>
          <w:rFonts w:ascii="Arial" w:hAnsi="Arial" w:eastAsia="宋体"/>
          <w:b w:val="0"/>
          <w:i w:val="0"/>
        </w:rPr>
        <w:t>经营分析使用当前展示结果的同一源快照和报表币种，法人贡献明确标“合并抵销前”，不能把这些贡献直接相加当抵销后合并数。月度实绩取该结果逐月数据，累计与单月分开。尚无输入时不画虚构业绩，不把0预算差异视作真实经营结论。</w:t>
      </w:r>
    </w:p>
    <w:p>
      <w:pPr>
        <w:pStyle w:val="Heading1"/>
      </w:pPr>
      <w:bookmarkStart w:id="24" w:name="epm_24"/>
      <w:r>
        <w:rPr>
          <w:rFonts w:ascii="Arial" w:hAnsi="Arial" w:eastAsia="宋体"/>
          <w:b w:val="0"/>
          <w:i w:val="0"/>
        </w:rPr>
        <w:t>十三、CNY/USD多层折算与已知会计边界</w:t>
      </w:r>
      <w:bookmarkEnd w:id="24"/>
    </w:p>
    <w:p>
      <w:r>
        <w:rPr>
          <w:rFonts w:ascii="Arial" w:hAnsi="Arial" w:eastAsia="宋体"/>
          <w:b w:val="0"/>
          <w:i w:val="0"/>
        </w:rPr>
        <w:t>境外法人先按本币生成有效源，在USD小合并计算和签核，再以该结果上卷CNY集团。资产负债用期末率、期初按期初率、资本历史率、逐月损益各月平均率、现金流各月流量率；累计折算差额和现金汇率影响分别计算，不混成同一差额或倒挤收入／留存。</w:t>
      </w:r>
    </w:p>
    <w:p>
      <w:r>
        <w:rPr>
          <w:rFonts w:ascii="Arial" w:hAnsi="Arial" w:eastAsia="宋体"/>
          <w:b w:val="0"/>
          <w:i w:val="0"/>
        </w:rPr>
        <w:t>缺率或下级未签时拒绝正式集团结果。本次从零鸿旺示例均CNY，不需要通过维护美元汇率去“凑平”。源报送支持精确单位，金额范围无法无损保持分时应明确拒绝，而不是先丢精度后校验。</w:t>
      </w:r>
    </w:p>
    <w:p>
      <w:r>
        <w:rPr>
          <w:rFonts w:ascii="Arial" w:hAnsi="Arial" w:eastAsia="宋体"/>
          <w:b w:val="0"/>
          <w:i w:val="0"/>
        </w:rPr>
        <w:t>现范围为2026年、100%全资全额、CNY/USD普通主体及明确映射科目和受限投资抵销。复杂收购／商誉、NCI、未实现内部存货利润、税项自动化、复杂权益／分红、多币种内部抵销及生产身份隔离等不得宣传为已完成。原ERP或其他资金／邮件系统未在线连接，文件导入不代表已获得企业ERP访问授权。</w:t>
      </w:r>
    </w:p>
    <w:p>
      <w:pPr>
        <w:pStyle w:val="Heading1"/>
      </w:pPr>
      <w:bookmarkStart w:id="25" w:name="epm_25"/>
      <w:r>
        <w:rPr>
          <w:rFonts w:ascii="Arial" w:hAnsi="Arial" w:eastAsia="宋体"/>
          <w:b w:val="0"/>
          <w:i w:val="0"/>
        </w:rPr>
        <w:t>十四、验证、重建与完整交付</w:t>
      </w:r>
      <w:bookmarkEnd w:id="25"/>
    </w:p>
    <w:p>
      <w:r>
        <w:rPr>
          <w:rFonts w:ascii="Arial" w:hAnsi="Arial" w:eastAsia="宋体"/>
          <w:b w:val="0"/>
          <w:i w:val="0"/>
        </w:rPr>
        <w:t>验证分为纯账务／计算、领域事务、真实HTTP、独立真实浏览器从零维护、原生Windows EXE运行链及文档语义／排版／下载。每类记录实际范围和源SHA，不能用旧ERP已通过报告作为本版空初始证明，不能把测试计划写成已完成。</w:t>
      </w:r>
    </w:p>
    <w:p>
      <w:r>
        <w:rPr>
          <w:rFonts w:ascii="Arial" w:hAnsi="Arial" w:eastAsia="宋体"/>
          <w:b w:val="0"/>
          <w:i w:val="0"/>
        </w:rPr>
        <w:t>必测包含：首次空业务且空范围不能算；4法人创建和实际持股；管理树不重复；48科目映射、8期初、26 NC分录与48科目余额的独立案例；余额差异到凭证、合法结转原账核对、缺号补注和金额更正重导；未核对／来源过期／未审批不许合并；签核历史不变；原目录拒写；退出重启保留。</w:t>
      </w:r>
    </w:p>
    <w:p>
      <w:r>
        <w:rPr>
          <w:rFonts w:ascii="Arial" w:hAnsi="Arial" w:eastAsia="宋体"/>
          <w:b w:val="0"/>
          <w:i w:val="0"/>
        </w:rPr>
        <w:t>示例1—5月无发生，业务集中6月，HW/CAT/ELEC收入600/200/100、成本360/120/60、费用60/20/10；内销40已结与20未结、往来20相符，合并收入840、净利270、资产470万元。母本部投资200与子期初资本200在集团层抵销后，集团资产仍470，不是再减成270。以上为独立输入预期，最终实际结果以同版验收报告为准，不能自动装进首次框架。</w:t>
      </w:r>
    </w:p>
    <w:p>
      <w:r>
        <w:rPr>
          <w:rFonts w:ascii="Arial" w:hAnsi="Arial" w:eastAsia="宋体"/>
          <w:b w:val="0"/>
          <w:i w:val="0"/>
        </w:rPr>
        <w:t>构建使用源码、前端构建脚本、Windows原生C入口和私有Windows运行环境；最终运行字节冻结后执行原生验收，文档更新仅刷新支持资料，不悄悄换运行代码。Windows/Wine实际运行与客户实体Windows真机测试分开记录，EXE未签名时如实标注。</w:t>
      </w:r>
    </w:p>
    <w:p>
      <w:r>
        <w:rPr>
          <w:rFonts w:ascii="Arial" w:hAnsi="Arial" w:eastAsia="宋体"/>
          <w:b w:val="0"/>
          <w:i w:val="0"/>
        </w:rPr>
        <w:t>每次软件版本升级完整交付PRD、系统说明、产品说明书、用户操作手册四份Word及同源PDF，本次另有专项从零图文指南、空白和已填模板。发布前校验源、真实Word XML、PDF边界及代表页、ZIP CRC和摘要，再在已授权下载分支公开并实际下载核对；master保持原样。软件ZIP自身SHA在外部记录，避免把一个ZIP最终SHA写进其自身形成循环。</w:t>
      </w:r>
    </w:p>
    <w:p>
      <w:pPr>
        <w:pStyle w:val="Heading1"/>
      </w:pPr>
      <w:bookmarkStart w:id="26" w:name="epm_26"/>
      <w:r>
        <w:rPr>
          <w:rFonts w:ascii="Arial" w:hAnsi="Arial" w:eastAsia="宋体"/>
          <w:b w:val="0"/>
          <w:i w:val="0"/>
        </w:rPr>
        <w:t>十五、运维、数据备份与故障定位</w:t>
      </w:r>
      <w:bookmarkEnd w:id="26"/>
    </w:p>
    <w:p>
      <w:r>
        <w:rPr>
          <w:rFonts w:ascii="Arial" w:hAnsi="Arial" w:eastAsia="宋体"/>
          <w:b w:val="0"/>
          <w:i w:val="0"/>
        </w:rPr>
        <w:t>关闭浏览器不会停止服务，再次双击相同EXE应复用当前有效实例。实例识别需验证随机服务身份及PID创建时间，不凭PID盲目结束其他进程。安全退出让服务停止并写完数据库；备份时复制整个已停止的数据目录，不仅复制正在WAL运行中的主文件。</w:t>
      </w:r>
    </w:p>
    <w:p>
      <w:r>
        <w:rPr>
          <w:rFonts w:ascii="Arial" w:hAnsi="Arial" w:eastAsia="宋体"/>
          <w:b w:val="0"/>
          <w:i w:val="0"/>
        </w:rPr>
        <w:t>遇到“锁定／过期”应重开、按当前来源重生成／核对／匹配／审批／计算，不删库。导入错误查实际文件名、工作表、原行、科目、币种、单位和整张完整性；金额差回ERP更正。企业排错可提供不含凭据的错误文字，私有instance.json、数据库、日志及启动token不进入公开交付。</w:t>
      </w:r>
    </w:p>
    <w:p>
      <w:r>
        <w:rPr>
          <w:rFonts w:ascii="Arial" w:hAnsi="Arial" w:eastAsia="宋体"/>
          <w:b w:val="0"/>
          <w:i w:val="0"/>
        </w:rPr>
        <w:t>新数据目录产品标识与旧库不符时拒绝写入；不以改schema字段、直接UPDATE状态或把旧库复制到新目录代替迁移。需要生产迁移和多用户部署，应另外设计身份、数据库分层、备份恢复和正式会计验收，不能将本机Demo演示角色当作生产授权方案。</w:t>
      </w:r>
    </w:p>
    <w:sectPr w:rsidR="00FC693F" w:rsidRPr="0006063C" w:rsidSect="00034616">
      <w:headerReference w:type="default" r:id="rId9"/>
      <w:footerReference w:type="default" r:id="rId10"/>
      <w:pgSz w:w="12240" w:h="15840"/>
      <w:pgMar w:top="1134" w:right="1417"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TY-EPM-SYS-FOUNDATION-001  ·  D1.0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系统研发与交互说明书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系统研发与交互说明书</dc:title>
  <dc:subject>杭州天元宠物用品有限公司：中文本机EPM Demo文档</dc:subject>
  <dc:creator>自研EPM项目文档</dc:creator>
  <cp:keywords>集团财务合并,全面预算,经营分析,多层合并,PRD,全模块,FOUNDATION-20261028,D1.0</cp:keywords>
  <dc:description>generated by python-docx</dc:description>
  <cp:lastModifiedBy/>
  <cp:revision>1</cp:revision>
  <dcterms:created xsi:type="dcterms:W3CDTF">2026-10-28T10:57:04Z</dcterms:created>
  <dcterms:modified xsi:type="dcterms:W3CDTF">2026-10-28T10:57:04Z</dcterms:modified>
  <cp:category/>
</cp:coreProperties>
</file>