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rial" w:hAnsi="Arial" w:eastAsia="宋体"/>
          <w:b/>
          <w:color w:val="1A3C6E"/>
          <w:sz w:val="64"/>
        </w:rPr>
        <w:t>自研 EPM</w:t>
      </w:r>
    </w:p>
    <w:p>
      <w:r>
        <w:rPr>
          <w:rFonts w:ascii="Arial" w:hAnsi="Arial" w:eastAsia="宋体"/>
          <w:b/>
          <w:color w:val="1A3C6E"/>
          <w:sz w:val="46"/>
        </w:rPr>
        <w:t>免 Docker 版中文系统说明书</w:t>
      </w:r>
    </w:p>
    <w:p>
      <w:r>
        <w:rPr>
          <w:rFonts w:ascii="Arial" w:hAnsi="Arial" w:eastAsia="宋体"/>
          <w:sz w:val="24"/>
        </w:rPr>
        <w:t>Windows 10/11 x64 便携研发与试用环境</w:t>
      </w:r>
    </w:p>
    <w:p>
      <w:r>
        <w:rPr>
          <w:rFonts w:ascii="Arial" w:hAnsi="Arial" w:eastAsia="宋体"/>
          <w:sz w:val="24"/>
        </w:rPr>
        <w:t>完整解压 → 双击 EXE → 自动启动 → 浏览器使用</w:t>
      </w:r>
    </w:p>
    <w:p>
      <w:r>
        <w:rPr>
          <w:rFonts w:ascii="Arial" w:hAnsi="Arial" w:eastAsia="宋体"/>
          <w:sz w:val="24"/>
        </w:rPr>
        <w:t>无需安装 Docker、主机 Python 或 WSL</w:t>
      </w:r>
    </w:p>
    <w:p>
      <w:r>
        <w:rPr>
          <w:rFonts w:ascii="Arial" w:hAnsi="Arial" w:eastAsia="宋体"/>
          <w:sz w:val="24"/>
        </w:rPr>
        <w:t>v1.1　｜　2026年10月19日</w:t>
      </w:r>
    </w:p>
    <w:p>
      <w:r>
        <w:t>首次分块版仍须联网下载内置环境；具体大小、版本及已完成测试以资产清单和随包运行验证说明为准。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80"/>
      </w:pPr>
      <w:r>
        <w:t>1. 阅读范围与交付定位</w:t>
      </w:r>
    </w:p>
    <w:p>
      <w:pPr>
        <w:spacing w:after="80"/>
      </w:pPr>
      <w:r>
        <w:t>2. 源版本、开源许可与品牌边界</w:t>
      </w:r>
    </w:p>
    <w:p>
      <w:pPr>
        <w:spacing w:after="80"/>
      </w:pPr>
      <w:r>
        <w:t>3. 系统组成与运行架构</w:t>
      </w:r>
    </w:p>
    <w:p>
      <w:pPr>
        <w:spacing w:after="80"/>
      </w:pPr>
      <w:r>
        <w:t>4. 模块能力与实施边界</w:t>
      </w:r>
    </w:p>
    <w:p>
      <w:pPr>
        <w:spacing w:after="80"/>
      </w:pPr>
      <w:r>
        <w:t>5. 用户角色、职责与权限</w:t>
      </w:r>
    </w:p>
    <w:p>
      <w:pPr>
        <w:spacing w:after="80"/>
      </w:pPr>
      <w:r>
        <w:t>6. 数据流与关键口径</w:t>
      </w:r>
    </w:p>
    <w:p>
      <w:pPr>
        <w:spacing w:after="80"/>
      </w:pPr>
      <w:r>
        <w:t>7. 源码结构与二次开发入口</w:t>
      </w:r>
    </w:p>
    <w:p>
      <w:pPr>
        <w:spacing w:after="80"/>
      </w:pPr>
      <w:r>
        <w:t>8. 运行、审计与实施限制</w:t>
      </w:r>
    </w:p>
    <w:p>
      <w:pPr>
        <w:spacing w:after="80"/>
      </w:pPr>
      <w:r>
        <w:t>9. 功能验收样例</w:t>
      </w:r>
    </w:p>
    <w:p>
      <w:pPr>
        <w:spacing w:after="80"/>
      </w:pPr>
      <w:r>
        <w:t>10. 交付文档关系</w:t>
      </w:r>
    </w:p>
    <w:p>
      <w:pPr>
        <w:spacing w:after="80"/>
      </w:pPr>
      <w:r>
        <w:t>附录：主要源码核对位置</w:t>
      </w:r>
    </w:p>
    <w:p>
      <w:r>
        <w:t>Word/WPS 可打开“视图→导航窗格”按标题定位。本文所有操作表均为可编辑 Word 表格。</w:t>
      </w:r>
    </w:p>
    <w:p>
      <w:r>
        <w:br w:type="page"/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自研集团 EPM 免 Docker 版 · 中文系统说明书</w:t>
      </w:r>
    </w:p>
    <w:p>
      <w:r>
        <w:rPr>
          <w:rFonts w:ascii="Arial" w:hAnsi="Arial" w:eastAsia="宋体"/>
          <w:b w:val="0"/>
          <w:i w:val="0"/>
        </w:rPr>
        <w:t>文档版本：1.1（免 Docker 便携版）；编制日期：2026 年 10 月 19 日。适用对象：集团财务负责人、预算负责人、实施顾问、系统管理员与研发人员。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1. 阅读范围与交付定位</w:t>
      </w:r>
    </w:p>
    <w:p>
      <w:r>
        <w:rPr>
          <w:rFonts w:ascii="Arial" w:hAnsi="Arial" w:eastAsia="宋体"/>
          <w:b w:val="0"/>
          <w:i w:val="0"/>
        </w:rPr>
        <w:t>本说明书对应基于 Konsolidat 与 Konsol 开源代码建立的集团企业绩效管理研发底座。目标业务范围为集团财务合并、集团全面预算和经营分析。软件采用包内便携 Linux 环境承担服务端计算，Windows 用户通过浏览器交互。完整解压后双击 EXE，自动显示本机进度页并准备、启动平台；电脑无需另外安装 Docker、Python 或 WSL。EXE、包内解释器、QEMU、内核及对应基础环境须配套保留，不是可以脱离其他文件单独复制的单文件程序。</w:t>
      </w:r>
    </w:p>
    <w:p>
      <w:r>
        <w:rPr>
          <w:rFonts w:ascii="Arial" w:hAnsi="Arial" w:eastAsia="宋体"/>
          <w:b w:val="0"/>
          <w:i w:val="0"/>
        </w:rPr>
        <w:t>本次文档中的功能状态统一分为三类，阅读其他交付文档也应采用同一口径。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0"/>
        <w:gridCol w:w="4298"/>
        <w:gridCol w:w="4118"/>
      </w:tblGrid>
      <w:tr>
        <w:trPr>
          <w:tblHeader w:val="true"/>
        </w:trPr>
        <w:tc>
          <w:tcPr>
            <w:tcW w:type="dxa" w:w="152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标记</w:t>
            </w:r>
          </w:p>
        </w:tc>
        <w:tc>
          <w:tcPr>
            <w:tcW w:type="dxa" w:w="429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含义</w:t>
            </w:r>
          </w:p>
        </w:tc>
        <w:tc>
          <w:tcPr>
            <w:tcW w:type="dxa" w:w="411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使用决策</w:t>
            </w:r>
          </w:p>
        </w:tc>
      </w:tr>
      <w:tr>
        <w:tc>
          <w:tcPr>
            <w:tcW w:type="dxa" w:w="152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</w:t>
            </w:r>
          </w:p>
        </w:tc>
        <w:tc>
          <w:tcPr>
            <w:tcW w:type="dxa" w:w="429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固定版本中可找到页面、DocType、接口或 SQL 模型</w:t>
            </w:r>
          </w:p>
        </w:tc>
        <w:tc>
          <w:tcPr>
            <w:tcW w:type="dxa" w:w="411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可纳入试点；是否通过当前安装包的运行验收仍需看验证记录</w:t>
            </w:r>
          </w:p>
        </w:tc>
      </w:tr>
      <w:tr>
        <w:tc>
          <w:tcPr>
            <w:tcW w:type="dxa" w:w="152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二开设计</w:t>
            </w:r>
          </w:p>
        </w:tc>
        <w:tc>
          <w:tcPr>
            <w:tcW w:type="dxa" w:w="429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中文研发需求规格说明书提出的本地化、产品化或业务扩展</w:t>
            </w:r>
          </w:p>
        </w:tc>
        <w:tc>
          <w:tcPr>
            <w:tcW w:type="dxa" w:w="411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需要研发实现与测试，不能当作本次安装后已存在的按钮</w:t>
            </w:r>
          </w:p>
        </w:tc>
      </w:tr>
      <w:tr>
        <w:tc>
          <w:tcPr>
            <w:tcW w:type="dxa" w:w="152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待业务确认</w:t>
            </w:r>
          </w:p>
        </w:tc>
        <w:tc>
          <w:tcPr>
            <w:tcW w:type="dxa" w:w="429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依赖集团制度、会计政策、ERP 数据及外部系统授权</w:t>
            </w:r>
          </w:p>
        </w:tc>
        <w:tc>
          <w:tcPr>
            <w:tcW w:type="dxa" w:w="411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完成访谈和样本验算后再确定实施口径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附件《PRD_SCM生产管理模块_v1.7.docx》仅用于参考需求文档的组织方式与字段描述颗粒度。生产订单、BOM、派工单等内容没有被当作 EPM 业务需求移植。反向研发文档是对源系统的证据化说明以及自研目标的设计基线，不代表新需求已经自动开发完成。</w:t>
      </w:r>
    </w:p>
    <w:p>
      <w:r>
        <w:rPr>
          <w:rFonts w:ascii="Arial" w:hAnsi="Arial" w:eastAsia="宋体"/>
          <w:b w:val="0"/>
          <w:i w:val="0"/>
        </w:rPr>
        <w:t>平台适合作为自研起点与受控试点，正式出具集团财务报表前，应完成会计政策、期初余额、组织范围、币种、内部交易、并购处置及权限的专项验收。数据库有数据、构建成功和会计结果正确分别是不同的验收层次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2. 源版本、开源许可与品牌边界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84"/>
        <w:gridCol w:w="3570"/>
        <w:gridCol w:w="4082"/>
      </w:tblGrid>
      <w:tr>
        <w:trPr>
          <w:tblHeader w:val="true"/>
        </w:trPr>
        <w:tc>
          <w:tcPr>
            <w:tcW w:type="dxa" w:w="228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项目</w:t>
            </w:r>
          </w:p>
        </w:tc>
        <w:tc>
          <w:tcPr>
            <w:tcW w:type="dxa" w:w="357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固定版本</w:t>
            </w:r>
          </w:p>
        </w:tc>
        <w:tc>
          <w:tcPr>
            <w:tcW w:type="dxa" w:w="4082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主要用途</w:t>
            </w:r>
          </w:p>
        </w:tc>
      </w:tr>
      <w:tr>
        <w:tc>
          <w:tcPr>
            <w:tcW w:type="dxa" w:w="2284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grynn-in/konsolidat</w:t>
            </w:r>
          </w:p>
        </w:tc>
        <w:tc>
          <w:tcPr>
            <w:tcW w:type="dxa" w:w="3570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99d7c5a3b08c82034cc26eced1fbb95eaafec12b</w:t>
            </w:r>
          </w:p>
        </w:tc>
        <w:tc>
          <w:tcPr>
            <w:tcW w:type="dxa" w:w="4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ClickHouse 数据仓库、dbt 合并与预算模型、上游部署材料与文档；本免 Docker 包另行封装运行方式</w:t>
            </w:r>
          </w:p>
        </w:tc>
      </w:tr>
      <w:tr>
        <w:tc>
          <w:tcPr>
            <w:tcW w:type="dxa" w:w="2284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grynn-in/konsol</w:t>
            </w:r>
          </w:p>
        </w:tc>
        <w:tc>
          <w:tcPr>
            <w:tcW w:type="dxa" w:w="3570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d2d71efdb1f198610d711f656b8373ac0c9cd0c4</w:t>
            </w:r>
          </w:p>
        </w:tc>
        <w:tc>
          <w:tcPr>
            <w:tcW w:type="dxa" w:w="408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Frappe 业务应用、Close 页面、权限工作流、预算填报、Excel 插件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上游主仓库地址为 </w:t>
      </w:r>
      <w:r>
        <w:rPr>
          <w:rFonts w:ascii="Consolas" w:hAnsi="Consolas" w:eastAsia="宋体"/>
          <w:b w:val="0"/>
          <w:i w:val="0"/>
          <w:sz w:val="18"/>
        </w:rPr>
        <w:t>https://github.com/grynn-in/konsolidat</w:t>
      </w:r>
      <w:r>
        <w:rPr>
          <w:rFonts w:ascii="Arial" w:hAnsi="Arial" w:eastAsia="宋体"/>
          <w:b w:val="0"/>
          <w:i w:val="0"/>
        </w:rPr>
        <w:t xml:space="preserve">，业务应用地址为 </w:t>
      </w:r>
      <w:r>
        <w:rPr>
          <w:rFonts w:ascii="Consolas" w:hAnsi="Consolas" w:eastAsia="宋体"/>
          <w:b w:val="0"/>
          <w:i w:val="0"/>
          <w:sz w:val="18"/>
        </w:rPr>
        <w:t>https://github.com/grynn-in/konsol</w:t>
      </w:r>
      <w:r>
        <w:rPr>
          <w:rFonts w:ascii="Arial" w:hAnsi="Arial" w:eastAsia="宋体"/>
          <w:b w:val="0"/>
          <w:i w:val="0"/>
        </w:rPr>
        <w:t>。固定提交号用于复现本次分析；上游最新分支可能已经变化，升级前应重新执行兼容性和会计结果回归。说明书以固定版本实际 JSON、Python、Vue 与 SQL 文件为依据，上游较早的架构图或 DocType 列表存在历史名称，不能覆盖现行代码。</w:t>
      </w:r>
    </w:p>
    <w:p>
      <w:r>
        <w:rPr>
          <w:rFonts w:ascii="Arial" w:hAnsi="Arial" w:eastAsia="宋体"/>
          <w:b w:val="0"/>
          <w:i w:val="0"/>
        </w:rPr>
        <w:t xml:space="preserve">Konsolidat 根目录 </w:t>
      </w:r>
      <w:r>
        <w:rPr>
          <w:rFonts w:ascii="Consolas" w:hAnsi="Consolas" w:eastAsia="宋体"/>
          <w:b w:val="0"/>
          <w:i w:val="0"/>
          <w:sz w:val="18"/>
        </w:rPr>
        <w:t>LICENSE</w:t>
      </w:r>
      <w:r>
        <w:rPr>
          <w:rFonts w:ascii="Arial" w:hAnsi="Arial" w:eastAsia="宋体"/>
          <w:b w:val="0"/>
          <w:i w:val="0"/>
        </w:rPr>
        <w:t xml:space="preserve"> 为 MIT 许可证；Konsol 的 </w:t>
      </w:r>
      <w:r>
        <w:rPr>
          <w:rFonts w:ascii="Consolas" w:hAnsi="Consolas" w:eastAsia="宋体"/>
          <w:b w:val="0"/>
          <w:i w:val="0"/>
          <w:sz w:val="18"/>
        </w:rPr>
        <w:t>hooks.py</w:t>
      </w:r>
      <w:r>
        <w:rPr>
          <w:rFonts w:ascii="Arial" w:hAnsi="Arial" w:eastAsia="宋体"/>
          <w:b w:val="0"/>
          <w:i w:val="0"/>
        </w:rPr>
        <w:t xml:space="preserve"> 中声明 </w:t>
      </w:r>
      <w:r>
        <w:rPr>
          <w:rFonts w:ascii="Consolas" w:hAnsi="Consolas" w:eastAsia="宋体"/>
          <w:b w:val="0"/>
          <w:i w:val="0"/>
          <w:sz w:val="18"/>
        </w:rPr>
        <w:t>app_license = "MIT"</w:t>
      </w:r>
      <w:r>
        <w:rPr>
          <w:rFonts w:ascii="Arial" w:hAnsi="Arial" w:eastAsia="宋体"/>
          <w:b w:val="0"/>
          <w:i w:val="0"/>
        </w:rPr>
        <w:t>，但该固定提交未发现独立仓库级 LICENSE 文本，商业化再分发前应向权利方确认完整授权，不能用主仓库 MIT 自动覆盖配套应用。分发包应保留实际取得的许可证与版权声明，并继续核对 Frappe、QEMU、数据库、Linux 发行组件、字体及 Excel 相关组件各自的许可证。MIT 允许使用、修改和再分发相应代码，但要求在副本或实质部分中保留版权与许可文本；依赖组件的义务不能因为启动器换名而消失。</w:t>
      </w:r>
    </w:p>
    <w:p>
      <w:r>
        <w:rPr>
          <w:rFonts w:ascii="Arial" w:hAnsi="Arial" w:eastAsia="宋体"/>
          <w:b w:val="0"/>
          <w:i w:val="0"/>
        </w:rPr>
        <w:t>“自研 EPM”可作为项目内部品牌与二次开发产品名称。自研范围应明确为中文业务方案、部署封装、界面改造、扩展代码、模板、集成和实施配置。不能声称上游原有代码全部由本项目独立原创，也不应删除上游归属。是否注册商标、以何主体对外销售及分发哪些依赖，由项目方在产品发布前确认。此次交付不构成对会计准则、信息安全认证或商业软件等价性的承诺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3. 系统组成与运行架构</w:t>
      </w:r>
    </w:p>
    <w:p>
      <w:r>
        <w:rPr>
          <w:rFonts w:ascii="Arial" w:hAnsi="Arial" w:eastAsia="宋体"/>
          <w:b w:val="0"/>
          <w:i w:val="0"/>
        </w:rPr>
        <w:t>平台的核心关系如下。用户通过浏览器进入 Frappe Desk 或 Close 应用；Excel 作为可选填报和报表客户端。业务元数据、用户、审批单据存放于 MariaDB；财务分析事实与计算结果存放于 ClickHouse；dbt 负责按配置将原始数据转为可查询结果；后台工作进程处理构建、同步及周期任务。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6"/>
        <w:gridCol w:w="3830"/>
        <w:gridCol w:w="3830"/>
      </w:tblGrid>
      <w:tr>
        <w:trPr>
          <w:tblHeader w:val="true"/>
        </w:trPr>
        <w:tc>
          <w:tcPr>
            <w:tcW w:type="dxa" w:w="2276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组件</w:t>
            </w:r>
          </w:p>
        </w:tc>
        <w:tc>
          <w:tcPr>
            <w:tcW w:type="dxa" w:w="383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职责</w:t>
            </w:r>
          </w:p>
        </w:tc>
        <w:tc>
          <w:tcPr>
            <w:tcW w:type="dxa" w:w="383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对业务人员的意义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Windows EXE 启动器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调用包内运行时，自动准备内置环境、显示本机进度、打开业务入口及安全关机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无需主机安装 Docker、Python 或 WSL；首次分块版需联网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便携 QEMU 与 Linux 环境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软件模拟完整 Linux；MariaDB、Redis、ClickHouse、Frappe、Cube 等以原生服务运行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无需进入虚拟机命令行，业务服务随平台启动；软件模拟性能需按实际电脑评估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Nginx 与本机转发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客体网页入口通过 QEMU 转发至 Windows 回环地址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仅本机浏览器入口，不能默认作为局域网多用户服务器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Frappe / Konsol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登录、角色、组织权限、基础档案、预算、审批与 Close API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主要业务应用与管理控制层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MariaDB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保存 Frappe 文档、用户、工作流与配置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业务操作记录和管理元数据的主存储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Redis 与后台 Worker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缓存、队列、长任务与定时调度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导入完成后还需等待后台计算结束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ClickHouse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原始 TB、配置同步表及财务分析模型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支持多实体、多期和多维汇总查询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dbt Core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SQL 模型、数据质量断言、构建依赖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执行折算、抵销、预算汇总和经营分析计算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Excel Add-in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固定源码含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K.EPM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 等函数、会话登录和预算回写基础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本便携包的 Excel 清单、连接与目标 Office 版本仍需单独配置验收；不把网页可用当作插件可用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ERP Connector 与可选外部采集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源码提供 ERP 采集适配基础，Airbyte 等独立集成另行配置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需真实数据源、网络与授权；手工 TB 试点无需先接入 ERP；不宣称包内已部署所有外部采集产品</w:t>
            </w:r>
          </w:p>
        </w:tc>
      </w:tr>
      <w:tr>
        <w:tc>
          <w:tcPr>
            <w:tcW w:type="dxa" w:w="2276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Cube 语义接口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在客体内提供配套语义分析服务</w:t>
            </w:r>
          </w:p>
        </w:tc>
        <w:tc>
          <w:tcPr>
            <w:tcW w:type="dxa" w:w="383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服务就绪以运行配置和验证记录为准，不以组件存在推定完整中文 BI 已实现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 xml:space="preserve">本机业务入口优先使用 </w:t>
      </w:r>
      <w:r>
        <w:rPr>
          <w:rFonts w:ascii="Consolas" w:hAnsi="Consolas" w:eastAsia="宋体"/>
          <w:b w:val="0"/>
          <w:i w:val="0"/>
          <w:sz w:val="18"/>
        </w:rPr>
        <w:t>http://127.0.0.1:18480/</w:t>
      </w:r>
      <w:r>
        <w:rPr>
          <w:rFonts w:ascii="Arial" w:hAnsi="Arial" w:eastAsia="宋体"/>
          <w:b w:val="0"/>
          <w:i w:val="0"/>
        </w:rPr>
        <w:t>，端口占用时自动选择其他回环端口；启动进度页另用随机本机端口，应以启动器实际打开的地址为准。Windows 只转发网页入口，数据库和其他后台服务不默认向宿主或局域网开放。进度页按钮为“打开平台”“查看本机登录信息”“打开数据位置”“重试失败步骤”“安全退出（保留数据）”，无需编号菜单。关闭浏览器不会停止平台，应使用安全退出并等待正常关机。建议电脑至少 16GB 内存，为初次准备和业务增长留出 30–40GB 或更多空间；内置环境默认约 6GB 内存、2个模拟CPU。首次下载量以资产清单和启动页为准。按本轮 TCG 纯软件模拟、2 CPU、6GB 内存的测试条件，首次建站可能需要约 10–30 分钟，不能按秒开预期；该范围仅供等待参考，最终以随包验证报告的实际计时为准，性能较低时可能更久。后续启动复用已有站点和数据，通常较快，仍需完成就绪检查。</w:t>
      </w:r>
    </w:p>
    <w:p>
      <w:r>
        <w:rPr>
          <w:rFonts w:ascii="Arial" w:hAnsi="Arial" w:eastAsia="宋体"/>
          <w:b w:val="0"/>
          <w:i w:val="0"/>
        </w:rPr>
        <w:t xml:space="preserve">业务数据默认位于 </w:t>
      </w:r>
      <w:r>
        <w:rPr>
          <w:rFonts w:ascii="Consolas" w:hAnsi="Consolas" w:eastAsia="宋体"/>
          <w:b w:val="0"/>
          <w:i w:val="0"/>
          <w:sz w:val="18"/>
        </w:rPr>
        <w:t>%LOCALAPPDATA%\SelfDevelopedEPM\data</w:t>
      </w:r>
      <w:r>
        <w:rPr>
          <w:rFonts w:ascii="Arial" w:hAnsi="Arial" w:eastAsia="宋体"/>
          <w:b w:val="0"/>
          <w:i w:val="0"/>
        </w:rPr>
        <w:t xml:space="preserve">。即使程序解压在 D 盘，默认业务数据也仍位于当前用户本地应用数据所在盘。基础盘、可写业务盘、种子和元数据必须完整备份；不得只复制 EXE 或仅复制 </w:t>
      </w:r>
      <w:r>
        <w:rPr>
          <w:rFonts w:ascii="Consolas" w:hAnsi="Consolas" w:eastAsia="宋体"/>
          <w:b w:val="0"/>
          <w:i w:val="0"/>
          <w:sz w:val="18"/>
        </w:rPr>
        <w:t>disk.qcow2</w:t>
      </w:r>
      <w:r>
        <w:rPr>
          <w:rFonts w:ascii="Arial" w:hAnsi="Arial" w:eastAsia="宋体"/>
          <w:b w:val="0"/>
          <w:i w:val="0"/>
        </w:rPr>
        <w:t>。</w:t>
      </w:r>
    </w:p>
    <w:p>
      <w:r>
        <w:rPr>
          <w:rFonts w:ascii="Arial" w:hAnsi="Arial" w:eastAsia="宋体"/>
          <w:b w:val="0"/>
          <w:i w:val="0"/>
        </w:rPr>
        <w:t>Microsoft Excel、ERP 服务、QEMU 和 Linux 发行组件均有各自的使用条件与授权。当前包提供本机浏览器试用；Windows Excel 插件、ODBC、外部ERP连接及正式多用户部署需单独配置与验收。生产建议部署到受控服务器，由用户电脑通过正式入口连接，避免每位业务人员各自维护一套独立账务数据库。</w:t>
      </w:r>
    </w:p>
    <w:p>
      <w:r>
        <w:rPr>
          <w:rFonts w:ascii="Arial" w:hAnsi="Arial" w:eastAsia="宋体"/>
          <w:b w:val="0"/>
          <w:i w:val="0"/>
        </w:rPr>
        <w:t>源业务界面仍以英文为主，本说明书提供中文解释，不声称源平台已经全界面汉化。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本版首次初始化适配与中断处理</w:t>
      </w:r>
    </w:p>
    <w:p>
      <w:r>
        <w:rPr>
          <w:rFonts w:ascii="Arial" w:hAnsi="Arial" w:eastAsia="宋体"/>
          <w:b w:val="0"/>
          <w:i w:val="0"/>
        </w:rPr>
        <w:t>本版首次站点尚无维度时，会补入随发行配置的 Business Unit（业务单元）、Cost Center（成本中心）、Department（部门）三项维度并进行一次初始字段架构同步；若已有维度则保留其定义。这是本次便携部署新增的初始化适配，不是上游固定源码开箱已有配置，也不插入集团、实体、科目或财务示例明细。成本中心与部门默认纳入预算，业务单元默认不纳入预算；正式维度粒度仍须由集团确认并受控维护。</w:t>
      </w:r>
    </w:p>
    <w:p>
      <w:r>
        <w:rPr>
          <w:rFonts w:ascii="Arial" w:hAnsi="Arial" w:eastAsia="宋体"/>
          <w:b w:val="0"/>
          <w:i w:val="0"/>
        </w:rPr>
        <w:t>首次核心建站中断时，仅在存在本机登记的未完成初始化记录且满足安全条件下，程序会保留旧的未完成资料并尝试安全恢复。已经就绪的业务库不会自动重置；无恢复记录、超出恢复范围或持续失败时会保留数据并报错，需要查看日志排查。不要把此机制理解为任意故障都能自动恢复，更不要手工删除业务盘或重置种子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4. 模块能力与实施边界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4.1 集团财务合并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4478"/>
        <w:gridCol w:w="3858"/>
      </w:tblGrid>
      <w:tr>
        <w:trPr>
          <w:tblHeader w:val="true"/>
        </w:trPr>
        <w:tc>
          <w:tcPr>
            <w:tcW w:type="dxa" w:w="160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能力</w:t>
            </w:r>
          </w:p>
        </w:tc>
        <w:tc>
          <w:tcPr>
            <w:tcW w:type="dxa" w:w="447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固定版本证据与状态</w:t>
            </w:r>
          </w:p>
        </w:tc>
        <w:tc>
          <w:tcPr>
            <w:tcW w:type="dxa" w:w="385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实施说明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组织与合并范围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Entity、Consolidation Group、Ownership Period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法人组织树、管理组织树与合并层级需分别设计；组织存在不代表纳入当期合并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期间与关账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EPM Fiscal Year、期间状态、Close Settings、Sign-off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明确第一关账期、月报或季报、期初与调整期间；签字与关闭期间是两个动作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手工 TB 导入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Trial Balance Submission / Upload 及 Close 导入接口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适合无 ERP 连接的初期试点；要求币种、金额口径、科目与维度一致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多币种折算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源码已有集团批准汇率、历史权益汇率和折算 SQL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资产负债、损益和权益折算方法由已发布集团科目声明决定；缺少受控汇率会阻断构建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内部往来对账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Intercompany Account、对手方、差异与退回记录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需发布内部往来科目并声明差异容限；没有配置与“集团没有内部交易”是不同状态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内部交易抵销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源码已有余额抵销与未实现利润规则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科目、实体模式、存货与毛利数据需验算；不能把所有未匹配差额自动解释为可抵销余额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合并调整分录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Consolidation Journal 与审批、冲回字段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分录借贷平衡、报告币种、实体范围和审批分工需落实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并购与处置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Business Combination / Disposal 及相关模型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需专项验证购买日、处置日、对价、公允价值及商誉；复杂重组不能直接套示例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少数股东及 CTA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源码已有归属拆分与折算差额模型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用合成案例与会计手工计算双向核对，不以模型名称代替会计政策确认</w:t>
            </w:r>
          </w:p>
        </w:tc>
      </w:tr>
      <w:tr>
        <w:tc>
          <w:tcPr>
            <w:tcW w:type="dxa" w:w="160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财务报表与检查</w:t>
            </w:r>
          </w:p>
        </w:tc>
        <w:tc>
          <w:tcPr>
            <w:tcW w:type="dxa" w:w="447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Numbers、Checks、断言和报表导出相关接口</w:t>
            </w:r>
          </w:p>
        </w:tc>
        <w:tc>
          <w:tcPr>
            <w:tcW w:type="dxa" w:w="3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中国准则报表格式、附注、监管报送及签章属于二开设计或待确认事项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集团合并数据至少包含实体层、内部交易抵销层、折算差额层和合并调整层。层次被保留是为了追溯最终结果的来源。应要求管理报表能够解释“该合并数由哪些实体、哪些调整组成”，不能只核对最终报表总额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4.2 全面预算与预测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9"/>
        <w:gridCol w:w="4271"/>
        <w:gridCol w:w="4085"/>
      </w:tblGrid>
      <w:tr>
        <w:trPr>
          <w:tblHeader w:val="true"/>
        </w:trPr>
        <w:tc>
          <w:tcPr>
            <w:tcW w:type="dxa" w:w="1579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能力</w:t>
            </w:r>
          </w:p>
        </w:tc>
        <w:tc>
          <w:tcPr>
            <w:tcW w:type="dxa" w:w="427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状态</w:t>
            </w:r>
          </w:p>
        </w:tc>
        <w:tc>
          <w:tcPr>
            <w:tcW w:type="dxa" w:w="408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实施说明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场景及预算年度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Scenario、Budget Cycle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预算、预测可使用不同场景编码；实际数据不能通过 Budget Cycle 录入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分层协同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base、challenge、management、board 四层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各层以增量相加形成有效预算，并非后层覆盖前层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月度预算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Budget Sheet → Budget Line，固定 P01–P12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成本中心、部门等字段由已发布预算维度动态扩展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锁定与撤回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源码已有周期 Submit / Cancel 锁定门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开放期在 Frappe 编辑；锁定后同步到分析库；修改需正式撤回与重新锁定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年度分摊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Spread Profile 与 dbt 分摊设计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宽表手工月度输入与年度分摊来源应避免重复装载；分摊权重由实施配置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Excel 回写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源码已有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K.EPMSAVE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 与批量保存 API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重算可能触发保存；填报模板应区分输入单元格和展示单元格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预测场景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源码已有 forecast 场景基础与同一填报链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自动滚动窗口、锁实调预、驱动预测任务包不能仅由场景字段推定已完善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业务预算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销售、生产、采购、人力、资金与资本开支全链模板为二开设计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当前财务账户加维度预算底座需要结合集团业务驱动补充</w:t>
            </w:r>
          </w:p>
        </w:tc>
      </w:tr>
      <w:tr>
        <w:tc>
          <w:tcPr>
            <w:tcW w:type="dxa" w:w="1579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逐级逐人审批</w:t>
            </w:r>
          </w:p>
        </w:tc>
        <w:tc>
          <w:tcPr>
            <w:tcW w:type="dxa" w:w="427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当前核心预算锁定门在周期层</w:t>
            </w:r>
          </w:p>
        </w:tc>
        <w:tc>
          <w:tcPr>
            <w:tcW w:type="dxa" w:w="408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部门上报、驳回、会签、转授权、逐表审批与任意层级流程属于二开范围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“全面预算”在项目目标中包含业务预算、财务预算及管理流程；上游已有预算底座不等于目标范围已经全部交付。第一阶段建议以费用和资本开支试点，验证组织权限、四层协同、月度锁定、预实分析，再接入数量、单价、产能和人员等驱动因素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4.3 经营分析</w:t>
      </w:r>
    </w:p>
    <w:p>
      <w:r>
        <w:rPr>
          <w:rFonts w:ascii="Arial" w:hAnsi="Arial" w:eastAsia="宋体"/>
          <w:b w:val="0"/>
          <w:i w:val="0"/>
        </w:rPr>
        <w:t>源码提供实际、预算、差异、同比与累计等分析基础，Excel 函数和 API 可按实体、期间、科目、场景、维度、汇报层级取数。预实差额通常按“实际减预算”表达，费用和收入的有利方向不同。报表应同步展示金额单位、币种、数据版本、组织范围、刷新时间和符号约定。</w:t>
      </w:r>
    </w:p>
    <w:p>
      <w:r>
        <w:rPr>
          <w:rFonts w:ascii="Arial" w:hAnsi="Arial" w:eastAsia="宋体"/>
          <w:b w:val="0"/>
          <w:i w:val="0"/>
        </w:rPr>
        <w:t>领导驾驶舱、移动端、自助拖拽分析、经营会材料模板、指标预警、行业经营指标库、预算执行承诺控制等内容应以研发需求规格说明书列出的状态为准。不要把上游存在分析数据表解释为现成的完整中文 BI 套件。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5. 用户角色、职责与权限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4"/>
        <w:gridCol w:w="2305"/>
        <w:gridCol w:w="2541"/>
        <w:gridCol w:w="3735"/>
      </w:tblGrid>
      <w:tr>
        <w:trPr>
          <w:tblHeader w:val="true"/>
        </w:trPr>
        <w:tc>
          <w:tcPr>
            <w:tcW w:type="dxa" w:w="135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用户职责</w:t>
            </w:r>
          </w:p>
        </w:tc>
        <w:tc>
          <w:tcPr>
            <w:tcW w:type="dxa" w:w="230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代码角色</w:t>
            </w:r>
          </w:p>
        </w:tc>
        <w:tc>
          <w:tcPr>
            <w:tcW w:type="dxa" w:w="254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主要工作</w:t>
            </w:r>
          </w:p>
        </w:tc>
        <w:tc>
          <w:tcPr>
            <w:tcW w:type="dxa" w:w="373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权限核对重点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集团关账负责人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EPM Admin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运行关账、审批、签字、管理构建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与制单人分离；自批政策明确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集团会计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EPM Analyst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草拟调整、汇率、持股、内部交易，申请构建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可以起草不表示可以最终批准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子公司会计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Entity Accountant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自有实体 TB 报送、基础预算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Close 页面通常只提供 My work 与 Trial balances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报表阅览人员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EPM User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查看授权实体、报表与关账状态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阅读权限也受实体范围限制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部门预算填报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Submitter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编辑 base 层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Entity Accountant 在当前代码中兼容基础层填报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预算控制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Controller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编辑 challenge 层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调整输入差额，避免覆盖基础预算逻辑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预算管理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Manager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编辑 management 层、锁定周期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锁定是整场景年度的边界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预算批准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Budget Approver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编辑 board 层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董事会调整仍为独立增量</w:t>
            </w:r>
          </w:p>
        </w:tc>
      </w:tr>
      <w:tr>
        <w:tc>
          <w:tcPr>
            <w:tcW w:type="dxa" w:w="1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平台管理员</w:t>
            </w:r>
          </w:p>
        </w:tc>
        <w:tc>
          <w:tcPr>
            <w:tcW w:type="dxa" w:w="230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System Manager</w:t>
            </w:r>
          </w:p>
        </w:tc>
        <w:tc>
          <w:tcPr>
            <w:tcW w:type="dxa" w:w="254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用户、技术配置与紧急维护</w:t>
            </w:r>
          </w:p>
        </w:tc>
        <w:tc>
          <w:tcPr>
            <w:tcW w:type="dxa" w:w="373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权限很高，不用于日常财务填报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角色控制“能做什么”，User Permission 与 Entity 授权控制“能看哪些组织”。组织树权限可向下扩展，分配区域节点时应检查是否包含全部下级子公司。测试必须包含列表、单据直链、API、Excel、导出和附件，防止只隐藏菜单而数据仍可读取。源码已有实体权限钩子和内部往来遮罩，仍需用本集团权限矩阵验收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6. 数据流与关键口径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6.1 从报送到合并</w:t>
      </w:r>
    </w:p>
    <w:p>
      <w:r>
        <w:rPr>
          <w:rFonts w:ascii="Arial" w:hAnsi="Arial" w:eastAsia="宋体"/>
          <w:b w:val="0"/>
          <w:i w:val="0"/>
        </w:rPr>
        <w:t>子公司先将本地 ERP 科目与集团科目对应，形成集团接受的 TB 文件；或者通过 Connector 将 ERP 数据抽取到原始区。导入服务校验已发布科目、金额、币种、对手方与声明维度，提交后形成可追溯批次。受控构建依次标准化数据、应用组织持股和汇率、执行抵销与调整、形成最终合并模型，再运行关账检查并签字关闭期间。</w:t>
      </w:r>
    </w:p>
    <w:p>
      <w:r>
        <w:rPr>
          <w:rFonts w:ascii="Arial" w:hAnsi="Arial" w:eastAsia="宋体"/>
          <w:b w:val="0"/>
          <w:i w:val="0"/>
        </w:rPr>
        <w:t>同一实体期间替换 TB 应通过系统的替换或撤回机制，不能直接往数据库追加第二套余额。Period movement、Year-to-date movement、Period-end balance 三种金额口径不可混用；第一期历史装载、期初与资产负债结转由实施顾问制定明确方案。TB 平衡也不能证明流量和余额口径正确。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6.2 从预算输入到预实分析</w:t>
      </w:r>
    </w:p>
    <w:p>
      <w:r>
        <w:rPr>
          <w:rFonts w:ascii="Arial" w:hAnsi="Arial" w:eastAsia="宋体"/>
          <w:b w:val="0"/>
          <w:i w:val="0"/>
        </w:rPr>
        <w:t>Scenario 定义预算或预测场景，Budget Cycle 定义该场景和年度的锁定边界，Budget Sheet 按实体和层保存，Budget Line 按科目及预算维度保存十二个月金额。锁定后按月转换为分析明细，再聚合四层形成有效预算。预实比较需同时约束实体、年度、期间、币种、科目、维度和预算场景，遗漏场景编码可能把多个版本相加。</w:t>
      </w:r>
    </w:p>
    <w:p>
      <w:pPr>
        <w:pStyle w:val="Heading2"/>
      </w:pPr>
      <w:r>
        <w:rPr>
          <w:rFonts w:ascii="Arial" w:hAnsi="Arial" w:eastAsia="宋体"/>
          <w:b w:val="0"/>
          <w:i w:val="0"/>
        </w:rPr>
        <w:t>6.3 必须书面确定的口径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938"/>
        <w:gridCol w:w="4354"/>
      </w:tblGrid>
      <w:tr>
        <w:trPr>
          <w:tblHeader w:val="true"/>
        </w:trPr>
        <w:tc>
          <w:tcPr>
            <w:tcW w:type="dxa" w:w="164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主题</w:t>
            </w:r>
          </w:p>
        </w:tc>
        <w:tc>
          <w:tcPr>
            <w:tcW w:type="dxa" w:w="393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应确认的问题</w:t>
            </w:r>
          </w:p>
        </w:tc>
        <w:tc>
          <w:tcPr>
            <w:tcW w:type="dxa" w:w="435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未确认的影响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报告币种</w:t>
            </w:r>
          </w:p>
        </w:tc>
        <w:tc>
          <w:tcPr>
            <w:tcW w:type="dxa" w:w="39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人民币或其他币种；报表展示元、万元还是百万元</w:t>
            </w:r>
          </w:p>
        </w:tc>
        <w:tc>
          <w:tcPr>
            <w:tcW w:type="dxa" w:w="4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汇率方向、舍入和金额解释不一致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科目符号</w:t>
            </w:r>
          </w:p>
        </w:tc>
        <w:tc>
          <w:tcPr>
            <w:tcW w:type="dxa" w:w="39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源数据借贷分列；收入和费用展示正负</w:t>
            </w:r>
          </w:p>
        </w:tc>
        <w:tc>
          <w:tcPr>
            <w:tcW w:type="dxa" w:w="4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利润率和差异方向可能被读反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合并范围</w:t>
            </w:r>
          </w:p>
        </w:tc>
        <w:tc>
          <w:tcPr>
            <w:tcW w:type="dxa" w:w="39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控制权、生效日期、持股与会计方法</w:t>
            </w:r>
          </w:p>
        </w:tc>
        <w:tc>
          <w:tcPr>
            <w:tcW w:type="dxa" w:w="4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缺失实体、错误 NCI 或重复并表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非自然年度</w:t>
            </w:r>
          </w:p>
        </w:tc>
        <w:tc>
          <w:tcPr>
            <w:tcW w:type="dxa" w:w="39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十二月、十三期或 4-4-5 日历</w:t>
            </w:r>
          </w:p>
        </w:tc>
        <w:tc>
          <w:tcPr>
            <w:tcW w:type="dxa" w:w="4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合并日历虽有相应字段，预算宽表仍是十二列，需二开适配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重大性</w:t>
            </w:r>
          </w:p>
        </w:tc>
        <w:tc>
          <w:tcPr>
            <w:tcW w:type="dxa" w:w="39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内部往来容限、差异说明阈值、舍入规则</w:t>
            </w:r>
          </w:p>
        </w:tc>
        <w:tc>
          <w:tcPr>
            <w:tcW w:type="dxa" w:w="4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关账警告与阻断缺乏依据</w:t>
            </w:r>
          </w:p>
        </w:tc>
      </w:tr>
      <w:tr>
        <w:tc>
          <w:tcPr>
            <w:tcW w:type="dxa" w:w="164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数据保留</w:t>
            </w:r>
          </w:p>
        </w:tc>
        <w:tc>
          <w:tcPr>
            <w:tcW w:type="dxa" w:w="393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原始文件、审批和导出保存年限</w:t>
            </w:r>
          </w:p>
        </w:tc>
        <w:tc>
          <w:tcPr>
            <w:tcW w:type="dxa" w:w="435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审计追溯及备份容量无法确定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宋体"/>
          <w:b w:val="0"/>
          <w:i w:val="0"/>
        </w:rPr>
        <w:t>7. 源码结构与二次开发入口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210"/>
        <w:gridCol w:w="3145"/>
      </w:tblGrid>
      <w:tr>
        <w:trPr>
          <w:tblHeader w:val="true"/>
        </w:trPr>
        <w:tc>
          <w:tcPr>
            <w:tcW w:type="dxa" w:w="358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路径</w:t>
            </w:r>
          </w:p>
        </w:tc>
        <w:tc>
          <w:tcPr>
            <w:tcW w:type="dxa" w:w="3210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主要内容</w:t>
            </w:r>
          </w:p>
        </w:tc>
        <w:tc>
          <w:tcPr>
            <w:tcW w:type="dxa" w:w="3145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建议扩展方式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Konsolidat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dbt_project/models/bronze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原始来源到标准字段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增加 ERP 适配器，保留来源批次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dbt_project/models/silver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清洗、去重、TB 标准化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加入集团标准化规则与完整性检查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dbt_project/models/gold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合并、现金流、预算和差异计算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通过可测的模型实现集团会计规则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dbt_project/macros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维度、汇率、持股和构建通用逻辑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复用声明机制，避免每张报表写一套计算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Konsol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konsol/epm/doctype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Entity、Main Account、预算等元数据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新增领域 DocType 或受控 Custom Field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konsol/consolidation/doctype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TB、汇率、持股、分录、断言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维持提交、撤回和审计机制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konsol/close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 与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close-ui/src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Close API、状态机和 Vue 页面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中文操作台、任务流与权限提示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konsol/pipeline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数据连接、Pipeline 与 Build Approval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扩展连接器与可观测性，不旁路审批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konsol/public/excel-addin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Office 插件与自定义函数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配置本地或正式域名，维护取数合同</w:t>
            </w:r>
          </w:p>
        </w:tc>
      </w:tr>
      <w:tr>
        <w:tc>
          <w:tcPr>
            <w:tcW w:type="dxa" w:w="3581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konsol/entity_permissions.py</w:t>
            </w:r>
          </w:p>
        </w:tc>
        <w:tc>
          <w:tcPr>
            <w:tcW w:type="dxa" w:w="3210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实体访问边界</w:t>
            </w:r>
          </w:p>
        </w:tc>
        <w:tc>
          <w:tcPr>
            <w:tcW w:type="dxa" w:w="3145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新接口与新单据必须接入同一权限检查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集团科目、维度和语义配置存在发布生命周期。实施应通过应用的 Publish、Apply Schema 与 Build Approval 等受控入口生效；直接改生产 CSV、配置变量或 ClickHouse 表可能与注册表冲突。具体扩展字段、数据表、接口、索引和验收用例见《中文研发需求规格说明书》。交付中的新增需求字段不应在未开发时写入“源码已有”清单。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8. 运行、审计与实施限制</w:t>
      </w:r>
    </w:p>
    <w:p>
      <w:r>
        <w:rPr>
          <w:rFonts w:ascii="Arial" w:hAnsi="Arial" w:eastAsia="宋体"/>
          <w:b w:val="0"/>
          <w:i w:val="0"/>
        </w:rPr>
        <w:t>本地运行包面向 Windows 10/11 x64 的免 Docker 便携研发与试点流程，使用包内 QEMU 与原生 Linux 服务。首次分块版自动下载固定哈希的基础环境，逐块及整体校验后创建持久业务盘；已有同版本基础盘和业务盘不会每次重建。软件已经执行的 Linux 客体启动、站点和仓库检查以最终运行验证说明逐项列出的证据为准；不能把 Linux 构建或旧版 Windows 启动器截图当作新版 Windows 真机全平台验收。Windows 实机、真实 ERP、Microsoft 365 插件和财务金样仍按报告分别记录。本版完整就绪检查默认最多等待 2 小时；超时会保留运行环境和业务数据，提示日志排查及安全退出，不会无限等待或强杀。</w:t>
      </w:r>
    </w:p>
    <w:p>
      <w:r>
        <w:rPr>
          <w:rFonts w:ascii="Arial" w:hAnsi="Arial" w:eastAsia="宋体"/>
          <w:b w:val="0"/>
          <w:i w:val="0"/>
        </w:rPr>
        <w:t xml:space="preserve">Frappe 数据库、ClickHouse 数据、上传附件、站点配置与加密密钥是一个完整恢复集合。便携版应安全关机后完整复制 </w:t>
      </w:r>
      <w:r>
        <w:rPr>
          <w:rFonts w:ascii="Consolas" w:hAnsi="Consolas" w:eastAsia="宋体"/>
          <w:b w:val="0"/>
          <w:i w:val="0"/>
          <w:sz w:val="18"/>
        </w:rPr>
        <w:t>%LOCALAPPDATA%\SelfDevelopedEPM\data</w:t>
      </w:r>
      <w:r>
        <w:rPr>
          <w:rFonts w:ascii="Arial" w:hAnsi="Arial" w:eastAsia="宋体"/>
          <w:b w:val="0"/>
          <w:i w:val="0"/>
        </w:rPr>
        <w:t xml:space="preserve">，保留 </w:t>
      </w:r>
      <w:r>
        <w:rPr>
          <w:rFonts w:ascii="Consolas" w:hAnsi="Consolas" w:eastAsia="宋体"/>
          <w:b w:val="0"/>
          <w:i w:val="0"/>
          <w:sz w:val="18"/>
        </w:rPr>
        <w:t>base.qcow2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disk.qcow2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epm-seed.json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seed.img</w:t>
      </w:r>
      <w:r>
        <w:rPr>
          <w:rFonts w:ascii="Arial" w:hAnsi="Arial" w:eastAsia="宋体"/>
          <w:b w:val="0"/>
          <w:i w:val="0"/>
        </w:rPr>
        <w:t>、</w:t>
      </w:r>
      <w:r>
        <w:rPr>
          <w:rFonts w:ascii="Consolas" w:hAnsi="Consolas" w:eastAsia="宋体"/>
          <w:b w:val="0"/>
          <w:i w:val="0"/>
          <w:sz w:val="18"/>
        </w:rPr>
        <w:t>base.json</w:t>
      </w:r>
      <w:r>
        <w:rPr>
          <w:rFonts w:ascii="Arial" w:hAnsi="Arial" w:eastAsia="宋体"/>
          <w:b w:val="0"/>
          <w:i w:val="0"/>
        </w:rPr>
        <w:t xml:space="preserve"> 及其他元数据。可写盘与基础盘必须保持相对 backing 关系和同版哈希，不自动用新版基础盘替换已有数据。仅备份源码或只复制 EXE 不能恢复业务数据。备份不得写入公开下载包；恢复演练需确认用户、预算锁定状态、TB 批次、审批与最终报表一致。生产网络应使用 HTTPS、受控账号、最小端口开放、统一日志与经批准的备份策略。初始凭据应在本机生成并由管理员保存，不能把真实密码放进手册或共享模板。</w:t>
      </w:r>
    </w:p>
    <w:p>
      <w:r>
        <w:rPr>
          <w:rFonts w:ascii="Arial" w:hAnsi="Arial" w:eastAsia="宋体"/>
          <w:b w:val="0"/>
          <w:i w:val="0"/>
        </w:rPr>
        <w:t>正式实施至少应形成四份业务基线：集团科目及报表映射、组织持股及生效日期、预算制度及场景版本、权限与职责分离矩阵。再以至少一个完整月度关账、一个多币种少数股权案例、一个内部交易案例和一个预算锁定周期完成端到端试点。中国企业会计准则、税务和监管报送格式需要财务专业人员复核；在界面里选择 Local 不会自动生成全部中国准则规则。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9. 功能验收样例</w:t>
      </w:r>
    </w:p>
    <w:p>
      <w:r>
        <w:rPr>
          <w:rFonts w:ascii="Arial" w:hAnsi="Arial" w:eastAsia="宋体"/>
          <w:b w:val="0"/>
          <w:i w:val="0"/>
        </w:rPr>
        <w:t>下列均为合成数据，用于演示测试方法。示例金额与编码不能直接当作正式科目模板。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4858"/>
        <w:gridCol w:w="3717"/>
      </w:tblGrid>
      <w:tr>
        <w:trPr>
          <w:tblHeader w:val="true"/>
        </w:trPr>
        <w:tc>
          <w:tcPr>
            <w:tcW w:type="dxa" w:w="1361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编号</w:t>
            </w:r>
          </w:p>
        </w:tc>
        <w:tc>
          <w:tcPr>
            <w:tcW w:type="dxa" w:w="4858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准备与操作</w:t>
            </w:r>
          </w:p>
        </w:tc>
        <w:tc>
          <w:tcPr>
            <w:tcW w:type="dxa" w:w="3717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预期结果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SYS-01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创建 CN01、CN02 两家人民币子公司，各报送一份借贷总额为 100,000 的平衡 TB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两个独立提交批次；检查通过；查询实体时数值分别对应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SYS-02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将一份 TB 的贷方减少 1，重新执行检查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显示不平衡及差额；不能以有效提交进入合并结果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SYS-03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USD01 损益本币 100，批准平均汇率 7.20；配置相关集团科目为 average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折算值为 720；去掉受控汇率后构建明确失败，不使用静默默认汇率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SYS-04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同一预算月 base=100，challenge=-10，management=5，board=2，锁定并完成构建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有效预算 97，四个来源层仍可追溯；普通填报人不能再修改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SYS-05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用户只获 CN01 权限，尝试 CN02 单据、报表与 Excel 取数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应拒绝或按业务规则遮罩；不得输出 CN02 明细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SYS-06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建立借方 1,000、贷方 900 的合并分录，申请批准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借贷差额被识别，不能作为平衡已批准分录入账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SYS-07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关账检查签字后修改会影响本期数据的合法输入并重新构建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签字有效性或数据新鲜度提示发生变化，需要按系统门槛重检重签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SYS-08</w:t>
            </w:r>
          </w:p>
        </w:tc>
        <w:tc>
          <w:tcPr>
            <w:tcW w:type="dxa" w:w="4858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备份后在隔离实例恢复，比较 TB、预算、审批和报表</w:t>
            </w:r>
          </w:p>
        </w:tc>
        <w:tc>
          <w:tcPr>
            <w:tcW w:type="dxa" w:w="3717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记录数量、金额、锁定状态、附件可读性与原实例一致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验收记录应包括软件提交号、配置版本、数据集、操作者、日期、实际结果、截图或日志、差异及处置人。只有样例全部通过后，才能继续扩大到本集团真实样本；研发需求中尚未实现的内容单列排期，不能用手工改库或临时 Excel 计算掩盖。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10. 交付文档关系</w:t>
      </w:r>
    </w:p>
    <w:p>
      <w:r>
        <w:rPr>
          <w:rFonts w:ascii="Arial" w:hAnsi="Arial" w:eastAsia="宋体"/>
          <w:b w:val="0"/>
          <w:i w:val="0"/>
        </w:rPr>
        <w:t>《系统说明书》说明平台组成、功能范围与边界；《用户手册》说明实际菜单、录入与错误处理；《免Docker版安装与使用手册》说明双击启动、首次下载、动态本机入口、安全退出、完整备份和恢复；《中文研发需求规格说明书》按页面、字段、规则、接口、数据表、权限和验收用例描述自研工作。项目经理应把“源码已有待验收”和“二开设计待实现”分开管理，并为每个生产上线能力指派业务责任人。</w:t>
      </w:r>
    </w:p>
    <w:p>
      <w:pPr>
        <w:pStyle w:val="Heading1"/>
      </w:pPr>
      <w:r>
        <w:rPr>
          <w:rFonts w:ascii="Arial" w:hAnsi="Arial" w:eastAsia="宋体"/>
          <w:b w:val="0"/>
          <w:i w:val="0"/>
        </w:rPr>
        <w:t>附录：主要源码核对位置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4"/>
        <w:gridCol w:w="6522"/>
      </w:tblGrid>
      <w:tr>
        <w:trPr>
          <w:tblHeader w:val="true"/>
        </w:trPr>
        <w:tc>
          <w:tcPr>
            <w:tcW w:type="dxa" w:w="3414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核对主题</w:t>
            </w:r>
          </w:p>
        </w:tc>
        <w:tc>
          <w:tcPr>
            <w:tcW w:type="dxa" w:w="6522"/>
            <w:vAlign w:val="top"/>
            <w:shd w:fill="DCE6F1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/>
                <w:i w:val="0"/>
                <w:color w:val="1A3C6E"/>
                <w:sz w:val="18"/>
              </w:rPr>
              <w:t>固定版本文件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Workspace 卡片与实际标签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Konsol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konsol/dashboard.py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Close 菜单与角色页面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close-ui/src/nav.js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close-ui/src/router.js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角色定义、安装与迁移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konsol/install.py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konsol/hooks.py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组织、集团科目与年度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konsol/epm/doctype/entity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main_account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epm_fiscal_year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TB CSV 合同与逐行检查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konsol/consolidation/doctype/trial_balance_submission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konsol/close/tb_model.py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预算锁定和层权限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konsol/epm/doctype/budget_cycle/budget_cycle.py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budget_sheet/budget_sheet.py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集团汇率、分录与审批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konsol/consolidation/doctype/group_exchange_rate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consolidation_journal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签字门槛与数据变更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Consolas" w:hAnsi="Consolas" w:eastAsia="宋体"/>
                <w:b w:val="0"/>
                <w:i w:val="0"/>
                <w:sz w:val="18"/>
              </w:rPr>
              <w:t>konsol/close/signoff_gate.py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signoff_model.py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signoff_api.py</w:t>
            </w:r>
          </w:p>
        </w:tc>
      </w:tr>
      <w:tr>
        <w:tc>
          <w:tcPr>
            <w:tcW w:type="dxa" w:w="3414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分析结果计算</w:t>
            </w:r>
          </w:p>
        </w:tc>
        <w:tc>
          <w:tcPr>
            <w:tcW w:type="dxa" w:w="6522"/>
            <w:vAlign w:val="top"/>
          </w:tcPr>
          <w:p>
            <w:pPr>
              <w:spacing w:after="30" w:before="30" w:line="240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Konsolidat </w:t>
            </w:r>
            <w:r>
              <w:rPr>
                <w:rFonts w:ascii="Consolas" w:hAnsi="Consolas" w:eastAsia="宋体"/>
                <w:b w:val="0"/>
                <w:i w:val="0"/>
                <w:sz w:val="18"/>
              </w:rPr>
              <w:t>dbt_project/models/gold</w:t>
            </w:r>
            <w:r>
              <w:rPr>
                <w:rFonts w:ascii="Arial" w:hAnsi="Arial" w:eastAsia="宋体"/>
                <w:b w:val="0"/>
                <w:i w:val="0"/>
                <w:sz w:val="18"/>
              </w:rPr>
              <w:t xml:space="preserve"> 与配套宏、测试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以上位置是本说明书的静态证据入口，不替代当前交付环境的实测日志。依赖版本、便携基础环境构建、客体运行与 Windows 实机结果应分别归档，便于下一次升级比较。</w:t>
      </w:r>
    </w:p>
    <w:p>
      <w:r>
        <w:rPr>
          <w:rFonts w:ascii="Arial" w:hAnsi="Arial" w:eastAsia="宋体"/>
          <w:b w:val="0"/>
          <w:i w:val="0"/>
        </w:rPr>
        <w:t>随包《PRD研发需求文档.docx》为前序完整反向研发基线，保留历史交付说明与目标状态；当前免 Docker 版的操作步骤和实际运行验证，应以本版三份中文手册及运行验证说明为准。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360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自研EPM研发基线  ·  2026-10-19  ·  </w:t>
    </w:r>
    <w:fldSimple w:instr="PAGE"/>
    <w:r>
      <w:rPr>
        <w:rFonts w:ascii="Arial" w:hAnsi="Arial" w:eastAsia="宋体"/>
        <w:sz w:val="16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87785"/>
        <w:sz w:val="16"/>
      </w:rPr>
      <w:t>自研EPM免Docker版中文系统说明书  | 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A3C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A3C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PMCode">
    <w:name w:val="EPM Code"/>
    <w:pPr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自研EPM免Docker版中文系统说明书</dc:title>
  <dc:subject>免Docker便携部署的集团财务合并、全面预算、经营分析业务说明与源码能力边界</dc:subject>
  <dc:creator>自研EPM项目组</dc:creator>
  <cp:keywords>EPM,免Docker,Windows,安装,使用手册,Word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