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rPr>
          <w:rFonts w:ascii="Arial" w:hAnsi="Arial" w:eastAsia="宋体"/>
          <w:b w:val="0"/>
          <w:i w:val="0"/>
        </w:rPr>
        <w:t xml:space="preserve">文档版本：1.1（免 Docker 便携版）；编制日期：2026 年 10 月 19 日。适用基线：Konsolidat </w:t>
      </w:r>
      <w:r>
        <w:rPr>
          <w:rFonts w:ascii="Consolas" w:hAnsi="Consolas" w:eastAsia="宋体"/>
          <w:b w:val="0"/>
          <w:i w:val="0"/>
          <w:sz w:val="18"/>
        </w:rPr>
        <w:t>99d7c5a3b08c82034cc26eced1fbb95eaafec12b</w:t>
      </w:r>
      <w:r>
        <w:rPr>
          <w:rFonts w:ascii="Arial" w:hAnsi="Arial" w:eastAsia="宋体"/>
          <w:b w:val="0"/>
          <w:i w:val="0"/>
        </w:rPr>
        <w:t xml:space="preserve"> 与 Konsol </w:t>
      </w:r>
      <w:r>
        <w:rPr>
          <w:rFonts w:ascii="Consolas" w:hAnsi="Consolas" w:eastAsia="宋体"/>
          <w:b w:val="0"/>
          <w:i w:val="0"/>
          <w:sz w:val="18"/>
        </w:rPr>
        <w:t>d2d71efdb1f198610d711f656b8373ac0c9cd0c4</w:t>
      </w:r>
      <w:r>
        <w:rPr>
          <w:rFonts w:ascii="Arial" w:hAnsi="Arial" w:eastAsia="宋体"/>
          <w:b w:val="0"/>
          <w:i w:val="0"/>
        </w:rPr>
        <w:t>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r>
        <w:rPr>
          <w:rFonts w:ascii="Arial" w:hAnsi="Arial" w:eastAsia="宋体"/>
          <w:b w:val="0"/>
          <w:i w:val="0"/>
        </w:rPr>
        <w:t>本手册介绍固定源码中实际存在的业务入口与操作逻辑。部分界面仍显示英文，因此保留英文菜单并提供中文对照。中文版说明书不代表源界面已全面汉化；《中文研发需求规格说明书》中的新增页面、业务预算模板、中文驾驶舱与流程增强也不代表安装包中已经实现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r>
        <w:rPr>
          <w:rFonts w:ascii="Arial" w:hAnsi="Arial" w:eastAsia="宋体"/>
          <w:b w:val="0"/>
          <w:i w:val="0"/>
        </w:rPr>
        <w:t xml:space="preserve">日常入口是包内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：完整解压后双击即打开本机启动进度页，并自动检查、准备和启动，无需输入编号菜单。分块版首次需联网下载固定版本基础环境。按本轮 TCG 纯软件模拟、2 CPU、6GB 内存的测试条件，首次建站可能需要约 10–30 分钟；这是等待参考，最终以随包验证报告的实际计时为准，低性能电脑可能更久，不能按秒开预期。后续启动复用已有数据通常较快，仍需等待就绪。完整就绪后自动打开业务页；也可点击“打开平台”。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</w:t>
      </w:r>
      <w:r>
        <w:rPr>
          <w:rFonts w:ascii="Arial" w:hAnsi="Arial" w:eastAsia="宋体"/>
          <w:b w:val="0"/>
          <w:i w:val="0"/>
        </w:rPr>
        <w:t xml:space="preserve">，占用时选择其他本机端口，请使用启动器实际打开的地址。初始管理员为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>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Desk → Konsolidat Workspace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卡片英文名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Pipeline &amp; Ingestion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Connectors、Pipeline Runs、Build Approvals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Model &amp; Metadata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Dimensions、Dimension Mappings、Datasets、Measures、Scenarios、Reporting Hierarchies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Reference 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 Chart of Accounts、Fiscal Year、Entities、Cash Flow Categories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Budgeting &amp; Planning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Cycles、Budget Sheets、Spread Profiles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Groups、Ownership Periods、Historical Equity Rates、Intercompany Accounts、IC Balances、Consolidation Journals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 Runs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英文菜单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Approvals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Numbers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Sign-off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本便携版首次空维度初始化默认提供三项定义，其中成本中心和部门纳入预算，业务单元默认不纳入预算。若使用已有维度方案或未出现所需列，应核对发布状态、预算标记与架构应用，不能直接假定所有维度都应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