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rPr>
          <w:rFonts w:ascii="Arial" w:hAnsi="Arial" w:eastAsia="宋体"/>
          <w:b w:val="0"/>
          <w:i w:val="0"/>
        </w:rPr>
        <w:t>文档版本：1.1（免 Docker 便携版）；编制日期：2026 年 10 月 19 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本机业务入口优先使用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</w:t>
      </w:r>
      <w:r>
        <w:rPr>
          <w:rFonts w:ascii="Arial" w:hAnsi="Arial" w:eastAsia="宋体"/>
          <w:b w:val="0"/>
          <w:i w:val="0"/>
        </w:rPr>
        <w:t>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或更多空间；内置环境默认约 6GB 内存、2个模拟CPU。首次下载量以资产清单和启动页为准。按本轮 TCG 纯软件模拟、2 CPU、6GB 内存的测试条件，首次建站可能需要约 10–30 分钟，不能按秒开预期；该范围仅供等待参考，最终以随包验证报告的实际计时为准，性能较低时可能更久。后续启动复用已有站点和数据，通常较快，仍需完成就绪检查。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r>
        <w:rPr>
          <w:rFonts w:ascii="Arial" w:hAnsi="Arial" w:eastAsia="宋体"/>
          <w:b w:val="0"/>
          <w:i w:val="0"/>
        </w:rPr>
        <w:t>源业务界面仍以英文为主，本说明书提供中文解释，不声称源平台已经全界面汉化。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