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olor w:val="006B63"/>
        </w:rPr>
        <w:t>ATLAS</w:t>
      </w:r>
    </w:p>
    <w:p>
      <w:pPr>
        <w:pStyle w:val="Title"/>
      </w:pPr>
      <w:r>
        <w:rPr>
          <w:rFonts w:ascii="Calibri" w:hAnsi="Calibri"/>
          <w:color w:val="111111"/>
        </w:rPr>
        <w:t>Symbol Source Standard</w:t>
      </w:r>
    </w:p>
    <w:p>
      <w:pPr>
        <w:pStyle w:val="Subtitle"/>
      </w:pPr>
      <w:r>
        <w:rPr>
          <w:rFonts w:ascii="Calibri" w:hAnsi="Calibri"/>
          <w:color w:val="111111"/>
        </w:rPr>
        <w:t>v1.0 — Draft 0.4</w:t>
      </w:r>
    </w:p>
    <w:p>
      <w:r>
        <w:rPr>
          <w:rFonts w:ascii="Calibri" w:hAnsi="Calibri"/>
          <w:color w:val="111111"/>
        </w:rPr>
        <w:t>Atlas Symbol Ontology için kaynakların kaydedilmesi, değerlendirilmesi, bağımsızlığının doğrulanması, iddialarla ilişkilendirilmesi ve reproducible release içinde dondurulmasına ilişkin resmi taslak.</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Belge durumu: FROZEN — FOUNDER APPROVED ARCHITECTURE STANDARD. Bu belge hiçbir sembolü veya anlamı Atlas'a kabul etmez; yalnız onaylanan Source sınırlarını önerir.</w:t>
            </w:r>
          </w:p>
        </w:tc>
      </w:tr>
    </w:tbl>
    <w:p>
      <w:pPr>
        <w:spacing w:after="0"/>
      </w:pPr>
    </w:p>
    <w:p>
      <w:pPr>
        <w:pStyle w:val="Heading1"/>
      </w:pPr>
      <w:r>
        <w:rPr>
          <w:rFonts w:ascii="Calibri" w:hAnsi="Calibri"/>
          <w:color w:val="111111"/>
        </w:rPr>
        <w:t>Belge Kontrolü</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50"/>
        <w:gridCol w:w="7110"/>
      </w:tblGrid>
      <w:tr>
        <w:trPr>
          <w:tblHeader w:val="true"/>
          <w:cantSplit/>
        </w:trPr>
        <w:tc>
          <w:tcPr>
            <w:tcW w:type="dxa" w:w="225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7110"/>
            <w:tcMar>
              <w:top w:w="90" w:type="dxa"/>
              <w:start w:w="120" w:type="dxa"/>
              <w:bottom w:w="90" w:type="dxa"/>
              <w:end w:w="120" w:type="dxa"/>
            </w:tcMar>
            <w:vAlign w:val="center"/>
            <w:shd w:fill="006B63"/>
          </w:tcPr>
          <w:p>
            <w:pPr>
              <w:spacing w:after="0"/>
            </w:pPr>
            <w:r>
              <w:rPr>
                <w:rFonts w:ascii="Calibri" w:hAnsi="Calibri"/>
                <w:b/>
                <w:color w:val="FFFFFF"/>
                <w:sz w:val="17"/>
              </w:rPr>
              <w:t>Değer</w:t>
            </w:r>
          </w:p>
        </w:tc>
      </w:tr>
      <w:tr>
        <w:tc>
          <w:tcPr>
            <w:tcW w:type="dxa" w:w="2250"/>
          </w:tcPr>
          <w:p>
            <w:r>
              <w:t>Belge kimliği</w:t>
            </w:r>
          </w:p>
        </w:tc>
        <w:tc>
          <w:tcPr>
            <w:tcW w:type="dxa" w:w="7110"/>
          </w:tcPr>
          <w:p>
            <w:r>
              <w:t>ATLAS-SYMBOL-SOURCE-STANDARD-v1.0-DRAFT-0.4</w:t>
            </w:r>
          </w:p>
        </w:tc>
      </w:tr>
      <w:tr>
        <w:tc>
          <w:tcPr>
            <w:tcW w:type="dxa" w:w="2250"/>
          </w:tcPr>
          <w:p>
            <w:r>
              <w:t>Mimari dayanak</w:t>
            </w:r>
          </w:p>
        </w:tc>
        <w:tc>
          <w:tcPr>
            <w:tcW w:type="dxa" w:w="7110"/>
          </w:tcPr>
          <w:p>
            <w:r>
              <w:t>Atlas Symbol Domain Contracts v1.0 Draft 0.5</w:t>
            </w:r>
          </w:p>
        </w:tc>
      </w:tr>
      <w:tr>
        <w:tc>
          <w:tcPr>
            <w:tcW w:type="dxa" w:w="2250"/>
          </w:tcPr>
          <w:p>
            <w:r>
              <w:t>Durum</w:t>
            </w:r>
          </w:p>
        </w:tc>
        <w:tc>
          <w:tcPr>
            <w:tcW w:type="dxa" w:w="7110"/>
          </w:tcPr>
          <w:p>
            <w:r>
              <w:t>FROZEN — FOUNDER APPROVED ARCHITECTURE STANDARD</w:t>
            </w:r>
          </w:p>
        </w:tc>
      </w:tr>
      <w:tr>
        <w:tc>
          <w:tcPr>
            <w:tcW w:type="dxa" w:w="2250"/>
          </w:tcPr>
          <w:p>
            <w:r>
              <w:t>Tarih</w:t>
            </w:r>
          </w:p>
        </w:tc>
        <w:tc>
          <w:tcPr>
            <w:tcW w:type="dxa" w:w="7110"/>
          </w:tcPr>
          <w:p>
            <w:r>
              <w:t>28 Temmuz 2026</w:t>
            </w:r>
          </w:p>
        </w:tc>
      </w:tr>
      <w:tr>
        <w:tc>
          <w:tcPr>
            <w:tcW w:type="dxa" w:w="2250"/>
          </w:tcPr>
          <w:p>
            <w:r>
              <w:t>Normatif dil</w:t>
            </w:r>
          </w:p>
        </w:tc>
        <w:tc>
          <w:tcPr>
            <w:tcW w:type="dxa" w:w="7110"/>
          </w:tcPr>
          <w:p>
            <w:r>
              <w:t>MUST / MUST NOT / SHOULD / MAY</w:t>
            </w:r>
          </w:p>
        </w:tc>
      </w:tr>
      <w:tr>
        <w:tc>
          <w:tcPr>
            <w:tcW w:type="dxa" w:w="2250"/>
          </w:tcPr>
          <w:p>
            <w:r>
              <w:t>Review / freeze sırası</w:t>
            </w:r>
          </w:p>
        </w:tc>
        <w:tc>
          <w:tcPr>
            <w:tcW w:type="dxa" w:w="7110"/>
          </w:tcPr>
          <w:p>
            <w:r>
              <w:t>Paralel review; Domain → Source → Evidence sıralı freeze</w:t>
            </w:r>
          </w:p>
        </w:tc>
      </w:tr>
    </w:tbl>
    <w:p>
      <w:pPr>
        <w:spacing w:after="0"/>
      </w:pPr>
    </w:p>
    <w:p>
      <w:pPr>
        <w:pStyle w:val="Heading2"/>
      </w:pPr>
      <w:r>
        <w:rPr>
          <w:rFonts w:ascii="Calibri" w:hAnsi="Calibri"/>
          <w:color w:val="111111"/>
        </w:rPr>
        <w:t>Revizyon Geçmişi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200"/>
        <w:gridCol w:w="2050"/>
        <w:gridCol w:w="3950"/>
        <w:gridCol w:w="2160"/>
      </w:tblGrid>
      <w:tr>
        <w:trPr>
          <w:tblHeader w:val="true"/>
          <w:cantSplit/>
        </w:trPr>
        <w:tc>
          <w:tcPr>
            <w:tcW w:type="dxa" w:w="1200"/>
            <w:tcMar>
              <w:top w:w="90" w:type="dxa"/>
              <w:start w:w="120" w:type="dxa"/>
              <w:bottom w:w="90" w:type="dxa"/>
              <w:end w:w="120" w:type="dxa"/>
            </w:tcMar>
            <w:vAlign w:val="center"/>
            <w:shd w:fill="006B63"/>
          </w:tcPr>
          <w:p>
            <w:pPr>
              <w:spacing w:after="0"/>
            </w:pPr>
            <w:r>
              <w:rPr>
                <w:rFonts w:ascii="Calibri" w:hAnsi="Calibri"/>
                <w:b/>
                <w:color w:val="FFFFFF"/>
                <w:sz w:val="17"/>
              </w:rPr>
              <w:t>Sürüm</w:t>
            </w:r>
          </w:p>
        </w:tc>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Durum</w:t>
            </w:r>
          </w:p>
        </w:tc>
        <w:tc>
          <w:tcPr>
            <w:tcW w:type="dxa" w:w="3950"/>
            <w:tcMar>
              <w:top w:w="90" w:type="dxa"/>
              <w:start w:w="120" w:type="dxa"/>
              <w:bottom w:w="90" w:type="dxa"/>
              <w:end w:w="120" w:type="dxa"/>
            </w:tcMar>
            <w:vAlign w:val="center"/>
            <w:shd w:fill="006B63"/>
          </w:tcPr>
          <w:p>
            <w:pPr>
              <w:spacing w:after="0"/>
            </w:pPr>
            <w:r>
              <w:rPr>
                <w:rFonts w:ascii="Calibri" w:hAnsi="Calibri"/>
                <w:b/>
                <w:color w:val="FFFFFF"/>
                <w:sz w:val="17"/>
              </w:rPr>
              <w:t>Değişiklik</w:t>
            </w:r>
          </w:p>
        </w:tc>
        <w:tc>
          <w:tcPr>
            <w:tcW w:type="dxa" w:w="2160"/>
            <w:tcMar>
              <w:top w:w="90" w:type="dxa"/>
              <w:start w:w="120" w:type="dxa"/>
              <w:bottom w:w="90" w:type="dxa"/>
              <w:end w:w="120" w:type="dxa"/>
            </w:tcMar>
            <w:vAlign w:val="center"/>
            <w:shd w:fill="006B63"/>
          </w:tcPr>
          <w:p>
            <w:pPr>
              <w:spacing w:after="0"/>
            </w:pPr>
            <w:r>
              <w:rPr>
                <w:rFonts w:ascii="Calibri" w:hAnsi="Calibri"/>
                <w:b/>
                <w:color w:val="FFFFFF"/>
                <w:sz w:val="17"/>
              </w:rPr>
              <w:t>Karar</w:t>
            </w:r>
          </w:p>
        </w:tc>
      </w:tr>
      <w:tr>
        <w:tc>
          <w:tcPr>
            <w:tcW w:type="dxa" w:w="1200"/>
          </w:tcPr>
          <w:p>
            <w:r>
              <w:t>Draft 0.1</w:t>
            </w:r>
          </w:p>
        </w:tc>
        <w:tc>
          <w:tcPr>
            <w:tcW w:type="dxa" w:w="2050"/>
          </w:tcPr>
          <w:p>
            <w:r>
              <w:t>Superseded draft</w:t>
            </w:r>
          </w:p>
        </w:tc>
        <w:tc>
          <w:tcPr>
            <w:tcW w:type="dxa" w:w="3950"/>
          </w:tcPr>
          <w:p>
            <w:r>
              <w:t>İlk Source Catalog ve admission standardı</w:t>
            </w:r>
          </w:p>
        </w:tc>
        <w:tc>
          <w:tcPr>
            <w:tcW w:type="dxa" w:w="2160"/>
          </w:tcPr>
          <w:p>
            <w:r>
              <w:t>Draft 0.2 ile revize edildi</w:t>
            </w:r>
          </w:p>
        </w:tc>
      </w:tr>
      <w:tr>
        <w:tc>
          <w:tcPr>
            <w:tcW w:type="dxa" w:w="1200"/>
          </w:tcPr>
          <w:p>
            <w:r>
              <w:t>Draft 0.2</w:t>
            </w:r>
          </w:p>
        </w:tc>
        <w:tc>
          <w:tcPr>
            <w:tcW w:type="dxa" w:w="2050"/>
          </w:tcPr>
          <w:p>
            <w:r>
              <w:t>Superseded draft</w:t>
            </w:r>
          </w:p>
        </w:tc>
        <w:tc>
          <w:tcPr>
            <w:tcW w:type="dxa" w:w="3950"/>
          </w:tcPr>
          <w:p>
            <w:r>
              <w:t>Objective classes, target integrity, policy ve context boundaries</w:t>
            </w:r>
          </w:p>
        </w:tc>
        <w:tc>
          <w:tcPr>
            <w:tcW w:type="dxa" w:w="2160"/>
          </w:tcPr>
          <w:p>
            <w:r>
              <w:t>Draft 0.4 ile hizalandı</w:t>
            </w:r>
          </w:p>
        </w:tc>
      </w:tr>
      <w:tr>
        <w:tc>
          <w:tcPr>
            <w:tcW w:type="dxa" w:w="1200"/>
          </w:tcPr>
          <w:p>
            <w:r>
              <w:t>Draft 0.4</w:t>
            </w:r>
          </w:p>
        </w:tc>
        <w:tc>
          <w:tcPr>
            <w:tcW w:type="dxa" w:w="2050"/>
          </w:tcPr>
          <w:p>
            <w:r>
              <w:t>Current frozen architecture standard</w:t>
            </w:r>
          </w:p>
        </w:tc>
        <w:tc>
          <w:tcPr>
            <w:tcW w:type="dxa" w:w="3950"/>
          </w:tcPr>
          <w:p>
            <w:r>
              <w:t>Ortak release identity, Canonical JSON Profile ve freeze sırası</w:t>
            </w:r>
          </w:p>
        </w:tc>
        <w:tc>
          <w:tcPr>
            <w:tcW w:type="dxa" w:w="2160"/>
          </w:tcPr>
          <w:p>
            <w:r>
              <w:t>Founder approved</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Ana karar: Bibliyografik kimlik ile bir kaynağın belirli bir iddiada nasıl kullanıldığı aynı kayıt değildir. SourceRecord kaynağı tanımlar; SourceUseAssessment, exact kaynak revision'ının exact hedefteki rolünü ve kabul edilebilirliğini değerlendirir.</w:t>
            </w:r>
          </w:p>
        </w:tc>
      </w:tr>
    </w:tbl>
    <w:p>
      <w:pPr>
        <w:spacing w:after="0"/>
      </w:pPr>
    </w:p>
    <w:p>
      <w:pPr>
        <w:pStyle w:val="Heading1"/>
      </w:pPr>
      <w:r>
        <w:rPr>
          <w:rFonts w:ascii="Calibri" w:hAnsi="Calibri"/>
          <w:color w:val="111111"/>
        </w:rPr>
        <w:t>İçindekiler</w:t>
      </w:r>
    </w:p>
    <w:p>
      <w:pPr>
        <w:numPr>
          <w:ilvl w:val="0"/>
          <w:numId w:val="41"/>
        </w:numPr>
      </w:pPr>
      <w:r>
        <w:rPr>
          <w:rFonts w:ascii="Calibri" w:hAnsi="Calibri"/>
          <w:color w:val="111111"/>
        </w:rPr>
        <w:t>1. Amaç ve Kapsam</w:t>
      </w:r>
    </w:p>
    <w:p>
      <w:pPr>
        <w:numPr>
          <w:ilvl w:val="0"/>
          <w:numId w:val="41"/>
        </w:numPr>
      </w:pPr>
      <w:r>
        <w:rPr>
          <w:rFonts w:ascii="Calibri" w:hAnsi="Calibri"/>
          <w:color w:val="111111"/>
        </w:rPr>
        <w:t>2. Mimari Uyum ve Sahiplik</w:t>
      </w:r>
    </w:p>
    <w:p>
      <w:pPr>
        <w:numPr>
          <w:ilvl w:val="0"/>
          <w:numId w:val="41"/>
        </w:numPr>
      </w:pPr>
      <w:r>
        <w:rPr>
          <w:rFonts w:ascii="Calibri" w:hAnsi="Calibri"/>
          <w:color w:val="111111"/>
        </w:rPr>
        <w:t>3. Normatif İlkeler</w:t>
      </w:r>
    </w:p>
    <w:p>
      <w:pPr>
        <w:numPr>
          <w:ilvl w:val="0"/>
          <w:numId w:val="41"/>
        </w:numPr>
      </w:pPr>
      <w:r>
        <w:rPr>
          <w:rFonts w:ascii="Calibri" w:hAnsi="Calibri"/>
          <w:color w:val="111111"/>
        </w:rPr>
        <w:t>4. Source Contract Ailesi</w:t>
      </w:r>
    </w:p>
    <w:p>
      <w:pPr>
        <w:numPr>
          <w:ilvl w:val="0"/>
          <w:numId w:val="41"/>
        </w:numPr>
      </w:pPr>
      <w:r>
        <w:rPr>
          <w:rFonts w:ascii="Calibri" w:hAnsi="Calibri"/>
          <w:color w:val="111111"/>
        </w:rPr>
        <w:t>5. SourceRecord Şeması</w:t>
      </w:r>
    </w:p>
    <w:p>
      <w:pPr>
        <w:numPr>
          <w:ilvl w:val="0"/>
          <w:numId w:val="41"/>
        </w:numPr>
      </w:pPr>
      <w:r>
        <w:rPr>
          <w:rFonts w:ascii="Calibri" w:hAnsi="Calibri"/>
          <w:color w:val="111111"/>
        </w:rPr>
        <w:t>6. Kaynak Sınıfları</w:t>
      </w:r>
    </w:p>
    <w:p>
      <w:pPr>
        <w:numPr>
          <w:ilvl w:val="0"/>
          <w:numId w:val="41"/>
        </w:numPr>
      </w:pPr>
      <w:r>
        <w:rPr>
          <w:rFonts w:ascii="Calibri" w:hAnsi="Calibri"/>
          <w:color w:val="111111"/>
        </w:rPr>
        <w:t>7. Birincil / İkincil / Üçüncül Ayrımı</w:t>
      </w:r>
    </w:p>
    <w:p>
      <w:pPr>
        <w:numPr>
          <w:ilvl w:val="0"/>
          <w:numId w:val="41"/>
        </w:numPr>
      </w:pPr>
      <w:r>
        <w:rPr>
          <w:rFonts w:ascii="Calibri" w:hAnsi="Calibri"/>
          <w:color w:val="111111"/>
        </w:rPr>
        <w:t>8. SourceUseAssessment ve Güvenilirlik</w:t>
      </w:r>
    </w:p>
    <w:p>
      <w:pPr>
        <w:numPr>
          <w:ilvl w:val="0"/>
          <w:numId w:val="41"/>
        </w:numPr>
      </w:pPr>
      <w:r>
        <w:rPr>
          <w:rFonts w:ascii="Calibri" w:hAnsi="Calibri"/>
          <w:color w:val="111111"/>
        </w:rPr>
        <w:t>9. Kaynak Bağımsızlığı ve Çoklu Kaynak Kuralı</w:t>
      </w:r>
    </w:p>
    <w:p>
      <w:pPr>
        <w:numPr>
          <w:ilvl w:val="0"/>
          <w:numId w:val="41"/>
        </w:numPr>
      </w:pPr>
      <w:r>
        <w:rPr>
          <w:rFonts w:ascii="Calibri" w:hAnsi="Calibri"/>
          <w:color w:val="111111"/>
        </w:rPr>
        <w:t>10. İnternet İçerikleri</w:t>
      </w:r>
    </w:p>
    <w:p>
      <w:pPr>
        <w:numPr>
          <w:ilvl w:val="0"/>
          <w:numId w:val="41"/>
        </w:numPr>
      </w:pPr>
      <w:r>
        <w:rPr>
          <w:rFonts w:ascii="Calibri" w:hAnsi="Calibri"/>
          <w:color w:val="111111"/>
        </w:rPr>
        <w:t>11. Çelişkili Kaynaklar</w:t>
      </w:r>
    </w:p>
    <w:p>
      <w:pPr>
        <w:numPr>
          <w:ilvl w:val="0"/>
          <w:numId w:val="41"/>
        </w:numPr>
      </w:pPr>
      <w:r>
        <w:rPr>
          <w:rFonts w:ascii="Calibri" w:hAnsi="Calibri"/>
          <w:color w:val="111111"/>
        </w:rPr>
        <w:t>12. Kültürel Varyasyonların Kaydı</w:t>
      </w:r>
    </w:p>
    <w:p>
      <w:pPr>
        <w:numPr>
          <w:ilvl w:val="0"/>
          <w:numId w:val="41"/>
        </w:numPr>
      </w:pPr>
      <w:r>
        <w:rPr>
          <w:rFonts w:ascii="Calibri" w:hAnsi="Calibri"/>
          <w:color w:val="111111"/>
        </w:rPr>
        <w:t>13. Referans ve Locator Standardı</w:t>
      </w:r>
    </w:p>
    <w:p>
      <w:pPr>
        <w:numPr>
          <w:ilvl w:val="0"/>
          <w:numId w:val="41"/>
        </w:numPr>
      </w:pPr>
      <w:r>
        <w:rPr>
          <w:rFonts w:ascii="Calibri" w:hAnsi="Calibri"/>
          <w:color w:val="111111"/>
        </w:rPr>
        <w:t>14. Review Süreci</w:t>
      </w:r>
    </w:p>
    <w:p>
      <w:pPr>
        <w:numPr>
          <w:ilvl w:val="0"/>
          <w:numId w:val="41"/>
        </w:numPr>
      </w:pPr>
      <w:r>
        <w:rPr>
          <w:rFonts w:ascii="Calibri" w:hAnsi="Calibri"/>
          <w:color w:val="111111"/>
        </w:rPr>
        <w:t>15. Admission ve Freeze Kriterleri</w:t>
      </w:r>
    </w:p>
    <w:p>
      <w:pPr>
        <w:numPr>
          <w:ilvl w:val="0"/>
          <w:numId w:val="41"/>
        </w:numPr>
      </w:pPr>
      <w:r>
        <w:rPr>
          <w:rFonts w:ascii="Calibri" w:hAnsi="Calibri"/>
          <w:color w:val="111111"/>
        </w:rPr>
        <w:t>16. Release ve Versioning</w:t>
      </w:r>
    </w:p>
    <w:p>
      <w:pPr>
        <w:numPr>
          <w:ilvl w:val="0"/>
          <w:numId w:val="41"/>
        </w:numPr>
      </w:pPr>
      <w:r>
        <w:rPr>
          <w:rFonts w:ascii="Calibri" w:hAnsi="Calibri"/>
          <w:color w:val="111111"/>
        </w:rPr>
        <w:t>17. Örnek JSON</w:t>
      </w:r>
    </w:p>
    <w:p>
      <w:pPr>
        <w:numPr>
          <w:ilvl w:val="0"/>
          <w:numId w:val="41"/>
        </w:numPr>
      </w:pPr>
      <w:r>
        <w:rPr>
          <w:rFonts w:ascii="Calibri" w:hAnsi="Calibri"/>
          <w:color w:val="111111"/>
        </w:rPr>
        <w:t>18. Validation Kuralları</w:t>
      </w:r>
    </w:p>
    <w:p>
      <w:pPr>
        <w:numPr>
          <w:ilvl w:val="0"/>
          <w:numId w:val="41"/>
        </w:numPr>
      </w:pPr>
      <w:r>
        <w:rPr>
          <w:rFonts w:ascii="Calibri" w:hAnsi="Calibri"/>
          <w:color w:val="111111"/>
        </w:rPr>
        <w:t>19. Açık Kararlar ve Acceptance Checklist</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Sınır: Bu taslak yeni sembol, sembol anlamı, physical evidence profili, ranking veya confidence üretmez.</w:t>
            </w:r>
          </w:p>
        </w:tc>
      </w:tr>
    </w:tbl>
    <w:p>
      <w:pPr>
        <w:spacing w:after="0"/>
      </w:pPr>
    </w:p>
    <w:p>
      <w:pPr>
        <w:pStyle w:val="Heading1"/>
      </w:pPr>
      <w:r>
        <w:rPr>
          <w:rFonts w:ascii="Calibri" w:hAnsi="Calibri"/>
          <w:color w:val="111111"/>
        </w:rPr>
        <w:t>1. Amaç ve Kapsam</w:t>
      </w:r>
    </w:p>
    <w:p>
      <w:r>
        <w:rPr>
          <w:rFonts w:ascii="Calibri" w:hAnsi="Calibri"/>
          <w:color w:val="111111"/>
        </w:rPr>
        <w:t>Bu standardın amacı, Atlas'ın kullanacağı her dış kaynağın hangi kimlikle kaydedileceğini, hangi koşullarda bir domain kaydını destekleyebileceğini ve hangi koşullarda yalnız araştırma ipucu olarak kalacağını belirlemektir. Source Catalog bibliyografik ve erişim gerçeklerini saklar; doğruluk veya sembolik anlam ilan etmez.</w:t>
      </w:r>
    </w:p>
    <w:p>
      <w:pPr>
        <w:pStyle w:val="Heading2"/>
      </w:pPr>
      <w:r>
        <w:rPr>
          <w:rFonts w:ascii="Calibri" w:hAnsi="Calibri"/>
          <w:color w:val="111111"/>
        </w:rPr>
        <w:t>1.1 Kapsanan konular</w:t>
      </w:r>
    </w:p>
    <w:p>
      <w:pPr>
        <w:numPr>
          <w:ilvl w:val="0"/>
          <w:numId w:val="41"/>
        </w:numPr>
      </w:pPr>
      <w:r>
        <w:rPr>
          <w:rFonts w:ascii="Calibri" w:hAnsi="Calibri"/>
          <w:color w:val="111111"/>
        </w:rPr>
        <w:t>Kaynak sınıfları ve kaynak türünden bağımsız kalite değerlendirmesi.</w:t>
      </w:r>
    </w:p>
    <w:p>
      <w:pPr>
        <w:numPr>
          <w:ilvl w:val="0"/>
          <w:numId w:val="41"/>
        </w:numPr>
      </w:pPr>
      <w:r>
        <w:rPr>
          <w:rFonts w:ascii="Calibri" w:hAnsi="Calibri"/>
          <w:color w:val="111111"/>
        </w:rPr>
        <w:t>Birincil, ikincil, üçüncül ve discovery rollerinin hedef-iddiaya göre belirlenmesi.</w:t>
      </w:r>
    </w:p>
    <w:p>
      <w:pPr>
        <w:numPr>
          <w:ilvl w:val="0"/>
          <w:numId w:val="41"/>
        </w:numPr>
      </w:pPr>
      <w:r>
        <w:rPr>
          <w:rFonts w:ascii="Calibri" w:hAnsi="Calibri"/>
          <w:color w:val="111111"/>
        </w:rPr>
        <w:t>Bağımsız kaynak aileleri, çoğaltılmış içerik ve ortak köken tespiti.</w:t>
      </w:r>
    </w:p>
    <w:p>
      <w:pPr>
        <w:numPr>
          <w:ilvl w:val="0"/>
          <w:numId w:val="41"/>
        </w:numPr>
      </w:pPr>
      <w:r>
        <w:rPr>
          <w:rFonts w:ascii="Calibri" w:hAnsi="Calibri"/>
          <w:color w:val="111111"/>
        </w:rPr>
        <w:t>İnternet, yayın, arşiv, uzman görüşmesi ve saha kaydının minimum metadata'sı.</w:t>
      </w:r>
    </w:p>
    <w:p>
      <w:pPr>
        <w:numPr>
          <w:ilvl w:val="0"/>
          <w:numId w:val="41"/>
        </w:numPr>
      </w:pPr>
      <w:r>
        <w:rPr>
          <w:rFonts w:ascii="Calibri" w:hAnsi="Calibri"/>
          <w:color w:val="111111"/>
        </w:rPr>
        <w:t>Çelişkilerin silinmeden korunması ve ClaimConflict katmanına aktarılması.</w:t>
      </w:r>
    </w:p>
    <w:p>
      <w:pPr>
        <w:numPr>
          <w:ilvl w:val="0"/>
          <w:numId w:val="41"/>
        </w:numPr>
      </w:pPr>
      <w:r>
        <w:rPr>
          <w:rFonts w:ascii="Calibri" w:hAnsi="Calibri"/>
          <w:color w:val="111111"/>
        </w:rPr>
        <w:t>Kültürel kapsamın kaynakta belgelenmesi; genelleme yapılmaması.</w:t>
      </w:r>
    </w:p>
    <w:p>
      <w:pPr>
        <w:numPr>
          <w:ilvl w:val="0"/>
          <w:numId w:val="41"/>
        </w:numPr>
      </w:pPr>
      <w:r>
        <w:rPr>
          <w:rFonts w:ascii="Calibri" w:hAnsi="Calibri"/>
          <w:color w:val="111111"/>
        </w:rPr>
        <w:t>Review, release eligibility, immutable revision ve checksum kuralları.</w:t>
      </w:r>
    </w:p>
    <w:p>
      <w:pPr>
        <w:pStyle w:val="Heading2"/>
      </w:pPr>
      <w:r>
        <w:rPr>
          <w:rFonts w:ascii="Calibri" w:hAnsi="Calibri"/>
          <w:color w:val="111111"/>
        </w:rPr>
        <w:t>1.2 Kapsam dışı</w:t>
      </w:r>
    </w:p>
    <w:p>
      <w:pPr>
        <w:numPr>
          <w:ilvl w:val="0"/>
          <w:numId w:val="41"/>
        </w:numPr>
      </w:pPr>
      <w:r>
        <w:rPr>
          <w:rFonts w:ascii="Calibri" w:hAnsi="Calibri"/>
          <w:color w:val="111111"/>
        </w:rPr>
        <w:t>Gerçek sembol veya anlam kaydı üretmek.</w:t>
      </w:r>
    </w:p>
    <w:p>
      <w:pPr>
        <w:numPr>
          <w:ilvl w:val="0"/>
          <w:numId w:val="41"/>
        </w:numPr>
      </w:pPr>
      <w:r>
        <w:rPr>
          <w:rFonts w:ascii="Calibri" w:hAnsi="Calibri"/>
          <w:color w:val="111111"/>
        </w:rPr>
        <w:t>Vision, Pattern veya physical Knowledge verisini değerlendirmek.</w:t>
      </w:r>
    </w:p>
    <w:p>
      <w:pPr>
        <w:numPr>
          <w:ilvl w:val="0"/>
          <w:numId w:val="41"/>
        </w:numPr>
      </w:pPr>
      <w:r>
        <w:rPr>
          <w:rFonts w:ascii="Calibri" w:hAnsi="Calibri"/>
          <w:color w:val="111111"/>
        </w:rPr>
        <w:t>Bir sembolün fiziksel olarak nasıl tanınacağını belirlemek.</w:t>
      </w:r>
    </w:p>
    <w:p>
      <w:pPr>
        <w:numPr>
          <w:ilvl w:val="0"/>
          <w:numId w:val="41"/>
        </w:numPr>
      </w:pPr>
      <w:r>
        <w:rPr>
          <w:rFonts w:ascii="Calibri" w:hAnsi="Calibri"/>
          <w:color w:val="111111"/>
        </w:rPr>
        <w:t>Hukuki görüş vermek veya kullanım hakkını varsaymak.</w:t>
      </w:r>
    </w:p>
    <w:p>
      <w:pPr>
        <w:numPr>
          <w:ilvl w:val="0"/>
          <w:numId w:val="41"/>
        </w:numPr>
      </w:pPr>
      <w:r>
        <w:rPr>
          <w:rFonts w:ascii="Calibri" w:hAnsi="Calibri"/>
          <w:color w:val="111111"/>
        </w:rPr>
        <w:t>Kaynak sayısını semantic confidence ya da probability değerine dönüştürmek.</w:t>
      </w:r>
    </w:p>
    <w:p>
      <w:pPr>
        <w:numPr>
          <w:ilvl w:val="0"/>
          <w:numId w:val="41"/>
        </w:numPr>
      </w:pPr>
      <w:r>
        <w:rPr>
          <w:rFonts w:ascii="Calibri" w:hAnsi="Calibri"/>
          <w:color w:val="111111"/>
        </w:rPr>
        <w:t>LLM çıktısını bibliyografik kaynak, uzman görüşü veya reviewer kararı saymak.</w:t>
      </w:r>
    </w:p>
    <w:p>
      <w:pPr>
        <w:pStyle w:val="Heading1"/>
      </w:pPr>
      <w:r>
        <w:rPr>
          <w:rFonts w:ascii="Calibri" w:hAnsi="Calibri"/>
          <w:color w:val="111111"/>
        </w:rPr>
        <w:t>2. Mimari Uyum ve Sahiplik</w:t>
      </w:r>
    </w:p>
    <w:p>
      <w:r>
        <w:rPr>
          <w:rFonts w:ascii="Calibri" w:hAnsi="Calibri"/>
          <w:color w:val="111111"/>
        </w:rPr>
        <w:t>Bu belge, Atlas Symbol Domain Contracts v1.0 Draft 0.5 ile hizalanmış Source Catalog standardını tanımlar. Küçük canonical record, strict schema, immutable record revision, compact SourceRef, ortak Canonical JSON Profile ve release-manifest ilkeleri aynen korunur.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00"/>
        <w:gridCol w:w="2650"/>
        <w:gridCol w:w="4510"/>
      </w:tblGrid>
      <w:tr>
        <w:trPr>
          <w:tblHeader w:val="true"/>
          <w:cantSplit/>
        </w:trPr>
        <w:tc>
          <w:tcPr>
            <w:tcW w:type="dxa" w:w="2200"/>
            <w:tcMar>
              <w:top w:w="90" w:type="dxa"/>
              <w:start w:w="120" w:type="dxa"/>
              <w:bottom w:w="90" w:type="dxa"/>
              <w:end w:w="120" w:type="dxa"/>
            </w:tcMar>
            <w:vAlign w:val="center"/>
            <w:shd w:fill="006B63"/>
          </w:tcPr>
          <w:p>
            <w:pPr>
              <w:spacing w:after="0"/>
            </w:pPr>
            <w:r>
              <w:rPr>
                <w:rFonts w:ascii="Calibri" w:hAnsi="Calibri"/>
                <w:b/>
                <w:color w:val="FFFFFF"/>
                <w:sz w:val="17"/>
              </w:rPr>
              <w:t>Bilgi</w:t>
            </w:r>
          </w:p>
        </w:tc>
        <w:tc>
          <w:tcPr>
            <w:tcW w:type="dxa" w:w="2650"/>
            <w:tcMar>
              <w:top w:w="90" w:type="dxa"/>
              <w:start w:w="120" w:type="dxa"/>
              <w:bottom w:w="90" w:type="dxa"/>
              <w:end w:w="120" w:type="dxa"/>
            </w:tcMar>
            <w:vAlign w:val="center"/>
            <w:shd w:fill="006B63"/>
          </w:tcPr>
          <w:p>
            <w:pPr>
              <w:spacing w:after="0"/>
            </w:pPr>
            <w:r>
              <w:rPr>
                <w:rFonts w:ascii="Calibri" w:hAnsi="Calibri"/>
                <w:b/>
                <w:color w:val="FFFFFF"/>
                <w:sz w:val="17"/>
              </w:rPr>
              <w:t>Canonical sahibi</w:t>
            </w:r>
          </w:p>
        </w:tc>
        <w:tc>
          <w:tcPr>
            <w:tcW w:type="dxa" w:w="4510"/>
            <w:tcMar>
              <w:top w:w="90" w:type="dxa"/>
              <w:start w:w="120" w:type="dxa"/>
              <w:bottom w:w="90" w:type="dxa"/>
              <w:end w:w="120" w:type="dxa"/>
            </w:tcMar>
            <w:vAlign w:val="center"/>
            <w:shd w:fill="006B63"/>
          </w:tcPr>
          <w:p>
            <w:pPr>
              <w:spacing w:after="0"/>
            </w:pPr>
            <w:r>
              <w:rPr>
                <w:rFonts w:ascii="Calibri" w:hAnsi="Calibri"/>
                <w:b/>
                <w:color w:val="FFFFFF"/>
                <w:sz w:val="17"/>
              </w:rPr>
              <w:t>Bu belgede yapılan</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Bibliyografik kimlik ve erişim</w:t>
            </w:r>
          </w:p>
        </w:tc>
        <w:tc>
          <w:tcPr>
            <w:tcW w:type="dxa" w:w="265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4510"/>
            <w:tcMar>
              <w:top w:w="90" w:type="dxa"/>
              <w:start w:w="120" w:type="dxa"/>
              <w:bottom w:w="90" w:type="dxa"/>
              <w:end w:w="120" w:type="dxa"/>
            </w:tcMar>
            <w:vAlign w:val="center"/>
          </w:tcPr>
          <w:p>
            <w:pPr>
              <w:spacing w:after="0"/>
            </w:pPr>
            <w:r>
              <w:rPr>
                <w:rFonts w:ascii="Calibri" w:hAnsi="Calibri"/>
                <w:color w:val="111111"/>
                <w:sz w:val="16"/>
              </w:rPr>
              <w:t>Exact consulted manifestation kaydı</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Kaynağın hedefteki rolü</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Primary/secondary, support relation, independence ve eligibility</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Kaynak bibliyografisine referans</w:t>
            </w:r>
          </w:p>
        </w:tc>
        <w:tc>
          <w:tcPr>
            <w:tcW w:type="dxa" w:w="2650"/>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4510"/>
            <w:tcMar>
              <w:top w:w="90" w:type="dxa"/>
              <w:start w:w="120" w:type="dxa"/>
              <w:bottom w:w="90" w:type="dxa"/>
              <w:end w:w="120" w:type="dxa"/>
            </w:tcMar>
            <w:vAlign w:val="center"/>
          </w:tcPr>
          <w:p>
            <w:pPr>
              <w:spacing w:after="0"/>
            </w:pPr>
            <w:r>
              <w:rPr>
                <w:rFonts w:ascii="Calibri" w:hAnsi="Calibri"/>
                <w:color w:val="111111"/>
                <w:sz w:val="16"/>
              </w:rPr>
              <w:t>Draft 0.4 yapısı değişmeden korunur</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Review ve kalite sorunları</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Governance records</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Release gate olarak kullanılır; source içine gömülmez</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İddia çatışması</w:t>
            </w:r>
          </w:p>
        </w:tc>
        <w:tc>
          <w:tcPr>
            <w:tcW w:type="dxa" w:w="2650"/>
            <w:tcMar>
              <w:top w:w="90" w:type="dxa"/>
              <w:start w:w="120" w:type="dxa"/>
              <w:bottom w:w="90" w:type="dxa"/>
              <w:end w:w="120" w:type="dxa"/>
            </w:tcMar>
            <w:vAlign w:val="center"/>
          </w:tcPr>
          <w:p>
            <w:pPr>
              <w:spacing w:after="0"/>
            </w:pPr>
            <w:r>
              <w:rPr>
                <w:rFonts w:ascii="Calibri" w:hAnsi="Calibri"/>
                <w:color w:val="111111"/>
                <w:sz w:val="16"/>
              </w:rPr>
              <w:t>ClaimConflict</w:t>
            </w:r>
          </w:p>
        </w:tc>
        <w:tc>
          <w:tcPr>
            <w:tcW w:type="dxa" w:w="4510"/>
            <w:tcMar>
              <w:top w:w="90" w:type="dxa"/>
              <w:start w:w="120" w:type="dxa"/>
              <w:bottom w:w="90" w:type="dxa"/>
              <w:end w:w="120" w:type="dxa"/>
            </w:tcMar>
            <w:vAlign w:val="center"/>
          </w:tcPr>
          <w:p>
            <w:pPr>
              <w:spacing w:after="0"/>
            </w:pPr>
            <w:r>
              <w:rPr>
                <w:rFonts w:ascii="Calibri" w:hAnsi="Calibri"/>
                <w:color w:val="111111"/>
                <w:sz w:val="16"/>
              </w:rPr>
              <w:t>Source assessment yalnız uyuşmazlığı işaretler; domain çatışmasını çözmez</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Frozen kaynak seti</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Exact revision ve checksum seti</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Değiştirilmeyen contract: SourceRef = { sourceId, revision, locator? }. Per-reference checksum eklenmez. Her SourceRef exact SourceCatalogReleaseRef içinde çözülür; sourceId+revision unique olmalı ve locator referenced manifestation için geçerli olmalıdır.</w:t>
            </w:r>
          </w:p>
        </w:tc>
      </w:tr>
    </w:tbl>
    <w:p>
      <w:pPr>
        <w:spacing w:after="0"/>
      </w:pPr>
    </w:p>
    <w:p>
      <w:pPr>
        <w:pStyle w:val="Heading2"/>
      </w:pPr>
      <w:r>
        <w:rPr>
          <w:rFonts w:ascii="Calibri" w:hAnsi="Calibri"/>
          <w:color w:val="111111"/>
        </w:rPr>
        <w:t>2.1 Bağımlılık yönü</w:t>
      </w:r>
    </w:p>
    <w:p>
      <w:pPr>
        <w:numPr>
          <w:ilvl w:val="0"/>
          <w:numId w:val="41"/>
        </w:numPr>
      </w:pPr>
      <w:r>
        <w:rPr>
          <w:rFonts w:ascii="Calibri" w:hAnsi="Calibri"/>
          <w:color w:val="111111"/>
        </w:rPr>
        <w:t>SymbolDefinition, SymbolRelation, InterpretationClaim ve ClaimConflict yalnız exact SourceRef taşır.</w:t>
      </w:r>
    </w:p>
    <w:p>
      <w:pPr>
        <w:numPr>
          <w:ilvl w:val="0"/>
          <w:numId w:val="41"/>
        </w:numPr>
      </w:pPr>
      <w:r>
        <w:rPr>
          <w:rFonts w:ascii="Calibri" w:hAnsi="Calibri"/>
          <w:color w:val="111111"/>
        </w:rPr>
        <w:t>SourceUseAssessment, exact domain record revision ve exact SourceRef'i hedefler.</w:t>
      </w:r>
    </w:p>
    <w:p>
      <w:pPr>
        <w:numPr>
          <w:ilvl w:val="0"/>
          <w:numId w:val="41"/>
        </w:numPr>
      </w:pPr>
      <w:r>
        <w:rPr>
          <w:rFonts w:ascii="Calibri" w:hAnsi="Calibri"/>
          <w:color w:val="111111"/>
        </w:rPr>
        <w:t>Source subsystem VisionFeatureSet, PatternCandidate veya Knowledge ölçümü tüketmez.</w:t>
      </w:r>
    </w:p>
    <w:p>
      <w:pPr>
        <w:numPr>
          <w:ilvl w:val="0"/>
          <w:numId w:val="41"/>
        </w:numPr>
      </w:pPr>
      <w:r>
        <w:rPr>
          <w:rFonts w:ascii="Calibri" w:hAnsi="Calibri"/>
          <w:color w:val="111111"/>
        </w:rPr>
        <w:t>Source Catalog hiçbir domain kaydını değiştiremez; yalnız release eligibility doğrulamasına veri sağlar.</w:t>
      </w:r>
    </w:p>
    <w:p>
      <w:pPr>
        <w:pStyle w:val="Heading1"/>
      </w:pPr>
      <w:r>
        <w:rPr>
          <w:rFonts w:ascii="Calibri" w:hAnsi="Calibri"/>
          <w:color w:val="111111"/>
        </w:rPr>
        <w:t>3. Normatif İlkeler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100"/>
        <w:gridCol w:w="7260"/>
      </w:tblGrid>
      <w:tr>
        <w:trPr>
          <w:tblHeader w:val="true"/>
          <w:cantSplit/>
        </w:trPr>
        <w:tc>
          <w:tcPr>
            <w:tcW w:type="dxa" w:w="2100"/>
            <w:tcMar>
              <w:top w:w="90" w:type="dxa"/>
              <w:start w:w="120" w:type="dxa"/>
              <w:bottom w:w="90" w:type="dxa"/>
              <w:end w:w="120" w:type="dxa"/>
            </w:tcMar>
            <w:vAlign w:val="center"/>
            <w:shd w:fill="006B63"/>
          </w:tcPr>
          <w:p>
            <w:pPr>
              <w:spacing w:after="0"/>
            </w:pPr>
            <w:r>
              <w:rPr>
                <w:rFonts w:ascii="Calibri" w:hAnsi="Calibri"/>
                <w:b/>
                <w:color w:val="FFFFFF"/>
                <w:sz w:val="17"/>
              </w:rPr>
              <w:t>Terim</w:t>
            </w:r>
          </w:p>
        </w:tc>
        <w:tc>
          <w:tcPr>
            <w:tcW w:type="dxa" w:w="7260"/>
            <w:tcMar>
              <w:top w:w="90" w:type="dxa"/>
              <w:start w:w="120" w:type="dxa"/>
              <w:bottom w:w="90" w:type="dxa"/>
              <w:end w:w="120" w:type="dxa"/>
            </w:tcMar>
            <w:vAlign w:val="center"/>
            <w:shd w:fill="006B63"/>
          </w:tcPr>
          <w:p>
            <w:pPr>
              <w:spacing w:after="0"/>
            </w:pPr>
            <w:r>
              <w:rPr>
                <w:rFonts w:ascii="Calibri" w:hAnsi="Calibri"/>
                <w:b/>
                <w:color w:val="FFFFFF"/>
                <w:sz w:val="17"/>
              </w:rPr>
              <w:t>Anlam</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MUST</w:t>
            </w:r>
          </w:p>
        </w:tc>
        <w:tc>
          <w:tcPr>
            <w:tcW w:type="dxa" w:w="7260"/>
            <w:tcMar>
              <w:top w:w="90" w:type="dxa"/>
              <w:start w:w="120" w:type="dxa"/>
              <w:bottom w:w="90" w:type="dxa"/>
              <w:end w:w="120" w:type="dxa"/>
            </w:tcMar>
            <w:vAlign w:val="center"/>
          </w:tcPr>
          <w:p>
            <w:pPr>
              <w:spacing w:after="0"/>
            </w:pPr>
            <w:r>
              <w:rPr>
                <w:rFonts w:ascii="Calibri" w:hAnsi="Calibri"/>
                <w:color w:val="111111"/>
                <w:sz w:val="18"/>
              </w:rPr>
              <w:t>Bağlayıcı gereklilik</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8"/>
              </w:rPr>
              <w:t>MUST NOT</w:t>
            </w:r>
          </w:p>
        </w:tc>
        <w:tc>
          <w:tcPr>
            <w:tcW w:type="dxa" w:w="7260"/>
            <w:shd w:fill="F8FAFA"/>
            <w:tcMar>
              <w:top w:w="90" w:type="dxa"/>
              <w:start w:w="120" w:type="dxa"/>
              <w:bottom w:w="90" w:type="dxa"/>
              <w:end w:w="120" w:type="dxa"/>
            </w:tcMar>
            <w:vAlign w:val="center"/>
          </w:tcPr>
          <w:p>
            <w:pPr>
              <w:spacing w:after="0"/>
            </w:pPr>
            <w:r>
              <w:rPr>
                <w:rFonts w:ascii="Calibri" w:hAnsi="Calibri"/>
                <w:color w:val="111111"/>
                <w:sz w:val="18"/>
              </w:rPr>
              <w:t>Kesin yasak</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SHOULD</w:t>
            </w:r>
          </w:p>
        </w:tc>
        <w:tc>
          <w:tcPr>
            <w:tcW w:type="dxa" w:w="7260"/>
            <w:tcMar>
              <w:top w:w="90" w:type="dxa"/>
              <w:start w:w="120" w:type="dxa"/>
              <w:bottom w:w="90" w:type="dxa"/>
              <w:end w:w="120" w:type="dxa"/>
            </w:tcMar>
            <w:vAlign w:val="center"/>
          </w:tcPr>
          <w:p>
            <w:pPr>
              <w:spacing w:after="0"/>
            </w:pPr>
            <w:r>
              <w:rPr>
                <w:rFonts w:ascii="Calibri" w:hAnsi="Calibri"/>
                <w:color w:val="111111"/>
                <w:sz w:val="18"/>
              </w:rPr>
              <w:t>Güçlü öneri; sapma review kaydında gerekçelendirilir</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8"/>
              </w:rPr>
              <w:t>MAY</w:t>
            </w:r>
          </w:p>
        </w:tc>
        <w:tc>
          <w:tcPr>
            <w:tcW w:type="dxa" w:w="7260"/>
            <w:shd w:fill="F8FAFA"/>
            <w:tcMar>
              <w:top w:w="90" w:type="dxa"/>
              <w:start w:w="120" w:type="dxa"/>
              <w:bottom w:w="90" w:type="dxa"/>
              <w:end w:w="120" w:type="dxa"/>
            </w:tcMar>
            <w:vAlign w:val="center"/>
          </w:tcPr>
          <w:p>
            <w:pPr>
              <w:spacing w:after="0"/>
            </w:pPr>
            <w:r>
              <w:rPr>
                <w:rFonts w:ascii="Calibri" w:hAnsi="Calibri"/>
                <w:color w:val="111111"/>
                <w:sz w:val="18"/>
              </w:rPr>
              <w:t>Opsiyonel davranış</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Requires Founder Review</w:t>
            </w:r>
          </w:p>
        </w:tc>
        <w:tc>
          <w:tcPr>
            <w:tcW w:type="dxa" w:w="7260"/>
            <w:tcMar>
              <w:top w:w="90" w:type="dxa"/>
              <w:start w:w="120" w:type="dxa"/>
              <w:bottom w:w="90" w:type="dxa"/>
              <w:end w:w="120" w:type="dxa"/>
            </w:tcMar>
            <w:vAlign w:val="center"/>
          </w:tcPr>
          <w:p>
            <w:pPr>
              <w:spacing w:after="0"/>
            </w:pPr>
            <w:r>
              <w:rPr>
                <w:rFonts w:ascii="Calibri" w:hAnsi="Calibri"/>
                <w:color w:val="111111"/>
                <w:sz w:val="18"/>
              </w:rPr>
              <w:t>Bu taslakta nihai kabul sayılmayan açık karar</w:t>
            </w:r>
          </w:p>
        </w:tc>
      </w:tr>
    </w:tbl>
    <w:p>
      <w:pPr>
        <w:spacing w:after="0"/>
      </w:pPr>
    </w:p>
    <w:p>
      <w:pPr>
        <w:pStyle w:val="Heading2"/>
      </w:pPr>
      <w:r>
        <w:rPr>
          <w:rFonts w:ascii="Calibri" w:hAnsi="Calibri"/>
          <w:color w:val="111111"/>
        </w:rPr>
        <w:t>3.1 Temel kurallar</w:t>
      </w:r>
    </w:p>
    <w:p>
      <w:pPr>
        <w:numPr>
          <w:ilvl w:val="0"/>
          <w:numId w:val="41"/>
        </w:numPr>
      </w:pPr>
      <w:r>
        <w:rPr>
          <w:rFonts w:ascii="Calibri" w:hAnsi="Calibri"/>
          <w:color w:val="111111"/>
        </w:rPr>
        <w:t>Kaynak sınıfı güvenilirlik kararı değildir; her exact revision ayrıca değerlendirilir.</w:t>
      </w:r>
    </w:p>
    <w:p>
      <w:pPr>
        <w:numPr>
          <w:ilvl w:val="0"/>
          <w:numId w:val="41"/>
        </w:numPr>
      </w:pPr>
      <w:r>
        <w:rPr>
          <w:rFonts w:ascii="Calibri" w:hAnsi="Calibri"/>
          <w:color w:val="111111"/>
        </w:rPr>
        <w:t>Aynı içeriğin kopyaları bağımsız kaynak sayılmaz.</w:t>
      </w:r>
    </w:p>
    <w:p>
      <w:pPr>
        <w:numPr>
          <w:ilvl w:val="0"/>
          <w:numId w:val="41"/>
        </w:numPr>
      </w:pPr>
      <w:r>
        <w:rPr>
          <w:rFonts w:ascii="Calibri" w:hAnsi="Calibri"/>
          <w:color w:val="111111"/>
        </w:rPr>
        <w:t>Tek kaynaklı materyal kataloglanabilir ve draft kaydı destekleyebilir; domain freeze eligibility kararını ayrı versioned Symbol Admission Policy verir.</w:t>
      </w:r>
    </w:p>
    <w:p>
      <w:pPr>
        <w:numPr>
          <w:ilvl w:val="0"/>
          <w:numId w:val="41"/>
        </w:numPr>
      </w:pPr>
      <w:r>
        <w:rPr>
          <w:rFonts w:ascii="Calibri" w:hAnsi="Calibri"/>
          <w:color w:val="111111"/>
        </w:rPr>
        <w:t>Kaynak çelişkisi silinmez, çoğunluk oyu ile kapatılmaz ve confidence sayısına indirgenmez.</w:t>
      </w:r>
    </w:p>
    <w:p>
      <w:pPr>
        <w:numPr>
          <w:ilvl w:val="0"/>
          <w:numId w:val="41"/>
        </w:numPr>
      </w:pPr>
      <w:r>
        <w:rPr>
          <w:rFonts w:ascii="Calibri" w:hAnsi="Calibri"/>
          <w:color w:val="111111"/>
        </w:rPr>
        <w:t>Kaynağın kültürel kapsamı belgede bulunandan daha geniş yorumlanamaz.</w:t>
      </w:r>
    </w:p>
    <w:p>
      <w:pPr>
        <w:numPr>
          <w:ilvl w:val="0"/>
          <w:numId w:val="41"/>
        </w:numPr>
      </w:pPr>
      <w:r>
        <w:rPr>
          <w:rFonts w:ascii="Calibri" w:hAnsi="Calibri"/>
          <w:color w:val="111111"/>
        </w:rPr>
        <w:t>Parser hiçbir string'i trim, case-fold veya Unicode-normalize etmez; invalid veri reddedilir.</w:t>
      </w:r>
    </w:p>
    <w:p>
      <w:pPr>
        <w:numPr>
          <w:ilvl w:val="0"/>
          <w:numId w:val="41"/>
        </w:numPr>
      </w:pPr>
      <w:r>
        <w:rPr>
          <w:rFonts w:ascii="Calibri" w:hAnsi="Calibri"/>
          <w:color w:val="111111"/>
        </w:rPr>
        <w:t>Generated text, arama özeti veya LLM cevabı kaynak değildir.</w:t>
      </w:r>
    </w:p>
    <w:p>
      <w:pPr>
        <w:pStyle w:val="Heading1"/>
      </w:pPr>
      <w:r>
        <w:rPr>
          <w:rFonts w:ascii="Calibri" w:hAnsi="Calibri"/>
          <w:color w:val="111111"/>
        </w:rPr>
        <w:t>4. Source Contract Ailesi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500"/>
        <w:gridCol w:w="4650"/>
        <w:gridCol w:w="2210"/>
      </w:tblGrid>
      <w:tr>
        <w:trPr>
          <w:tblHeader w:val="true"/>
          <w:cantSplit/>
        </w:trPr>
        <w:tc>
          <w:tcPr>
            <w:tcW w:type="dxa" w:w="2500"/>
            <w:tcMar>
              <w:top w:w="90" w:type="dxa"/>
              <w:start w:w="120" w:type="dxa"/>
              <w:bottom w:w="90" w:type="dxa"/>
              <w:end w:w="120" w:type="dxa"/>
            </w:tcMar>
            <w:vAlign w:val="center"/>
            <w:shd w:fill="006B63"/>
          </w:tcPr>
          <w:p>
            <w:pPr>
              <w:spacing w:after="0"/>
            </w:pPr>
            <w:r>
              <w:rPr>
                <w:rFonts w:ascii="Calibri" w:hAnsi="Calibri"/>
                <w:b/>
                <w:color w:val="FFFFFF"/>
                <w:sz w:val="17"/>
              </w:rPr>
              <w:t>Contract</w:t>
            </w:r>
          </w:p>
        </w:tc>
        <w:tc>
          <w:tcPr>
            <w:tcW w:type="dxa" w:w="4650"/>
            <w:tcMar>
              <w:top w:w="90" w:type="dxa"/>
              <w:start w:w="120" w:type="dxa"/>
              <w:bottom w:w="90" w:type="dxa"/>
              <w:end w:w="120" w:type="dxa"/>
            </w:tcMar>
            <w:vAlign w:val="center"/>
            <w:shd w:fill="006B63"/>
          </w:tcPr>
          <w:p>
            <w:pPr>
              <w:spacing w:after="0"/>
            </w:pPr>
            <w:r>
              <w:rPr>
                <w:rFonts w:ascii="Calibri" w:hAnsi="Calibri"/>
                <w:b/>
                <w:color w:val="FFFFFF"/>
                <w:sz w:val="17"/>
              </w:rPr>
              <w:t>Tek sorumluluk</w:t>
            </w:r>
          </w:p>
        </w:tc>
        <w:tc>
          <w:tcPr>
            <w:tcW w:type="dxa" w:w="2210"/>
            <w:tcMar>
              <w:top w:w="90" w:type="dxa"/>
              <w:start w:w="120" w:type="dxa"/>
              <w:bottom w:w="90" w:type="dxa"/>
              <w:end w:w="120" w:type="dxa"/>
            </w:tcMar>
            <w:vAlign w:val="center"/>
            <w:shd w:fill="006B63"/>
          </w:tcPr>
          <w:p>
            <w:pPr>
              <w:spacing w:after="0"/>
            </w:pPr>
            <w:r>
              <w:rPr>
                <w:rFonts w:ascii="Calibri" w:hAnsi="Calibri"/>
                <w:b/>
                <w:color w:val="FFFFFF"/>
                <w:sz w:val="17"/>
              </w:rPr>
              <w:t>Canonical kimlik</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4650"/>
            <w:tcMar>
              <w:top w:w="90" w:type="dxa"/>
              <w:start w:w="120" w:type="dxa"/>
              <w:bottom w:w="90" w:type="dxa"/>
              <w:end w:w="120" w:type="dxa"/>
            </w:tcMar>
            <w:vAlign w:val="center"/>
          </w:tcPr>
          <w:p>
            <w:pPr>
              <w:spacing w:after="0"/>
            </w:pPr>
            <w:r>
              <w:rPr>
                <w:rFonts w:ascii="Calibri" w:hAnsi="Calibri"/>
                <w:color w:val="111111"/>
                <w:sz w:val="16"/>
              </w:rPr>
              <w:t>Exact consulted source manifestation'ının kimliği ve bibliyografik metadata'sı</w:t>
            </w:r>
          </w:p>
        </w:tc>
        <w:tc>
          <w:tcPr>
            <w:tcW w:type="dxa" w:w="2210"/>
            <w:tcMar>
              <w:top w:w="90" w:type="dxa"/>
              <w:start w:w="120" w:type="dxa"/>
              <w:bottom w:w="90" w:type="dxa"/>
              <w:end w:w="120" w:type="dxa"/>
            </w:tcMar>
            <w:vAlign w:val="center"/>
          </w:tcPr>
          <w:p>
            <w:pPr>
              <w:spacing w:after="0"/>
            </w:pPr>
            <w:r>
              <w:rPr>
                <w:rFonts w:ascii="Calibri" w:hAnsi="Calibri"/>
                <w:color w:val="111111"/>
                <w:sz w:val="16"/>
              </w:rPr>
              <w:t>sourceId + revision</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4650"/>
            <w:shd w:fill="F8FAFA"/>
            <w:tcMar>
              <w:top w:w="90" w:type="dxa"/>
              <w:start w:w="120" w:type="dxa"/>
              <w:bottom w:w="90" w:type="dxa"/>
              <w:end w:w="120" w:type="dxa"/>
            </w:tcMar>
            <w:vAlign w:val="center"/>
          </w:tcPr>
          <w:p>
            <w:pPr>
              <w:spacing w:after="0"/>
            </w:pPr>
            <w:r>
              <w:rPr>
                <w:rFonts w:ascii="Calibri" w:hAnsi="Calibri"/>
                <w:color w:val="111111"/>
                <w:sz w:val="16"/>
              </w:rPr>
              <w:t>Exact kaynağın exact hedefteki rolü, bağımsızlığı ve eligibility kararı</w:t>
            </w:r>
          </w:p>
        </w:tc>
        <w:tc>
          <w:tcPr>
            <w:tcW w:type="dxa" w:w="2210"/>
            <w:shd w:fill="F8FAFA"/>
            <w:tcMar>
              <w:top w:w="90" w:type="dxa"/>
              <w:start w:w="120" w:type="dxa"/>
              <w:bottom w:w="90" w:type="dxa"/>
              <w:end w:w="120" w:type="dxa"/>
            </w:tcMar>
            <w:vAlign w:val="center"/>
          </w:tcPr>
          <w:p>
            <w:pPr>
              <w:spacing w:after="0"/>
            </w:pPr>
            <w:r>
              <w:rPr>
                <w:rFonts w:ascii="Calibri" w:hAnsi="Calibri"/>
                <w:color w:val="111111"/>
                <w:sz w:val="16"/>
              </w:rPr>
              <w:t>useAssessmentId + revision</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4650"/>
            <w:tcMar>
              <w:top w:w="90" w:type="dxa"/>
              <w:start w:w="120" w:type="dxa"/>
              <w:bottom w:w="90" w:type="dxa"/>
              <w:end w:w="120" w:type="dxa"/>
            </w:tcMar>
            <w:vAlign w:val="center"/>
          </w:tcPr>
          <w:p>
            <w:pPr>
              <w:spacing w:after="0"/>
            </w:pPr>
            <w:r>
              <w:rPr>
                <w:rFonts w:ascii="Calibri" w:hAnsi="Calibri"/>
                <w:color w:val="111111"/>
                <w:sz w:val="16"/>
              </w:rPr>
              <w:t>Onaylı source ve assessment revision setini dondurur</w:t>
            </w:r>
          </w:p>
        </w:tc>
        <w:tc>
          <w:tcPr>
            <w:tcW w:type="dxa" w:w="2210"/>
            <w:tcMar>
              <w:top w:w="90" w:type="dxa"/>
              <w:start w:w="120" w:type="dxa"/>
              <w:bottom w:w="90" w:type="dxa"/>
              <w:end w:w="120" w:type="dxa"/>
            </w:tcMar>
            <w:vAlign w:val="center"/>
          </w:tcPr>
          <w:p>
            <w:pPr>
              <w:spacing w:after="0"/>
            </w:pPr>
            <w:r>
              <w:rPr>
                <w:rFonts w:ascii="Calibri" w:hAnsi="Calibri"/>
                <w:color w:val="111111"/>
                <w:sz w:val="16"/>
              </w:rPr>
              <w:t>releaseId</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4650"/>
            <w:shd w:fill="F8FAFA"/>
            <w:tcMar>
              <w:top w:w="90" w:type="dxa"/>
              <w:start w:w="120" w:type="dxa"/>
              <w:bottom w:w="90" w:type="dxa"/>
              <w:end w:w="120" w:type="dxa"/>
            </w:tcMar>
            <w:vAlign w:val="center"/>
          </w:tcPr>
          <w:p>
            <w:pPr>
              <w:spacing w:after="0"/>
            </w:pPr>
            <w:r>
              <w:rPr>
                <w:rFonts w:ascii="Calibri" w:hAnsi="Calibri"/>
                <w:color w:val="111111"/>
                <w:sz w:val="16"/>
              </w:rPr>
              <w:t>Domain kaydından exact SourceRecord revision'ına küçük referans</w:t>
            </w:r>
          </w:p>
        </w:tc>
        <w:tc>
          <w:tcPr>
            <w:tcW w:type="dxa" w:w="2210"/>
            <w:shd w:fill="F8FAFA"/>
            <w:tcMar>
              <w:top w:w="90" w:type="dxa"/>
              <w:start w:w="120" w:type="dxa"/>
              <w:bottom w:w="90" w:type="dxa"/>
              <w:end w:w="120" w:type="dxa"/>
            </w:tcMar>
            <w:vAlign w:val="center"/>
          </w:tcPr>
          <w:p>
            <w:pPr>
              <w:spacing w:after="0"/>
            </w:pPr>
            <w:r>
              <w:rPr>
                <w:rFonts w:ascii="Calibri" w:hAnsi="Calibri"/>
                <w:color w:val="111111"/>
                <w:sz w:val="16"/>
              </w:rPr>
              <w:t>sourceId + revision + locator?</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Aggregate kuralı: Kaynak metadata'sı değiştiğinde domain claim yeniden yazılmaz; SourceRef yeni revision'a geçirilir. Bir kaynağın değerlendirmesi değiştiğinde SourceRecord yeniden yazılmaz; yeni SourceUseAssessment revision'ı üretilir.</w:t>
            </w:r>
          </w:p>
        </w:tc>
      </w:tr>
    </w:tbl>
    <w:p>
      <w:pPr>
        <w:spacing w:after="0"/>
      </w:pPr>
    </w:p>
    <w:p>
      <w:pPr>
        <w:pStyle w:val="Heading1"/>
      </w:pPr>
      <w:r>
        <w:rPr>
          <w:rFonts w:ascii="Calibri" w:hAnsi="Calibri"/>
          <w:color w:val="111111"/>
        </w:rPr>
        <w:t>5. SourceRecord Şeması</w:t>
      </w:r>
    </w:p>
    <w:p>
      <w:r>
        <w:rPr>
          <w:rFonts w:ascii="Calibri" w:hAnsi="Calibri"/>
          <w:color w:val="111111"/>
        </w:rPr>
        <w:t>SourceRecord, Atlas'ın gerçekten incelediği belirli baskıyı, sürümü, kaydı veya web yakalamasını tanımlar. sourceId stable source lineage kimliğidir; revision bu lineage içindeki exact immutable consulted manifestation'ı temsil eder. Publication, access, rights, cultural coverage ve integrity ayrı nested value object'lerdir; mevcut sorumluluk kanıtı aggregate'i daha fazla bölmeyi gerektirmez.</w:t>
      </w:r>
    </w:p>
    <w:p>
      <w:pPr>
        <w:pStyle w:val="Heading2"/>
      </w:pPr>
      <w:r>
        <w:rPr>
          <w:rFonts w:ascii="Calibri" w:hAnsi="Calibri"/>
          <w:color w:val="111111"/>
        </w:rPr>
        <w:t>5.1 Üst düzey alanlar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50"/>
        <w:gridCol w:w="1650"/>
        <w:gridCol w:w="1050"/>
        <w:gridCol w:w="4710"/>
      </w:tblGrid>
      <w:tr>
        <w:trPr>
          <w:tblHeader w:val="true"/>
          <w:cantSplit/>
        </w:trPr>
        <w:tc>
          <w:tcPr>
            <w:tcW w:type="dxa" w:w="195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165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1050"/>
            <w:tcMar>
              <w:top w:w="90" w:type="dxa"/>
              <w:start w:w="120" w:type="dxa"/>
              <w:bottom w:w="90" w:type="dxa"/>
              <w:end w:w="120" w:type="dxa"/>
            </w:tcMar>
            <w:vAlign w:val="center"/>
            <w:shd w:fill="006B63"/>
          </w:tcPr>
          <w:p>
            <w:pPr>
              <w:spacing w:after="0"/>
            </w:pPr>
            <w:r>
              <w:rPr>
                <w:rFonts w:ascii="Calibri" w:hAnsi="Calibri"/>
                <w:b/>
                <w:color w:val="FFFFFF"/>
                <w:sz w:val="17"/>
              </w:rPr>
              <w:t>Zorunlu</w:t>
            </w:r>
          </w:p>
        </w:tc>
        <w:tc>
          <w:tcPr>
            <w:tcW w:type="dxa" w:w="471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1950"/>
          </w:tcPr>
          <w:p>
            <w:r>
              <w:t>schemaVersion</w:t>
            </w:r>
          </w:p>
        </w:tc>
        <w:tc>
          <w:tcPr>
            <w:tcW w:type="dxa" w:w="1650"/>
          </w:tcPr>
          <w:p>
            <w:r>
              <w:t>String</w:t>
            </w:r>
          </w:p>
        </w:tc>
        <w:tc>
          <w:tcPr>
            <w:tcW w:type="dxa" w:w="1050"/>
          </w:tcPr>
          <w:p>
            <w:r>
              <w:t>Evet</w:t>
            </w:r>
          </w:p>
        </w:tc>
        <w:tc>
          <w:tcPr>
            <w:tcW w:type="dxa" w:w="4710"/>
          </w:tcPr>
          <w:p>
            <w:r>
              <w:t>Exact supported value; başlangıç "1.0"</w:t>
            </w:r>
          </w:p>
        </w:tc>
      </w:tr>
      <w:tr>
        <w:tc>
          <w:tcPr>
            <w:tcW w:type="dxa" w:w="1950"/>
          </w:tcPr>
          <w:p>
            <w:r>
              <w:t>recordType</w:t>
            </w:r>
          </w:p>
        </w:tc>
        <w:tc>
          <w:tcPr>
            <w:tcW w:type="dxa" w:w="1650"/>
          </w:tcPr>
          <w:p>
            <w:r>
              <w:t>String</w:t>
            </w:r>
          </w:p>
        </w:tc>
        <w:tc>
          <w:tcPr>
            <w:tcW w:type="dxa" w:w="1050"/>
          </w:tcPr>
          <w:p>
            <w:r>
              <w:t>Evet</w:t>
            </w:r>
          </w:p>
        </w:tc>
        <w:tc>
          <w:tcPr>
            <w:tcW w:type="dxa" w:w="4710"/>
          </w:tcPr>
          <w:p>
            <w:r>
              <w:t>Exact "atlas.sourceRecord"</w:t>
            </w:r>
          </w:p>
        </w:tc>
      </w:tr>
      <w:tr>
        <w:tc>
          <w:tcPr>
            <w:tcW w:type="dxa" w:w="1950"/>
          </w:tcPr>
          <w:p>
            <w:r>
              <w:t>sourceId</w:t>
            </w:r>
          </w:p>
        </w:tc>
        <w:tc>
          <w:tcPr>
            <w:tcW w:type="dxa" w:w="1650"/>
          </w:tcPr>
          <w:p>
            <w:r>
              <w:t>String</w:t>
            </w:r>
          </w:p>
        </w:tc>
        <w:tc>
          <w:tcPr>
            <w:tcW w:type="dxa" w:w="1050"/>
          </w:tcPr>
          <w:p>
            <w:r>
              <w:t>Evet</w:t>
            </w:r>
          </w:p>
        </w:tc>
        <w:tc>
          <w:tcPr>
            <w:tcW w:type="dxa" w:w="4710"/>
          </w:tcPr>
          <w:p>
            <w:r>
              <w:t>Stable source lineage ID; safe ASCII ve catalog içinde unique</w:t>
            </w:r>
          </w:p>
        </w:tc>
      </w:tr>
      <w:tr>
        <w:tc>
          <w:tcPr>
            <w:tcW w:type="dxa" w:w="1950"/>
          </w:tcPr>
          <w:p>
            <w:r>
              <w:t>revision</w:t>
            </w:r>
          </w:p>
        </w:tc>
        <w:tc>
          <w:tcPr>
            <w:tcW w:type="dxa" w:w="1650"/>
          </w:tcPr>
          <w:p>
            <w:r>
              <w:t>int</w:t>
            </w:r>
          </w:p>
        </w:tc>
        <w:tc>
          <w:tcPr>
            <w:tcW w:type="dxa" w:w="1050"/>
          </w:tcPr>
          <w:p>
            <w:r>
              <w:t>Evet</w:t>
            </w:r>
          </w:p>
        </w:tc>
        <w:tc>
          <w:tcPr>
            <w:tcW w:type="dxa" w:w="4710"/>
          </w:tcPr>
          <w:p>
            <w:r>
              <w:t>Pozitif; exact consulted manifestation ve immutable record revision</w:t>
            </w:r>
          </w:p>
        </w:tc>
      </w:tr>
      <w:tr>
        <w:tc>
          <w:tcPr>
            <w:tcW w:type="dxa" w:w="1950"/>
          </w:tcPr>
          <w:p>
            <w:r>
              <w:t>canonicalJsonProfileRef</w:t>
            </w:r>
          </w:p>
        </w:tc>
        <w:tc>
          <w:tcPr>
            <w:tcW w:type="dxa" w:w="1650"/>
          </w:tcPr>
          <w:p>
            <w:r>
              <w:t>CanonicalJsonProfileRef</w:t>
            </w:r>
          </w:p>
        </w:tc>
        <w:tc>
          <w:tcPr>
            <w:tcW w:type="dxa" w:w="1050"/>
          </w:tcPr>
          <w:p>
            <w:r>
              <w:t>Evet</w:t>
            </w:r>
          </w:p>
        </w:tc>
        <w:tc>
          <w:tcPr>
            <w:tcW w:type="dxa" w:w="4710"/>
          </w:tcPr>
          <w:p>
            <w:r>
              <w:t>Exact profile identity, revision ve checksum</w:t>
            </w:r>
          </w:p>
        </w:tc>
      </w:tr>
      <w:tr>
        <w:tc>
          <w:tcPr>
            <w:tcW w:type="dxa" w:w="1950"/>
          </w:tcPr>
          <w:p>
            <w:r>
              <w:t>sourceClass</w:t>
            </w:r>
          </w:p>
        </w:tc>
        <w:tc>
          <w:tcPr>
            <w:tcW w:type="dxa" w:w="1650"/>
          </w:tcPr>
          <w:p>
            <w:r>
              <w:t>enum</w:t>
            </w:r>
          </w:p>
        </w:tc>
        <w:tc>
          <w:tcPr>
            <w:tcW w:type="dxa" w:w="1050"/>
          </w:tcPr>
          <w:p>
            <w:r>
              <w:t>Evet</w:t>
            </w:r>
          </w:p>
        </w:tc>
        <w:tc>
          <w:tcPr>
            <w:tcW w:type="dxa" w:w="4710"/>
          </w:tcPr>
          <w:p>
            <w:r>
              <w:t>Bölüm 6 controlled vocabulary</w:t>
            </w:r>
          </w:p>
        </w:tc>
      </w:tr>
      <w:tr>
        <w:tc>
          <w:tcPr>
            <w:tcW w:type="dxa" w:w="1950"/>
          </w:tcPr>
          <w:p>
            <w:r>
              <w:t>title</w:t>
            </w:r>
          </w:p>
        </w:tc>
        <w:tc>
          <w:tcPr>
            <w:tcW w:type="dxa" w:w="1650"/>
          </w:tcPr>
          <w:p>
            <w:r>
              <w:t>String</w:t>
            </w:r>
          </w:p>
        </w:tc>
        <w:tc>
          <w:tcPr>
            <w:tcW w:type="dxa" w:w="1050"/>
          </w:tcPr>
          <w:p>
            <w:r>
              <w:t>Evet</w:t>
            </w:r>
          </w:p>
        </w:tc>
        <w:tc>
          <w:tcPr>
            <w:tcW w:type="dxa" w:w="4710"/>
          </w:tcPr>
          <w:p>
            <w:r>
              <w:t>Kaynakta görülen veya katalogda resmi kullanılan başlık</w:t>
            </w:r>
          </w:p>
        </w:tc>
      </w:tr>
      <w:tr>
        <w:tc>
          <w:tcPr>
            <w:tcW w:type="dxa" w:w="1950"/>
          </w:tcPr>
          <w:p>
            <w:r>
              <w:t>creators</w:t>
            </w:r>
          </w:p>
        </w:tc>
        <w:tc>
          <w:tcPr>
            <w:tcW w:type="dxa" w:w="1650"/>
          </w:tcPr>
          <w:p>
            <w:r>
              <w:t>List&lt;SourceAgent&gt;</w:t>
            </w:r>
          </w:p>
        </w:tc>
        <w:tc>
          <w:tcPr>
            <w:tcW w:type="dxa" w:w="1050"/>
          </w:tcPr>
          <w:p>
            <w:r>
              <w:t>Evet</w:t>
            </w:r>
          </w:p>
        </w:tc>
        <w:tc>
          <w:tcPr>
            <w:tcW w:type="dxa" w:w="4710"/>
          </w:tcPr>
          <w:p>
            <w:r>
              <w:t>Boş olabilir; anonimlik uydurma adla kapatılamaz</w:t>
            </w:r>
          </w:p>
        </w:tc>
      </w:tr>
      <w:tr>
        <w:tc>
          <w:tcPr>
            <w:tcW w:type="dxa" w:w="1950"/>
          </w:tcPr>
          <w:p>
            <w:r>
              <w:t>publication</w:t>
            </w:r>
          </w:p>
        </w:tc>
        <w:tc>
          <w:tcPr>
            <w:tcW w:type="dxa" w:w="1650"/>
          </w:tcPr>
          <w:p>
            <w:r>
              <w:t>PublicationInfo</w:t>
            </w:r>
          </w:p>
        </w:tc>
        <w:tc>
          <w:tcPr>
            <w:tcW w:type="dxa" w:w="1050"/>
          </w:tcPr>
          <w:p>
            <w:r>
              <w:t>Evet</w:t>
            </w:r>
          </w:p>
        </w:tc>
        <w:tc>
          <w:tcPr>
            <w:tcW w:type="dxa" w:w="4710"/>
          </w:tcPr>
          <w:p>
            <w:r>
              <w:t>Kaynak sınıfına göre koşullu alanlar</w:t>
            </w:r>
          </w:p>
        </w:tc>
      </w:tr>
      <w:tr>
        <w:tc>
          <w:tcPr>
            <w:tcW w:type="dxa" w:w="1950"/>
          </w:tcPr>
          <w:p>
            <w:r>
              <w:t>languages</w:t>
            </w:r>
          </w:p>
        </w:tc>
        <w:tc>
          <w:tcPr>
            <w:tcW w:type="dxa" w:w="1650"/>
          </w:tcPr>
          <w:p>
            <w:r>
              <w:t>LanguageInfo</w:t>
            </w:r>
          </w:p>
        </w:tc>
        <w:tc>
          <w:tcPr>
            <w:tcW w:type="dxa" w:w="1050"/>
          </w:tcPr>
          <w:p>
            <w:r>
              <w:t>Evet</w:t>
            </w:r>
          </w:p>
        </w:tc>
        <w:tc>
          <w:tcPr>
            <w:tcW w:type="dxa" w:w="4710"/>
          </w:tcPr>
          <w:p>
            <w:r>
              <w:t>Consulted language zorunlu</w:t>
            </w:r>
          </w:p>
        </w:tc>
      </w:tr>
      <w:tr>
        <w:tc>
          <w:tcPr>
            <w:tcW w:type="dxa" w:w="1950"/>
          </w:tcPr>
          <w:p>
            <w:r>
              <w:t>identifiers</w:t>
            </w:r>
          </w:p>
        </w:tc>
        <w:tc>
          <w:tcPr>
            <w:tcW w:type="dxa" w:w="1650"/>
          </w:tcPr>
          <w:p>
            <w:r>
              <w:t>List&lt;SourceIdentifier&gt;</w:t>
            </w:r>
          </w:p>
        </w:tc>
        <w:tc>
          <w:tcPr>
            <w:tcW w:type="dxa" w:w="1050"/>
          </w:tcPr>
          <w:p>
            <w:r>
              <w:t>Evet</w:t>
            </w:r>
          </w:p>
        </w:tc>
        <w:tc>
          <w:tcPr>
            <w:tcW w:type="dxa" w:w="4710"/>
          </w:tcPr>
          <w:p>
            <w:r>
              <w:t>En az bir recoverable identifier</w:t>
            </w:r>
          </w:p>
        </w:tc>
      </w:tr>
      <w:tr>
        <w:tc>
          <w:tcPr>
            <w:tcW w:type="dxa" w:w="1950"/>
          </w:tcPr>
          <w:p>
            <w:r>
              <w:t>access</w:t>
            </w:r>
          </w:p>
        </w:tc>
        <w:tc>
          <w:tcPr>
            <w:tcW w:type="dxa" w:w="1650"/>
          </w:tcPr>
          <w:p>
            <w:r>
              <w:t>AccessInfo</w:t>
            </w:r>
          </w:p>
        </w:tc>
        <w:tc>
          <w:tcPr>
            <w:tcW w:type="dxa" w:w="1050"/>
          </w:tcPr>
          <w:p>
            <w:r>
              <w:t>Evet</w:t>
            </w:r>
          </w:p>
        </w:tc>
        <w:tc>
          <w:tcPr>
            <w:tcW w:type="dxa" w:w="4710"/>
          </w:tcPr>
          <w:p>
            <w:r>
              <w:t>Erişim biçimi ve mutable içerik için timestamp</w:t>
            </w:r>
          </w:p>
        </w:tc>
      </w:tr>
      <w:tr>
        <w:tc>
          <w:tcPr>
            <w:tcW w:type="dxa" w:w="1950"/>
          </w:tcPr>
          <w:p>
            <w:r>
              <w:t>rights</w:t>
            </w:r>
          </w:p>
        </w:tc>
        <w:tc>
          <w:tcPr>
            <w:tcW w:type="dxa" w:w="1650"/>
          </w:tcPr>
          <w:p>
            <w:r>
              <w:t>RightsInfo</w:t>
            </w:r>
          </w:p>
        </w:tc>
        <w:tc>
          <w:tcPr>
            <w:tcW w:type="dxa" w:w="1050"/>
          </w:tcPr>
          <w:p>
            <w:r>
              <w:t>Evet</w:t>
            </w:r>
          </w:p>
        </w:tc>
        <w:tc>
          <w:tcPr>
            <w:tcW w:type="dxa" w:w="4710"/>
          </w:tcPr>
          <w:p>
            <w:r>
              <w:t>Bilinmiyorsa unknown; varsayım yapılmaz</w:t>
            </w:r>
          </w:p>
        </w:tc>
      </w:tr>
      <w:tr>
        <w:tc>
          <w:tcPr>
            <w:tcW w:type="dxa" w:w="1950"/>
          </w:tcPr>
          <w:p>
            <w:r>
              <w:t>culturalCoverage</w:t>
            </w:r>
          </w:p>
        </w:tc>
        <w:tc>
          <w:tcPr>
            <w:tcW w:type="dxa" w:w="1650"/>
          </w:tcPr>
          <w:p>
            <w:r>
              <w:t>CulturalCoverage</w:t>
            </w:r>
          </w:p>
        </w:tc>
        <w:tc>
          <w:tcPr>
            <w:tcW w:type="dxa" w:w="1050"/>
          </w:tcPr>
          <w:p>
            <w:r>
              <w:t>Evet</w:t>
            </w:r>
          </w:p>
        </w:tc>
        <w:tc>
          <w:tcPr>
            <w:tcW w:type="dxa" w:w="4710"/>
          </w:tcPr>
          <w:p>
            <w:r>
              <w:t>Kaynağın açıkça kapsadığı bağlam; boş/unknown olabilir</w:t>
            </w:r>
          </w:p>
        </w:tc>
      </w:tr>
      <w:tr>
        <w:tc>
          <w:tcPr>
            <w:tcW w:type="dxa" w:w="1950"/>
          </w:tcPr>
          <w:p>
            <w:r>
              <w:t>integrity</w:t>
            </w:r>
          </w:p>
        </w:tc>
        <w:tc>
          <w:tcPr>
            <w:tcW w:type="dxa" w:w="1650"/>
          </w:tcPr>
          <w:p>
            <w:r>
              <w:t>IntegrityInfo</w:t>
            </w:r>
          </w:p>
        </w:tc>
        <w:tc>
          <w:tcPr>
            <w:tcW w:type="dxa" w:w="1050"/>
          </w:tcPr>
          <w:p>
            <w:r>
              <w:t>Evet</w:t>
            </w:r>
          </w:p>
        </w:tc>
        <w:tc>
          <w:tcPr>
            <w:tcW w:type="dxa" w:w="4710"/>
          </w:tcPr>
          <w:p>
            <w:r>
              <w:t>Exact manifestation ve varsa content checksum</w:t>
            </w:r>
          </w:p>
        </w:tc>
      </w:tr>
    </w:tbl>
    <w:p>
      <w:pPr>
        <w:spacing w:after="0"/>
      </w:pPr>
    </w:p>
    <w:p>
      <w:pPr>
        <w:pStyle w:val="Heading2"/>
      </w:pPr>
      <w:r>
        <w:rPr>
          <w:rFonts w:ascii="Calibri" w:hAnsi="Calibri"/>
          <w:color w:val="111111"/>
        </w:rPr>
        <w:t>5.2 Alt nesne sözleşmeleri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050"/>
        <w:gridCol w:w="3550"/>
        <w:gridCol w:w="3760"/>
      </w:tblGrid>
      <w:tr>
        <w:trPr>
          <w:tblHeader w:val="true"/>
          <w:cantSplit/>
        </w:trPr>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Nesne</w:t>
            </w:r>
          </w:p>
        </w:tc>
        <w:tc>
          <w:tcPr>
            <w:tcW w:type="dxa" w:w="3550"/>
            <w:tcMar>
              <w:top w:w="90" w:type="dxa"/>
              <w:start w:w="120" w:type="dxa"/>
              <w:bottom w:w="90" w:type="dxa"/>
              <w:end w:w="120" w:type="dxa"/>
            </w:tcMar>
            <w:vAlign w:val="center"/>
            <w:shd w:fill="006B63"/>
          </w:tcPr>
          <w:p>
            <w:pPr>
              <w:spacing w:after="0"/>
            </w:pPr>
            <w:r>
              <w:rPr>
                <w:rFonts w:ascii="Calibri" w:hAnsi="Calibri"/>
                <w:b/>
                <w:color w:val="FFFFFF"/>
                <w:sz w:val="17"/>
              </w:rPr>
              <w:t>Minimum alanlar</w:t>
            </w:r>
          </w:p>
        </w:tc>
        <w:tc>
          <w:tcPr>
            <w:tcW w:type="dxa" w:w="3760"/>
            <w:tcMar>
              <w:top w:w="90" w:type="dxa"/>
              <w:start w:w="120" w:type="dxa"/>
              <w:bottom w:w="90" w:type="dxa"/>
              <w:end w:w="120" w:type="dxa"/>
            </w:tcMar>
            <w:vAlign w:val="center"/>
            <w:shd w:fill="006B63"/>
          </w:tcPr>
          <w:p>
            <w:pPr>
              <w:spacing w:after="0"/>
            </w:pPr>
            <w:r>
              <w:rPr>
                <w:rFonts w:ascii="Calibri" w:hAnsi="Calibri"/>
                <w:b/>
                <w:color w:val="FFFFFF"/>
                <w:sz w:val="17"/>
              </w:rPr>
              <w:t>Validation özeti</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SourceAgent</w:t>
            </w:r>
          </w:p>
        </w:tc>
        <w:tc>
          <w:tcPr>
            <w:tcW w:type="dxa" w:w="3550"/>
            <w:tcMar>
              <w:top w:w="90" w:type="dxa"/>
              <w:start w:w="120" w:type="dxa"/>
              <w:bottom w:w="90" w:type="dxa"/>
              <w:end w:w="120" w:type="dxa"/>
            </w:tcMar>
            <w:vAlign w:val="center"/>
          </w:tcPr>
          <w:p>
            <w:pPr>
              <w:spacing w:after="0"/>
            </w:pPr>
            <w:r>
              <w:rPr>
                <w:rFonts w:ascii="Calibri" w:hAnsi="Calibri"/>
                <w:color w:val="111111"/>
                <w:sz w:val="15"/>
              </w:rPr>
              <w:t>agentType, displayName, role</w:t>
            </w:r>
          </w:p>
        </w:tc>
        <w:tc>
          <w:tcPr>
            <w:tcW w:type="dxa" w:w="3760"/>
            <w:tcMar>
              <w:top w:w="90" w:type="dxa"/>
              <w:start w:w="120" w:type="dxa"/>
              <w:bottom w:w="90" w:type="dxa"/>
              <w:end w:w="120" w:type="dxa"/>
            </w:tcMar>
            <w:vAlign w:val="center"/>
          </w:tcPr>
          <w:p>
            <w:pPr>
              <w:spacing w:after="0"/>
            </w:pPr>
            <w:r>
              <w:rPr>
                <w:rFonts w:ascii="Calibri" w:hAnsi="Calibri"/>
                <w:color w:val="111111"/>
                <w:sz w:val="15"/>
              </w:rPr>
              <w:t>person|organization; boş ad yasak</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PublicationInfo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publicationDate?, publisher?, containerTitle?, edition?, volume?, issue?, pages?</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Uygulanmayan alan yok sayılmaz; null yerine schema kuralı kullanılır</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LanguageInfo</w:t>
            </w:r>
          </w:p>
        </w:tc>
        <w:tc>
          <w:tcPr>
            <w:tcW w:type="dxa" w:w="3550"/>
            <w:tcMar>
              <w:top w:w="90" w:type="dxa"/>
              <w:start w:w="120" w:type="dxa"/>
              <w:bottom w:w="90" w:type="dxa"/>
              <w:end w:w="120" w:type="dxa"/>
            </w:tcMar>
            <w:vAlign w:val="center"/>
          </w:tcPr>
          <w:p>
            <w:pPr>
              <w:spacing w:after="0"/>
            </w:pPr>
            <w:r>
              <w:rPr>
                <w:rFonts w:ascii="Calibri" w:hAnsi="Calibri"/>
                <w:color w:val="111111"/>
                <w:sz w:val="15"/>
              </w:rPr>
              <w:t>consultedLanguage, originalLanguage?</w:t>
            </w:r>
          </w:p>
        </w:tc>
        <w:tc>
          <w:tcPr>
            <w:tcW w:type="dxa" w:w="3760"/>
            <w:tcMar>
              <w:top w:w="90" w:type="dxa"/>
              <w:start w:w="120" w:type="dxa"/>
              <w:bottom w:w="90" w:type="dxa"/>
              <w:end w:w="120" w:type="dxa"/>
            </w:tcMar>
            <w:vAlign w:val="center"/>
          </w:tcPr>
          <w:p>
            <w:pPr>
              <w:spacing w:after="0"/>
            </w:pPr>
            <w:r>
              <w:rPr>
                <w:rFonts w:ascii="Calibri" w:hAnsi="Calibri"/>
                <w:color w:val="111111"/>
                <w:sz w:val="15"/>
              </w:rPr>
              <w:t>Canonical BCP-47; bilinmiyorsa originalLanguage omit</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SourceIdentifier</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identifierType, value</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doi|isbn|issn|url|archiveId|catalogId|localAccessionId</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AccessInfo</w:t>
            </w:r>
          </w:p>
        </w:tc>
        <w:tc>
          <w:tcPr>
            <w:tcW w:type="dxa" w:w="3550"/>
            <w:tcMar>
              <w:top w:w="90" w:type="dxa"/>
              <w:start w:w="120" w:type="dxa"/>
              <w:bottom w:w="90" w:type="dxa"/>
              <w:end w:w="120" w:type="dxa"/>
            </w:tcMar>
            <w:vAlign w:val="center"/>
          </w:tcPr>
          <w:p>
            <w:pPr>
              <w:spacing w:after="0"/>
            </w:pPr>
            <w:r>
              <w:rPr>
                <w:rFonts w:ascii="Calibri" w:hAnsi="Calibri"/>
                <w:color w:val="111111"/>
                <w:sz w:val="15"/>
              </w:rPr>
              <w:t>accessMode, accessedAtUtc?, repository?</w:t>
            </w:r>
          </w:p>
        </w:tc>
        <w:tc>
          <w:tcPr>
            <w:tcW w:type="dxa" w:w="3760"/>
            <w:tcMar>
              <w:top w:w="90" w:type="dxa"/>
              <w:start w:w="120" w:type="dxa"/>
              <w:bottom w:w="90" w:type="dxa"/>
              <w:end w:w="120" w:type="dxa"/>
            </w:tcMar>
            <w:vAlign w:val="center"/>
          </w:tcPr>
          <w:p>
            <w:pPr>
              <w:spacing w:after="0"/>
            </w:pPr>
            <w:r>
              <w:rPr>
                <w:rFonts w:ascii="Calibri" w:hAnsi="Calibri"/>
                <w:color w:val="111111"/>
                <w:sz w:val="15"/>
              </w:rPr>
              <w:t>online mutable içerikte accessedAtUtc zorunlu</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RightsInfo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rightsStatus, licenseId?, permissionRef?</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publicDomain|licensed|permissionGranted|citationOnly|restricted|unknown</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CulturalCoverage</w:t>
            </w:r>
          </w:p>
        </w:tc>
        <w:tc>
          <w:tcPr>
            <w:tcW w:type="dxa" w:w="3550"/>
            <w:tcMar>
              <w:top w:w="90" w:type="dxa"/>
              <w:start w:w="120" w:type="dxa"/>
              <w:bottom w:w="90" w:type="dxa"/>
              <w:end w:w="120" w:type="dxa"/>
            </w:tcMar>
            <w:vAlign w:val="center"/>
          </w:tcPr>
          <w:p>
            <w:pPr>
              <w:spacing w:after="0"/>
            </w:pPr>
            <w:r>
              <w:rPr>
                <w:rFonts w:ascii="Calibri" w:hAnsi="Calibri"/>
                <w:color w:val="111111"/>
                <w:sz w:val="15"/>
              </w:rPr>
              <w:t>contextIds, basis, note?</w:t>
            </w:r>
          </w:p>
        </w:tc>
        <w:tc>
          <w:tcPr>
            <w:tcW w:type="dxa" w:w="3760"/>
            <w:tcMar>
              <w:top w:w="90" w:type="dxa"/>
              <w:start w:w="120" w:type="dxa"/>
              <w:bottom w:w="90" w:type="dxa"/>
              <w:end w:w="120" w:type="dxa"/>
            </w:tcMar>
            <w:vAlign w:val="center"/>
          </w:tcPr>
          <w:p>
            <w:pPr>
              <w:spacing w:after="0"/>
            </w:pPr>
            <w:r>
              <w:rPr>
                <w:rFonts w:ascii="Calibri" w:hAnsi="Calibri"/>
                <w:color w:val="111111"/>
                <w:sz w:val="15"/>
              </w:rPr>
              <w:t>contextIds frozen Context Registry release'ine çözülür; basis sourceDeclared|catalogerObserved|unknown</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IntegrityInfo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manifestationType, capturedAtUtc?, contentChecksum?, archivedIdentifier?</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fixedEdition|archivedSnapshot|capturedMutable|uncapturedMutable|physicalRecord</w:t>
            </w:r>
          </w:p>
        </w:tc>
      </w:tr>
    </w:tbl>
    <w:p>
      <w:pPr>
        <w:spacing w:after="0"/>
      </w:pPr>
    </w:p>
    <w:p>
      <w:pPr>
        <w:pStyle w:val="Heading2"/>
      </w:pPr>
      <w:r>
        <w:rPr>
          <w:rFonts w:ascii="Calibri" w:hAnsi="Calibri"/>
          <w:color w:val="111111"/>
        </w:rPr>
        <w:t>5.3 Revision ilkesi</w:t>
      </w:r>
    </w:p>
    <w:p>
      <w:pPr>
        <w:numPr>
          <w:ilvl w:val="0"/>
          <w:numId w:val="41"/>
        </w:numPr>
      </w:pPr>
      <w:r>
        <w:rPr>
          <w:rFonts w:ascii="Calibri" w:hAnsi="Calibri"/>
          <w:color w:val="111111"/>
        </w:rPr>
        <w:t>Aynı source lineage içindeki yeni edition, translation, capture veya corrected manifestation yeni immutable revision üretir.</w:t>
      </w:r>
    </w:p>
    <w:p>
      <w:pPr>
        <w:numPr>
          <w:ilvl w:val="0"/>
          <w:numId w:val="41"/>
        </w:numPr>
      </w:pPr>
      <w:r>
        <w:rPr>
          <w:rFonts w:ascii="Calibri" w:hAnsi="Calibri"/>
          <w:color w:val="111111"/>
        </w:rPr>
        <w:t>Mutable web içeriğinin yeni yakalaması, içerik aynı olduğu doğrulanmadıkça yeni revision'dır.</w:t>
      </w:r>
    </w:p>
    <w:p>
      <w:pPr>
        <w:numPr>
          <w:ilvl w:val="0"/>
          <w:numId w:val="41"/>
        </w:numPr>
      </w:pPr>
      <w:r>
        <w:rPr>
          <w:rFonts w:ascii="Calibri" w:hAnsi="Calibri"/>
          <w:color w:val="111111"/>
        </w:rPr>
        <w:t>Yalnız yeniden erişim tarihi eklemek mevcut frozen revision'ı değiştirmez; gerekiyorsa yeni revision oluşturulur.</w:t>
      </w:r>
    </w:p>
    <w:p>
      <w:pPr>
        <w:numPr>
          <w:ilvl w:val="0"/>
          <w:numId w:val="41"/>
        </w:numPr>
      </w:pPr>
      <w:r>
        <w:rPr>
          <w:rFonts w:ascii="Calibri" w:hAnsi="Calibri"/>
          <w:color w:val="111111"/>
        </w:rPr>
        <w:t>Yanlış metadata yerinde düzeltilmez; replacement revision hazırlanır. Unrelated work, değişen canonical source identity veya farklı source lineage yeni sourceId gerektirir.</w:t>
      </w:r>
    </w:p>
    <w:p>
      <w:pPr>
        <w:pStyle w:val="Heading1"/>
      </w:pPr>
      <w:r>
        <w:rPr>
          <w:rFonts w:ascii="Calibri" w:hAnsi="Calibri"/>
          <w:color w:val="111111"/>
        </w:rPr>
        <w:t>6. Kaynak Sınıfları</w:t>
      </w:r>
    </w:p>
    <w:p>
      <w:r>
        <w:rPr>
          <w:rFonts w:ascii="Calibri" w:hAnsi="Calibri"/>
          <w:color w:val="111111"/>
        </w:rPr>
        <w:t>sourceClass yalnız gözlenebilir yayın/oluşum biçimini tanımlar. Peer review, akademik kontrol, uzmanlık, kurumsal sahiplik ve kültürel yakınlık SourceUseAssessment.qualityDimensions tarafından değerlendirilir.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450"/>
        <w:gridCol w:w="3920"/>
        <w:gridCol w:w="2990"/>
      </w:tblGrid>
      <w:tr>
        <w:trPr>
          <w:tblHeader w:val="true"/>
          <w:cantSplit/>
        </w:trPr>
        <w:tc>
          <w:tcPr>
            <w:tcW w:type="dxa" w:w="2450"/>
            <w:tcMar>
              <w:top w:w="90" w:type="dxa"/>
              <w:start w:w="120" w:type="dxa"/>
              <w:bottom w:w="90" w:type="dxa"/>
              <w:end w:w="120" w:type="dxa"/>
            </w:tcMar>
            <w:vAlign w:val="center"/>
            <w:shd w:fill="006B63"/>
          </w:tcPr>
          <w:p>
            <w:pPr>
              <w:spacing w:after="0"/>
            </w:pPr>
            <w:r>
              <w:rPr>
                <w:rFonts w:ascii="Calibri" w:hAnsi="Calibri"/>
                <w:b/>
                <w:color w:val="FFFFFF"/>
                <w:sz w:val="17"/>
              </w:rPr>
              <w:t>sourceClass</w:t>
            </w:r>
          </w:p>
        </w:tc>
        <w:tc>
          <w:tcPr>
            <w:tcW w:type="dxa" w:w="3920"/>
            <w:tcMar>
              <w:top w:w="90" w:type="dxa"/>
              <w:start w:w="120" w:type="dxa"/>
              <w:bottom w:w="90" w:type="dxa"/>
              <w:end w:w="120" w:type="dxa"/>
            </w:tcMar>
            <w:vAlign w:val="center"/>
            <w:shd w:fill="006B63"/>
          </w:tcPr>
          <w:p>
            <w:pPr>
              <w:spacing w:after="0"/>
            </w:pPr>
            <w:r>
              <w:rPr>
                <w:rFonts w:ascii="Calibri" w:hAnsi="Calibri"/>
                <w:b/>
                <w:color w:val="FFFFFF"/>
                <w:sz w:val="17"/>
              </w:rPr>
              <w:t>Nesnel tanım</w:t>
            </w:r>
          </w:p>
        </w:tc>
        <w:tc>
          <w:tcPr>
            <w:tcW w:type="dxa" w:w="2990"/>
            <w:tcMar>
              <w:top w:w="90" w:type="dxa"/>
              <w:start w:w="120" w:type="dxa"/>
              <w:bottom w:w="90" w:type="dxa"/>
              <w:end w:w="120" w:type="dxa"/>
            </w:tcMar>
            <w:vAlign w:val="center"/>
            <w:shd w:fill="006B63"/>
          </w:tcPr>
          <w:p>
            <w:pPr>
              <w:spacing w:after="0"/>
            </w:pPr>
            <w:r>
              <w:rPr>
                <w:rFonts w:ascii="Calibri" w:hAnsi="Calibri"/>
                <w:b/>
                <w:color w:val="FFFFFF"/>
                <w:sz w:val="17"/>
              </w:rPr>
              <w:t>Assessment sınırı</w:t>
            </w:r>
          </w:p>
        </w:tc>
      </w:tr>
      <w:tr>
        <w:tc>
          <w:tcPr>
            <w:tcW w:type="dxa" w:w="2450"/>
          </w:tcPr>
          <w:p>
            <w:r>
              <w:t>journalOrConferencePublication</w:t>
            </w:r>
          </w:p>
        </w:tc>
        <w:tc>
          <w:tcPr>
            <w:tcW w:type="dxa" w:w="3920"/>
          </w:tcPr>
          <w:p>
            <w:r>
              <w:t>Dergi, proceedings veya konferans yayını</w:t>
            </w:r>
          </w:p>
        </w:tc>
        <w:tc>
          <w:tcPr>
            <w:tcW w:type="dxa" w:w="2990"/>
          </w:tcPr>
          <w:p>
            <w:r>
              <w:t>Peer review ve method qualityDimensions içinde</w:t>
            </w:r>
          </w:p>
        </w:tc>
      </w:tr>
      <w:tr>
        <w:tc>
          <w:tcPr>
            <w:tcW w:type="dxa" w:w="2450"/>
          </w:tcPr>
          <w:p>
            <w:r>
              <w:t>monographOrBook</w:t>
            </w:r>
          </w:p>
        </w:tc>
        <w:tc>
          <w:tcPr>
            <w:tcW w:type="dxa" w:w="3920"/>
          </w:tcPr>
          <w:p>
            <w:r>
              <w:t>Tek eser olarak yayımlanmış kitap veya monografi</w:t>
            </w:r>
          </w:p>
        </w:tc>
        <w:tc>
          <w:tcPr>
            <w:tcW w:type="dxa" w:w="2990"/>
          </w:tcPr>
          <w:p>
            <w:r>
              <w:t>Academic/specialist niteliği assessment içinde</w:t>
            </w:r>
          </w:p>
        </w:tc>
      </w:tr>
      <w:tr>
        <w:tc>
          <w:tcPr>
            <w:tcW w:type="dxa" w:w="2450"/>
          </w:tcPr>
          <w:p>
            <w:r>
              <w:t>thesisOrDissertation</w:t>
            </w:r>
          </w:p>
        </w:tc>
        <w:tc>
          <w:tcPr>
            <w:tcW w:type="dxa" w:w="3920"/>
          </w:tcPr>
          <w:p>
            <w:r>
              <w:t>Kurumsal olarak kabul edilmiş lisansüstü çalışma</w:t>
            </w:r>
          </w:p>
        </w:tc>
        <w:tc>
          <w:tcPr>
            <w:tcW w:type="dxa" w:w="2990"/>
          </w:tcPr>
          <w:p>
            <w:r>
              <w:t>Supervision ve institution assessment içinde</w:t>
            </w:r>
          </w:p>
        </w:tc>
      </w:tr>
      <w:tr>
        <w:tc>
          <w:tcPr>
            <w:tcW w:type="dxa" w:w="2450"/>
          </w:tcPr>
          <w:p>
            <w:r>
              <w:t>institutionalPublication</w:t>
            </w:r>
          </w:p>
        </w:tc>
        <w:tc>
          <w:tcPr>
            <w:tcW w:type="dxa" w:w="3920"/>
          </w:tcPr>
          <w:p>
            <w:r>
              <w:t>Kurum tarafından yayımlanmış rapor, katalog veya çalışma</w:t>
            </w:r>
          </w:p>
        </w:tc>
        <w:tc>
          <w:tcPr>
            <w:tcW w:type="dxa" w:w="2990"/>
          </w:tcPr>
          <w:p>
            <w:r>
              <w:t>Institutional ownership doğruluk garantisi değildir</w:t>
            </w:r>
          </w:p>
        </w:tc>
      </w:tr>
      <w:tr>
        <w:tc>
          <w:tcPr>
            <w:tcW w:type="dxa" w:w="2450"/>
          </w:tcPr>
          <w:p>
            <w:r>
              <w:t>archivalMaterial</w:t>
            </w:r>
          </w:p>
        </w:tc>
        <w:tc>
          <w:tcPr>
            <w:tcW w:type="dxa" w:w="3920"/>
          </w:tcPr>
          <w:p>
            <w:r>
              <w:t>Arşiv belgesi, tarihsel kayıt veya katalog item</w:t>
            </w:r>
          </w:p>
        </w:tc>
        <w:tc>
          <w:tcPr>
            <w:tcW w:type="dxa" w:w="2990"/>
          </w:tcPr>
          <w:p>
            <w:r>
              <w:t>Context ve integrity ayrıca değerlendirilir</w:t>
            </w:r>
          </w:p>
        </w:tc>
      </w:tr>
      <w:tr>
        <w:tc>
          <w:tcPr>
            <w:tcW w:type="dxa" w:w="2450"/>
          </w:tcPr>
          <w:p>
            <w:r>
              <w:t>referenceWork</w:t>
            </w:r>
          </w:p>
        </w:tc>
        <w:tc>
          <w:tcPr>
            <w:tcW w:type="dxa" w:w="3920"/>
          </w:tcPr>
          <w:p>
            <w:r>
              <w:t>Ansiklopedi, sözlük veya derleme</w:t>
            </w:r>
          </w:p>
        </w:tc>
        <w:tc>
          <w:tcPr>
            <w:tcW w:type="dxa" w:w="2990"/>
          </w:tcPr>
          <w:p>
            <w:r>
              <w:t>Evidence role hedefe göre atanır</w:t>
            </w:r>
          </w:p>
        </w:tc>
      </w:tr>
      <w:tr>
        <w:tc>
          <w:tcPr>
            <w:tcW w:type="dxa" w:w="2450"/>
          </w:tcPr>
          <w:p>
            <w:r>
              <w:t>interview</w:t>
            </w:r>
          </w:p>
        </w:tc>
        <w:tc>
          <w:tcPr>
            <w:tcW w:type="dxa" w:w="3920"/>
          </w:tcPr>
          <w:p>
            <w:r>
              <w:t>Kimliği ve bağlamı kayıtlı görüşme</w:t>
            </w:r>
          </w:p>
        </w:tc>
        <w:tc>
          <w:tcPr>
            <w:tcW w:type="dxa" w:w="2990"/>
          </w:tcPr>
          <w:p>
            <w:r>
              <w:t>Expertise, consent ve transcript assessment içinde</w:t>
            </w:r>
          </w:p>
        </w:tc>
      </w:tr>
      <w:tr>
        <w:tc>
          <w:tcPr>
            <w:tcW w:type="dxa" w:w="2450"/>
          </w:tcPr>
          <w:p>
            <w:r>
              <w:t>oralHistoryOrFieldRecord</w:t>
            </w:r>
          </w:p>
        </w:tc>
        <w:tc>
          <w:tcPr>
            <w:tcW w:type="dxa" w:w="3920"/>
          </w:tcPr>
          <w:p>
            <w:r>
              <w:t>Topluluk veya saha temelli kayıt</w:t>
            </w:r>
          </w:p>
        </w:tc>
        <w:tc>
          <w:tcPr>
            <w:tcW w:type="dxa" w:w="2990"/>
          </w:tcPr>
          <w:p>
            <w:r>
              <w:t>Consent, representation ve scope assessment içinde</w:t>
            </w:r>
          </w:p>
        </w:tc>
      </w:tr>
      <w:tr>
        <w:tc>
          <w:tcPr>
            <w:tcW w:type="dxa" w:w="2450"/>
          </w:tcPr>
          <w:p>
            <w:r>
              <w:t>webPublication</w:t>
            </w:r>
          </w:p>
        </w:tc>
        <w:tc>
          <w:tcPr>
            <w:tcW w:type="dxa" w:w="3920"/>
          </w:tcPr>
          <w:p>
            <w:r>
              <w:t>Yazarlı veya kurumsal çevrimiçi yayın</w:t>
            </w:r>
          </w:p>
        </w:tc>
        <w:tc>
          <w:tcPr>
            <w:tcW w:type="dxa" w:w="2990"/>
          </w:tcPr>
          <w:p>
            <w:r>
              <w:t>Stability, capture ve editorial control assessment içinde</w:t>
            </w:r>
          </w:p>
        </w:tc>
      </w:tr>
      <w:tr>
        <w:tc>
          <w:tcPr>
            <w:tcW w:type="dxa" w:w="2450"/>
          </w:tcPr>
          <w:p>
            <w:r>
              <w:t>communityGeneratedContent</w:t>
            </w:r>
          </w:p>
        </w:tc>
        <w:tc>
          <w:tcPr>
            <w:tcW w:type="dxa" w:w="3920"/>
          </w:tcPr>
          <w:p>
            <w:r>
              <w:t>Forum, sosyal platform veya topluluk içeriği</w:t>
            </w:r>
          </w:p>
        </w:tc>
        <w:tc>
          <w:tcPr>
            <w:tcW w:type="dxa" w:w="2990"/>
          </w:tcPr>
          <w:p>
            <w:r>
              <w:t>Eligibility yalnız exact use assessment ile belirlenir</w:t>
            </w:r>
          </w:p>
        </w:tc>
      </w:tr>
    </w:tbl>
    <w:p>
      <w:pPr>
        <w:spacing w:after="0"/>
      </w:pP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Yasak çıkarım: sourceClass reliability veya eligibility değildir. Peer review, uzmanlık, kurumsal kontrol ve kültürel yakınlık yalnız qualityDimensions ve review üzerinden değerlendirilir.</w:t>
            </w:r>
          </w:p>
        </w:tc>
      </w:tr>
    </w:tbl>
    <w:p>
      <w:pPr>
        <w:spacing w:after="0"/>
      </w:pPr>
    </w:p>
    <w:p>
      <w:pPr>
        <w:pStyle w:val="Heading1"/>
      </w:pPr>
      <w:r>
        <w:rPr>
          <w:rFonts w:ascii="Calibri" w:hAnsi="Calibri"/>
          <w:color w:val="111111"/>
        </w:rPr>
        <w:t>7. Birincil / İkincil / Üçüncül Ayrımı</w:t>
      </w:r>
    </w:p>
    <w:p>
      <w:r>
        <w:rPr>
          <w:rFonts w:ascii="Calibri" w:hAnsi="Calibri"/>
          <w:color w:val="111111"/>
        </w:rPr>
        <w:t>Primary/secondary sınıflaması kaynağın kalıcı özelliği değildir; belirli bir hedef iddiaya göre SourceUseAssessment içinde kaydedilir. Aynı kaynak bir hedef için primary, başka bir hedef için secondary olabilir.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650"/>
        <w:gridCol w:w="4400"/>
        <w:gridCol w:w="3310"/>
      </w:tblGrid>
      <w:tr>
        <w:trPr>
          <w:tblHeader w:val="true"/>
          <w:cantSplit/>
        </w:trPr>
        <w:tc>
          <w:tcPr>
            <w:tcW w:type="dxa" w:w="1650"/>
            <w:tcMar>
              <w:top w:w="90" w:type="dxa"/>
              <w:start w:w="120" w:type="dxa"/>
              <w:bottom w:w="90" w:type="dxa"/>
              <w:end w:w="120" w:type="dxa"/>
            </w:tcMar>
            <w:vAlign w:val="center"/>
            <w:shd w:fill="006B63"/>
          </w:tcPr>
          <w:p>
            <w:pPr>
              <w:spacing w:after="0"/>
            </w:pPr>
            <w:r>
              <w:rPr>
                <w:rFonts w:ascii="Calibri" w:hAnsi="Calibri"/>
                <w:b/>
                <w:color w:val="FFFFFF"/>
                <w:sz w:val="17"/>
              </w:rPr>
              <w:t>evidenceRole</w:t>
            </w:r>
          </w:p>
        </w:tc>
        <w:tc>
          <w:tcPr>
            <w:tcW w:type="dxa" w:w="4400"/>
            <w:tcMar>
              <w:top w:w="90" w:type="dxa"/>
              <w:start w:w="120" w:type="dxa"/>
              <w:bottom w:w="90" w:type="dxa"/>
              <w:end w:w="120" w:type="dxa"/>
            </w:tcMar>
            <w:vAlign w:val="center"/>
            <w:shd w:fill="006B63"/>
          </w:tcPr>
          <w:p>
            <w:pPr>
              <w:spacing w:after="0"/>
            </w:pPr>
            <w:r>
              <w:rPr>
                <w:rFonts w:ascii="Calibri" w:hAnsi="Calibri"/>
                <w:b/>
                <w:color w:val="FFFFFF"/>
                <w:sz w:val="17"/>
              </w:rPr>
              <w:t>Tanım</w:t>
            </w:r>
          </w:p>
        </w:tc>
        <w:tc>
          <w:tcPr>
            <w:tcW w:type="dxa" w:w="3310"/>
            <w:tcMar>
              <w:top w:w="90" w:type="dxa"/>
              <w:start w:w="120" w:type="dxa"/>
              <w:bottom w:w="90" w:type="dxa"/>
              <w:end w:w="120" w:type="dxa"/>
            </w:tcMar>
            <w:vAlign w:val="center"/>
            <w:shd w:fill="006B63"/>
          </w:tcPr>
          <w:p>
            <w:pPr>
              <w:spacing w:after="0"/>
            </w:pPr>
            <w:r>
              <w:rPr>
                <w:rFonts w:ascii="Calibri" w:hAnsi="Calibri"/>
                <w:b/>
                <w:color w:val="FFFFFF"/>
                <w:sz w:val="17"/>
              </w:rPr>
              <w:t>Tek başına neyi kanıtlamaz</w:t>
            </w:r>
          </w:p>
        </w:tc>
      </w:tr>
      <w:tr>
        <w:trPr>
          <w:cantSplit/>
        </w:trPr>
        <w:tc>
          <w:tcPr>
            <w:tcW w:type="dxa" w:w="1650"/>
            <w:tcMar>
              <w:top w:w="90" w:type="dxa"/>
              <w:start w:w="120" w:type="dxa"/>
              <w:bottom w:w="90" w:type="dxa"/>
              <w:end w:w="120" w:type="dxa"/>
            </w:tcMar>
            <w:vAlign w:val="center"/>
          </w:tcPr>
          <w:p>
            <w:pPr>
              <w:spacing w:after="0"/>
            </w:pPr>
            <w:r>
              <w:rPr>
                <w:rFonts w:ascii="Calibri" w:hAnsi="Calibri"/>
                <w:color w:val="111111"/>
                <w:sz w:val="16"/>
              </w:rPr>
              <w:t>primary</w:t>
            </w:r>
          </w:p>
        </w:tc>
        <w:tc>
          <w:tcPr>
            <w:tcW w:type="dxa" w:w="4400"/>
            <w:tcMar>
              <w:top w:w="90" w:type="dxa"/>
              <w:start w:w="120" w:type="dxa"/>
              <w:bottom w:w="90" w:type="dxa"/>
              <w:end w:w="120" w:type="dxa"/>
            </w:tcMar>
            <w:vAlign w:val="center"/>
          </w:tcPr>
          <w:p>
            <w:pPr>
              <w:spacing w:after="0"/>
            </w:pPr>
            <w:r>
              <w:rPr>
                <w:rFonts w:ascii="Calibri" w:hAnsi="Calibri"/>
                <w:color w:val="111111"/>
                <w:sz w:val="16"/>
              </w:rPr>
              <w:t>İncelenen pratik, dönem veya tanıklıkla doğrudan ilişkili kayıt</w:t>
            </w:r>
          </w:p>
        </w:tc>
        <w:tc>
          <w:tcPr>
            <w:tcW w:type="dxa" w:w="3310"/>
            <w:tcMar>
              <w:top w:w="90" w:type="dxa"/>
              <w:start w:w="120" w:type="dxa"/>
              <w:bottom w:w="90" w:type="dxa"/>
              <w:end w:w="120" w:type="dxa"/>
            </w:tcMar>
            <w:vAlign w:val="center"/>
          </w:tcPr>
          <w:p>
            <w:pPr>
              <w:spacing w:after="0"/>
            </w:pPr>
            <w:r>
              <w:rPr>
                <w:rFonts w:ascii="Calibri" w:hAnsi="Calibri"/>
                <w:color w:val="111111"/>
                <w:sz w:val="16"/>
              </w:rPr>
              <w:t>Doğruluk, temsil gücü veya genellenebilirlik</w:t>
            </w:r>
          </w:p>
        </w:tc>
      </w:tr>
      <w:tr>
        <w:trPr>
          <w:cantSplit/>
        </w:trPr>
        <w:tc>
          <w:tcPr>
            <w:tcW w:type="dxa" w:w="1650"/>
            <w:shd w:fill="F8FAFA"/>
            <w:tcMar>
              <w:top w:w="90" w:type="dxa"/>
              <w:start w:w="120" w:type="dxa"/>
              <w:bottom w:w="90" w:type="dxa"/>
              <w:end w:w="120" w:type="dxa"/>
            </w:tcMar>
            <w:vAlign w:val="center"/>
          </w:tcPr>
          <w:p>
            <w:pPr>
              <w:spacing w:after="0"/>
            </w:pPr>
            <w:r>
              <w:rPr>
                <w:rFonts w:ascii="Calibri" w:hAnsi="Calibri"/>
                <w:color w:val="111111"/>
                <w:sz w:val="16"/>
              </w:rPr>
              <w:t>secondary</w:t>
            </w:r>
          </w:p>
        </w:tc>
        <w:tc>
          <w:tcPr>
            <w:tcW w:type="dxa" w:w="4400"/>
            <w:shd w:fill="F8FAFA"/>
            <w:tcMar>
              <w:top w:w="90" w:type="dxa"/>
              <w:start w:w="120" w:type="dxa"/>
              <w:bottom w:w="90" w:type="dxa"/>
              <w:end w:w="120" w:type="dxa"/>
            </w:tcMar>
            <w:vAlign w:val="center"/>
          </w:tcPr>
          <w:p>
            <w:pPr>
              <w:spacing w:after="0"/>
            </w:pPr>
            <w:r>
              <w:rPr>
                <w:rFonts w:ascii="Calibri" w:hAnsi="Calibri"/>
                <w:color w:val="111111"/>
                <w:sz w:val="16"/>
              </w:rPr>
              <w:t>Birincil materyali veya geleneği analiz eden çalışma</w:t>
            </w:r>
          </w:p>
        </w:tc>
        <w:tc>
          <w:tcPr>
            <w:tcW w:type="dxa" w:w="3310"/>
            <w:shd w:fill="F8FAFA"/>
            <w:tcMar>
              <w:top w:w="90" w:type="dxa"/>
              <w:start w:w="120" w:type="dxa"/>
              <w:bottom w:w="90" w:type="dxa"/>
              <w:end w:w="120" w:type="dxa"/>
            </w:tcMar>
            <w:vAlign w:val="center"/>
          </w:tcPr>
          <w:p>
            <w:pPr>
              <w:spacing w:after="0"/>
            </w:pPr>
            <w:r>
              <w:rPr>
                <w:rFonts w:ascii="Calibri" w:hAnsi="Calibri"/>
                <w:color w:val="111111"/>
                <w:sz w:val="16"/>
              </w:rPr>
              <w:t>Birincil kaynakların bağımsız ve doğru kullanıldığını</w:t>
            </w:r>
          </w:p>
        </w:tc>
      </w:tr>
      <w:tr>
        <w:trPr>
          <w:cantSplit/>
        </w:trPr>
        <w:tc>
          <w:tcPr>
            <w:tcW w:type="dxa" w:w="1650"/>
            <w:tcMar>
              <w:top w:w="90" w:type="dxa"/>
              <w:start w:w="120" w:type="dxa"/>
              <w:bottom w:w="90" w:type="dxa"/>
              <w:end w:w="120" w:type="dxa"/>
            </w:tcMar>
            <w:vAlign w:val="center"/>
          </w:tcPr>
          <w:p>
            <w:pPr>
              <w:spacing w:after="0"/>
            </w:pPr>
            <w:r>
              <w:rPr>
                <w:rFonts w:ascii="Calibri" w:hAnsi="Calibri"/>
                <w:color w:val="111111"/>
                <w:sz w:val="16"/>
              </w:rPr>
              <w:t>tertiary</w:t>
            </w:r>
          </w:p>
        </w:tc>
        <w:tc>
          <w:tcPr>
            <w:tcW w:type="dxa" w:w="4400"/>
            <w:tcMar>
              <w:top w:w="90" w:type="dxa"/>
              <w:start w:w="120" w:type="dxa"/>
              <w:bottom w:w="90" w:type="dxa"/>
              <w:end w:w="120" w:type="dxa"/>
            </w:tcMar>
            <w:vAlign w:val="center"/>
          </w:tcPr>
          <w:p>
            <w:pPr>
              <w:spacing w:after="0"/>
            </w:pPr>
            <w:r>
              <w:rPr>
                <w:rFonts w:ascii="Calibri" w:hAnsi="Calibri"/>
                <w:color w:val="111111"/>
                <w:sz w:val="16"/>
              </w:rPr>
              <w:t>Başka çalışmaları özetleyen referans/derleme</w:t>
            </w:r>
          </w:p>
        </w:tc>
        <w:tc>
          <w:tcPr>
            <w:tcW w:type="dxa" w:w="3310"/>
            <w:tcMar>
              <w:top w:w="90" w:type="dxa"/>
              <w:start w:w="120" w:type="dxa"/>
              <w:bottom w:w="90" w:type="dxa"/>
              <w:end w:w="120" w:type="dxa"/>
            </w:tcMar>
            <w:vAlign w:val="center"/>
          </w:tcPr>
          <w:p>
            <w:pPr>
              <w:spacing w:after="0"/>
            </w:pPr>
            <w:r>
              <w:rPr>
                <w:rFonts w:ascii="Calibri" w:hAnsi="Calibri"/>
                <w:color w:val="111111"/>
                <w:sz w:val="16"/>
              </w:rPr>
              <w:t>Özgün kanıt veya bağımsız doğrulama</w:t>
            </w:r>
          </w:p>
        </w:tc>
      </w:tr>
      <w:tr>
        <w:trPr>
          <w:cantSplit/>
        </w:trPr>
        <w:tc>
          <w:tcPr>
            <w:tcW w:type="dxa" w:w="1650"/>
            <w:shd w:fill="F8FAFA"/>
            <w:tcMar>
              <w:top w:w="90" w:type="dxa"/>
              <w:start w:w="120" w:type="dxa"/>
              <w:bottom w:w="90" w:type="dxa"/>
              <w:end w:w="120" w:type="dxa"/>
            </w:tcMar>
            <w:vAlign w:val="center"/>
          </w:tcPr>
          <w:p>
            <w:pPr>
              <w:spacing w:after="0"/>
            </w:pPr>
            <w:r>
              <w:rPr>
                <w:rFonts w:ascii="Calibri" w:hAnsi="Calibri"/>
                <w:color w:val="111111"/>
                <w:sz w:val="16"/>
              </w:rPr>
              <w:t>discovery</w:t>
            </w:r>
          </w:p>
        </w:tc>
        <w:tc>
          <w:tcPr>
            <w:tcW w:type="dxa" w:w="4400"/>
            <w:shd w:fill="F8FAFA"/>
            <w:tcMar>
              <w:top w:w="90" w:type="dxa"/>
              <w:start w:w="120" w:type="dxa"/>
              <w:bottom w:w="90" w:type="dxa"/>
              <w:end w:w="120" w:type="dxa"/>
            </w:tcMar>
            <w:vAlign w:val="center"/>
          </w:tcPr>
          <w:p>
            <w:pPr>
              <w:spacing w:after="0"/>
            </w:pPr>
            <w:r>
              <w:rPr>
                <w:rFonts w:ascii="Calibri" w:hAnsi="Calibri"/>
                <w:color w:val="111111"/>
                <w:sz w:val="16"/>
              </w:rPr>
              <w:t>Kullanılabilir kaynaklara götüren arama/indeks/ipucu</w:t>
            </w:r>
          </w:p>
        </w:tc>
        <w:tc>
          <w:tcPr>
            <w:tcW w:type="dxa" w:w="3310"/>
            <w:shd w:fill="F8FAFA"/>
            <w:tcMar>
              <w:top w:w="90" w:type="dxa"/>
              <w:start w:w="120" w:type="dxa"/>
              <w:bottom w:w="90" w:type="dxa"/>
              <w:end w:w="120" w:type="dxa"/>
            </w:tcMar>
            <w:vAlign w:val="center"/>
          </w:tcPr>
          <w:p>
            <w:pPr>
              <w:spacing w:after="0"/>
            </w:pPr>
            <w:r>
              <w:rPr>
                <w:rFonts w:ascii="Calibri" w:hAnsi="Calibri"/>
                <w:color w:val="111111"/>
                <w:sz w:val="16"/>
              </w:rPr>
              <w:t>Herhangi bir canonical iddiayı</w:t>
            </w:r>
          </w:p>
        </w:tc>
      </w:tr>
    </w:tbl>
    <w:p>
      <w:pPr>
        <w:spacing w:after="0"/>
      </w:pPr>
    </w:p>
    <w:p>
      <w:pPr>
        <w:pStyle w:val="Heading2"/>
      </w:pPr>
      <w:r>
        <w:rPr>
          <w:rFonts w:ascii="Calibri" w:hAnsi="Calibri"/>
          <w:color w:val="111111"/>
        </w:rPr>
        <w:t>7.1 Role assignment kuralları</w:t>
      </w:r>
    </w:p>
    <w:p>
      <w:pPr>
        <w:numPr>
          <w:ilvl w:val="0"/>
          <w:numId w:val="41"/>
        </w:numPr>
      </w:pPr>
      <w:r>
        <w:rPr>
          <w:rFonts w:ascii="Calibri" w:hAnsi="Calibri"/>
          <w:color w:val="111111"/>
        </w:rPr>
        <w:t>Role, targetRef ve exact sourceRef olmadan atanamaz.</w:t>
      </w:r>
    </w:p>
    <w:p>
      <w:pPr>
        <w:numPr>
          <w:ilvl w:val="0"/>
          <w:numId w:val="41"/>
        </w:numPr>
      </w:pPr>
      <w:r>
        <w:rPr>
          <w:rFonts w:ascii="Calibri" w:hAnsi="Calibri"/>
          <w:color w:val="111111"/>
        </w:rPr>
        <w:t>Bir yazarın kendi deneyimini aktarması primary olabilir; fakat assessmentOutcome yine ayrı belirlenir.</w:t>
      </w:r>
    </w:p>
    <w:p>
      <w:pPr>
        <w:numPr>
          <w:ilvl w:val="0"/>
          <w:numId w:val="41"/>
        </w:numPr>
      </w:pPr>
      <w:r>
        <w:rPr>
          <w:rFonts w:ascii="Calibri" w:hAnsi="Calibri"/>
          <w:color w:val="111111"/>
        </w:rPr>
        <w:t>Kaynakça aktaran bir web yazısı, özgün kaynak incelenmeden primary sayılamaz.</w:t>
      </w:r>
    </w:p>
    <w:p>
      <w:pPr>
        <w:numPr>
          <w:ilvl w:val="0"/>
          <w:numId w:val="41"/>
        </w:numPr>
      </w:pPr>
      <w:r>
        <w:rPr>
          <w:rFonts w:ascii="Calibri" w:hAnsi="Calibri"/>
          <w:color w:val="111111"/>
        </w:rPr>
        <w:t>Çeviri, orijinal eserden bağımsız kaynak değildir; consulted manifestation olarak ayrı revision olabilir.</w:t>
      </w:r>
    </w:p>
    <w:p>
      <w:pPr>
        <w:numPr>
          <w:ilvl w:val="0"/>
          <w:numId w:val="41"/>
        </w:numPr>
      </w:pPr>
      <w:r>
        <w:rPr>
          <w:rFonts w:ascii="Calibri" w:hAnsi="Calibri"/>
          <w:color w:val="111111"/>
        </w:rPr>
        <w:t>Primary olmak core eligibility garantisi değildir; provenance, integrity ve bağlam yetersizse discoveryOnly veya ineligible olabilir.</w:t>
      </w:r>
    </w:p>
    <w:p>
      <w:pPr>
        <w:pStyle w:val="Heading1"/>
      </w:pPr>
      <w:r>
        <w:rPr>
          <w:rFonts w:ascii="Calibri" w:hAnsi="Calibri"/>
          <w:color w:val="111111"/>
        </w:rPr>
        <w:t>8. SourceUseAssessment ve Güvenilirlik</w:t>
      </w:r>
    </w:p>
    <w:p>
      <w:r>
        <w:rPr>
          <w:rFonts w:ascii="Calibri" w:hAnsi="Calibri"/>
          <w:color w:val="111111"/>
        </w:rPr>
        <w:t>Atlas generic reliability score kullanmaz. Her değerlendirme exact kaynak revision'ının checksum ile sabitlenmiş exact hedefteki kullanımını, ayrı kalite boyutları ve gerekçeli bir assessmentOutcome ile kaydeder. Pending human review bir outcome değil Governance durumudur.</w:t>
      </w:r>
    </w:p>
    <w:p>
      <w:pPr>
        <w:pStyle w:val="Heading2"/>
      </w:pPr>
      <w:r>
        <w:rPr>
          <w:rFonts w:ascii="Calibri" w:hAnsi="Calibri"/>
          <w:color w:val="111111"/>
        </w:rPr>
        <w:t>8.1 Alanlar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00"/>
        <w:gridCol w:w="2450"/>
        <w:gridCol w:w="4710"/>
      </w:tblGrid>
      <w:tr>
        <w:trPr>
          <w:tblHeader w:val="true"/>
          <w:cantSplit/>
        </w:trPr>
        <w:tc>
          <w:tcPr>
            <w:tcW w:type="dxa" w:w="22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245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471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2200"/>
          </w:tcPr>
          <w:p>
            <w:r>
              <w:t>schemaVersion</w:t>
            </w:r>
          </w:p>
        </w:tc>
        <w:tc>
          <w:tcPr>
            <w:tcW w:type="dxa" w:w="2450"/>
          </w:tcPr>
          <w:p>
            <w:r>
              <w:t>String</w:t>
            </w:r>
          </w:p>
        </w:tc>
        <w:tc>
          <w:tcPr>
            <w:tcW w:type="dxa" w:w="4710"/>
          </w:tcPr>
          <w:p>
            <w:r>
              <w:t>Exact supported value; başlangıç "1.0"</w:t>
            </w:r>
          </w:p>
        </w:tc>
      </w:tr>
      <w:tr>
        <w:tc>
          <w:tcPr>
            <w:tcW w:type="dxa" w:w="2200"/>
          </w:tcPr>
          <w:p>
            <w:r>
              <w:t>recordType</w:t>
            </w:r>
          </w:p>
        </w:tc>
        <w:tc>
          <w:tcPr>
            <w:tcW w:type="dxa" w:w="2450"/>
          </w:tcPr>
          <w:p>
            <w:r>
              <w:t>String</w:t>
            </w:r>
          </w:p>
        </w:tc>
        <w:tc>
          <w:tcPr>
            <w:tcW w:type="dxa" w:w="4710"/>
          </w:tcPr>
          <w:p>
            <w:r>
              <w:t>Exact "atlas.sourceUseAssessment"</w:t>
            </w:r>
          </w:p>
        </w:tc>
      </w:tr>
      <w:tr>
        <w:tc>
          <w:tcPr>
            <w:tcW w:type="dxa" w:w="2200"/>
          </w:tcPr>
          <w:p>
            <w:r>
              <w:t>useAssessmentId</w:t>
            </w:r>
          </w:p>
        </w:tc>
        <w:tc>
          <w:tcPr>
            <w:tcW w:type="dxa" w:w="2450"/>
          </w:tcPr>
          <w:p>
            <w:r>
              <w:t>String</w:t>
            </w:r>
          </w:p>
        </w:tc>
        <w:tc>
          <w:tcPr>
            <w:tcW w:type="dxa" w:w="4710"/>
          </w:tcPr>
          <w:p>
            <w:r>
              <w:t>Opaque, stable ve unique</w:t>
            </w:r>
          </w:p>
        </w:tc>
      </w:tr>
      <w:tr>
        <w:tc>
          <w:tcPr>
            <w:tcW w:type="dxa" w:w="2200"/>
          </w:tcPr>
          <w:p>
            <w:r>
              <w:t>revision</w:t>
            </w:r>
          </w:p>
        </w:tc>
        <w:tc>
          <w:tcPr>
            <w:tcW w:type="dxa" w:w="2450"/>
          </w:tcPr>
          <w:p>
            <w:r>
              <w:t>int</w:t>
            </w:r>
          </w:p>
        </w:tc>
        <w:tc>
          <w:tcPr>
            <w:tcW w:type="dxa" w:w="4710"/>
          </w:tcPr>
          <w:p>
            <w:r>
              <w:t>Pozitif ve immutable</w:t>
            </w:r>
          </w:p>
        </w:tc>
      </w:tr>
      <w:tr>
        <w:tc>
          <w:tcPr>
            <w:tcW w:type="dxa" w:w="2200"/>
          </w:tcPr>
          <w:p>
            <w:r>
              <w:t>canonicalJsonProfileRef</w:t>
            </w:r>
          </w:p>
        </w:tc>
        <w:tc>
          <w:tcPr>
            <w:tcW w:type="dxa" w:w="2450"/>
          </w:tcPr>
          <w:p>
            <w:r>
              <w:t>CanonicalJsonProfileRef</w:t>
            </w:r>
          </w:p>
        </w:tc>
        <w:tc>
          <w:tcPr>
            <w:tcW w:type="dxa" w:w="4710"/>
          </w:tcPr>
          <w:p>
            <w:r>
              <w:t>Exact profile identity, revision ve checksum</w:t>
            </w:r>
          </w:p>
        </w:tc>
      </w:tr>
      <w:tr>
        <w:tc>
          <w:tcPr>
            <w:tcW w:type="dxa" w:w="2200"/>
          </w:tcPr>
          <w:p>
            <w:r>
              <w:t>targetRef</w:t>
            </w:r>
          </w:p>
        </w:tc>
        <w:tc>
          <w:tcPr>
            <w:tcW w:type="dxa" w:w="2450"/>
          </w:tcPr>
          <w:p>
            <w:r>
              <w:t>DomainTargetRef</w:t>
            </w:r>
          </w:p>
        </w:tc>
        <w:tc>
          <w:tcPr>
            <w:tcW w:type="dxa" w:w="4710"/>
          </w:tcPr>
          <w:p>
            <w:r>
              <w:t>recordType, recordId, revision, canonical checksum ve optional targetPath</w:t>
            </w:r>
          </w:p>
        </w:tc>
      </w:tr>
      <w:tr>
        <w:tc>
          <w:tcPr>
            <w:tcW w:type="dxa" w:w="2200"/>
          </w:tcPr>
          <w:p>
            <w:r>
              <w:t>sourceRef</w:t>
            </w:r>
          </w:p>
        </w:tc>
        <w:tc>
          <w:tcPr>
            <w:tcW w:type="dxa" w:w="2450"/>
          </w:tcPr>
          <w:p>
            <w:r>
              <w:t>SourceRef</w:t>
            </w:r>
          </w:p>
        </w:tc>
        <w:tc>
          <w:tcPr>
            <w:tcW w:type="dxa" w:w="4710"/>
          </w:tcPr>
          <w:p>
            <w:r>
              <w:t>Exact sourceId, revision ve gerektiğinde locator</w:t>
            </w:r>
          </w:p>
        </w:tc>
      </w:tr>
      <w:tr>
        <w:tc>
          <w:tcPr>
            <w:tcW w:type="dxa" w:w="2200"/>
          </w:tcPr>
          <w:p>
            <w:r>
              <w:t>evidenceRole</w:t>
            </w:r>
          </w:p>
        </w:tc>
        <w:tc>
          <w:tcPr>
            <w:tcW w:type="dxa" w:w="2450"/>
          </w:tcPr>
          <w:p>
            <w:r>
              <w:t>enum</w:t>
            </w:r>
          </w:p>
        </w:tc>
        <w:tc>
          <w:tcPr>
            <w:tcW w:type="dxa" w:w="4710"/>
          </w:tcPr>
          <w:p>
            <w:r>
              <w:t>primary|secondary|tertiary|discovery</w:t>
            </w:r>
          </w:p>
        </w:tc>
      </w:tr>
      <w:tr>
        <w:tc>
          <w:tcPr>
            <w:tcW w:type="dxa" w:w="2200"/>
          </w:tcPr>
          <w:p>
            <w:r>
              <w:t>supportRelation</w:t>
            </w:r>
          </w:p>
        </w:tc>
        <w:tc>
          <w:tcPr>
            <w:tcW w:type="dxa" w:w="2450"/>
          </w:tcPr>
          <w:p>
            <w:r>
              <w:t>enum</w:t>
            </w:r>
          </w:p>
        </w:tc>
        <w:tc>
          <w:tcPr>
            <w:tcW w:type="dxa" w:w="4710"/>
          </w:tcPr>
          <w:p>
            <w:r>
              <w:t>supports|contradicts|contextualizes|mentionsOnly</w:t>
            </w:r>
          </w:p>
        </w:tc>
      </w:tr>
      <w:tr>
        <w:tc>
          <w:tcPr>
            <w:tcW w:type="dxa" w:w="2200"/>
          </w:tcPr>
          <w:p>
            <w:r>
              <w:t>independenceGroupId</w:t>
            </w:r>
          </w:p>
        </w:tc>
        <w:tc>
          <w:tcPr>
            <w:tcW w:type="dxa" w:w="2450"/>
          </w:tcPr>
          <w:p>
            <w:r>
              <w:t>String</w:t>
            </w:r>
          </w:p>
        </w:tc>
        <w:tc>
          <w:tcPr>
            <w:tcW w:type="dxa" w:w="4710"/>
          </w:tcPr>
          <w:p>
            <w:r>
              <w:t>Ortak kökenli içerikleri tek evidence family altında toplar</w:t>
            </w:r>
          </w:p>
        </w:tc>
      </w:tr>
      <w:tr>
        <w:tc>
          <w:tcPr>
            <w:tcW w:type="dxa" w:w="2200"/>
          </w:tcPr>
          <w:p>
            <w:r>
              <w:t>independenceRationale</w:t>
            </w:r>
          </w:p>
        </w:tc>
        <w:tc>
          <w:tcPr>
            <w:tcW w:type="dxa" w:w="2450"/>
          </w:tcPr>
          <w:p>
            <w:r>
              <w:t>String</w:t>
            </w:r>
          </w:p>
        </w:tc>
        <w:tc>
          <w:tcPr>
            <w:tcW w:type="dxa" w:w="4710"/>
          </w:tcPr>
          <w:p>
            <w:r>
              <w:t>Grouping kararını açıklayan non-empty, reviewable gerekçe</w:t>
            </w:r>
          </w:p>
        </w:tc>
      </w:tr>
      <w:tr>
        <w:tc>
          <w:tcPr>
            <w:tcW w:type="dxa" w:w="2200"/>
          </w:tcPr>
          <w:p>
            <w:r>
              <w:t>qualityDimensions</w:t>
            </w:r>
          </w:p>
        </w:tc>
        <w:tc>
          <w:tcPr>
            <w:tcW w:type="dxa" w:w="2450"/>
          </w:tcPr>
          <w:p>
            <w:r>
              <w:t>QualityDimensions</w:t>
            </w:r>
          </w:p>
        </w:tc>
        <w:tc>
          <w:tcPr>
            <w:tcW w:type="dxa" w:w="4710"/>
          </w:tcPr>
          <w:p>
            <w:r>
              <w:t>Her boyut ayrı categorical değer</w:t>
            </w:r>
          </w:p>
        </w:tc>
      </w:tr>
      <w:tr>
        <w:tc>
          <w:tcPr>
            <w:tcW w:type="dxa" w:w="2200"/>
          </w:tcPr>
          <w:p>
            <w:r>
              <w:t>assessmentOutcome</w:t>
            </w:r>
          </w:p>
        </w:tc>
        <w:tc>
          <w:tcPr>
            <w:tcW w:type="dxa" w:w="2450"/>
          </w:tcPr>
          <w:p>
            <w:r>
              <w:t>enum</w:t>
            </w:r>
          </w:p>
        </w:tc>
        <w:tc>
          <w:tcPr>
            <w:tcW w:type="dxa" w:w="4710"/>
          </w:tcPr>
          <w:p>
            <w:r>
              <w:t>eligibleCore|eligibleCorroborative|discoveryOnly|ineligible</w:t>
            </w:r>
          </w:p>
        </w:tc>
      </w:tr>
      <w:tr>
        <w:tc>
          <w:tcPr>
            <w:tcW w:type="dxa" w:w="2200"/>
          </w:tcPr>
          <w:p>
            <w:r>
              <w:t>limitations</w:t>
            </w:r>
          </w:p>
        </w:tc>
        <w:tc>
          <w:tcPr>
            <w:tcW w:type="dxa" w:w="2450"/>
          </w:tcPr>
          <w:p>
            <w:r>
              <w:t>List&lt;String&gt;</w:t>
            </w:r>
          </w:p>
        </w:tc>
        <w:tc>
          <w:tcPr>
            <w:tcW w:type="dxa" w:w="4710"/>
          </w:tcPr>
          <w:p>
            <w:r>
              <w:t>Somut sınırlılıklar; canonical sıralı ve exact unique</w:t>
            </w:r>
          </w:p>
        </w:tc>
      </w:tr>
      <w:tr>
        <w:tc>
          <w:tcPr>
            <w:tcW w:type="dxa" w:w="2200"/>
          </w:tcPr>
          <w:p>
            <w:r>
              <w:t>rationale</w:t>
            </w:r>
          </w:p>
        </w:tc>
        <w:tc>
          <w:tcPr>
            <w:tcW w:type="dxa" w:w="2450"/>
          </w:tcPr>
          <w:p>
            <w:r>
              <w:t>String</w:t>
            </w:r>
          </w:p>
        </w:tc>
        <w:tc>
          <w:tcPr>
            <w:tcW w:type="dxa" w:w="4710"/>
          </w:tcPr>
          <w:p>
            <w:r>
              <w:t>Outcome'u açıklayan kısa, denetlenebilir gerekçe</w:t>
            </w:r>
          </w:p>
        </w:tc>
      </w:tr>
    </w:tbl>
    <w:p>
      <w:pPr>
        <w:spacing w:after="0"/>
      </w:pPr>
    </w:p>
    <w:p>
      <w:pPr>
        <w:pStyle w:val="Heading2"/>
      </w:pPr>
      <w:r>
        <w:rPr>
          <w:rFonts w:ascii="Calibri" w:hAnsi="Calibri"/>
          <w:color w:val="111111"/>
        </w:rPr>
        <w:t>8.2 QualityDimensions</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00"/>
        <w:gridCol w:w="4050"/>
        <w:gridCol w:w="3410"/>
      </w:tblGrid>
      <w:tr>
        <w:trPr>
          <w:tblHeader w:val="true"/>
          <w:cantSplit/>
        </w:trPr>
        <w:tc>
          <w:tcPr>
            <w:tcW w:type="dxa" w:w="1900"/>
            <w:tcMar>
              <w:top w:w="90" w:type="dxa"/>
              <w:start w:w="120" w:type="dxa"/>
              <w:bottom w:w="90" w:type="dxa"/>
              <w:end w:w="120" w:type="dxa"/>
            </w:tcMar>
            <w:vAlign w:val="center"/>
            <w:shd w:fill="006B63"/>
          </w:tcPr>
          <w:p>
            <w:pPr>
              <w:spacing w:after="0"/>
            </w:pPr>
            <w:r>
              <w:rPr>
                <w:rFonts w:ascii="Calibri" w:hAnsi="Calibri"/>
                <w:b/>
                <w:color w:val="FFFFFF"/>
                <w:sz w:val="17"/>
              </w:rPr>
              <w:t>Boyut</w:t>
            </w:r>
          </w:p>
        </w:tc>
        <w:tc>
          <w:tcPr>
            <w:tcW w:type="dxa" w:w="4050"/>
            <w:tcMar>
              <w:top w:w="90" w:type="dxa"/>
              <w:start w:w="120" w:type="dxa"/>
              <w:bottom w:w="90" w:type="dxa"/>
              <w:end w:w="120" w:type="dxa"/>
            </w:tcMar>
            <w:vAlign w:val="center"/>
            <w:shd w:fill="006B63"/>
          </w:tcPr>
          <w:p>
            <w:pPr>
              <w:spacing w:after="0"/>
            </w:pPr>
            <w:r>
              <w:rPr>
                <w:rFonts w:ascii="Calibri" w:hAnsi="Calibri"/>
                <w:b/>
                <w:color w:val="FFFFFF"/>
                <w:sz w:val="17"/>
              </w:rPr>
              <w:t>Controlled values</w:t>
            </w:r>
          </w:p>
        </w:tc>
        <w:tc>
          <w:tcPr>
            <w:tcW w:type="dxa" w:w="3410"/>
            <w:tcMar>
              <w:top w:w="90" w:type="dxa"/>
              <w:start w:w="120" w:type="dxa"/>
              <w:bottom w:w="90" w:type="dxa"/>
              <w:end w:w="120" w:type="dxa"/>
            </w:tcMar>
            <w:vAlign w:val="center"/>
            <w:shd w:fill="006B63"/>
          </w:tcPr>
          <w:p>
            <w:pPr>
              <w:spacing w:after="0"/>
            </w:pPr>
            <w:r>
              <w:rPr>
                <w:rFonts w:ascii="Calibri" w:hAnsi="Calibri"/>
                <w:b/>
                <w:color w:val="FFFFFF"/>
                <w:sz w:val="17"/>
              </w:rPr>
              <w:t>Soru</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provenance</w:t>
            </w:r>
          </w:p>
        </w:tc>
        <w:tc>
          <w:tcPr>
            <w:tcW w:type="dxa" w:w="4050"/>
            <w:tcMar>
              <w:top w:w="90" w:type="dxa"/>
              <w:start w:w="120" w:type="dxa"/>
              <w:bottom w:w="90" w:type="dxa"/>
              <w:end w:w="120" w:type="dxa"/>
            </w:tcMar>
            <w:vAlign w:val="center"/>
          </w:tcPr>
          <w:p>
            <w:pPr>
              <w:spacing w:after="0"/>
            </w:pPr>
            <w:r>
              <w:rPr>
                <w:rFonts w:ascii="Calibri" w:hAnsi="Calibri"/>
                <w:color w:val="111111"/>
                <w:sz w:val="14"/>
              </w:rPr>
              <w:t>verified|partiallyVerified|unverified</w:t>
            </w:r>
          </w:p>
        </w:tc>
        <w:tc>
          <w:tcPr>
            <w:tcW w:type="dxa" w:w="3410"/>
            <w:tcMar>
              <w:top w:w="90" w:type="dxa"/>
              <w:start w:w="120" w:type="dxa"/>
              <w:bottom w:w="90" w:type="dxa"/>
              <w:end w:w="120" w:type="dxa"/>
            </w:tcMar>
            <w:vAlign w:val="center"/>
          </w:tcPr>
          <w:p>
            <w:pPr>
              <w:spacing w:after="0"/>
            </w:pPr>
            <w:r>
              <w:rPr>
                <w:rFonts w:ascii="Calibri" w:hAnsi="Calibri"/>
                <w:color w:val="111111"/>
                <w:sz w:val="14"/>
              </w:rPr>
              <w:t>Kaynağın kökeni ve zinciri doğrulanabiliyor mu?</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attribution</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identified|organizational|pseudonymous|anonymous</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Sorumlu kişi/kurum belirli mi?</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editorialControl</w:t>
            </w:r>
          </w:p>
        </w:tc>
        <w:tc>
          <w:tcPr>
            <w:tcW w:type="dxa" w:w="4050"/>
            <w:tcMar>
              <w:top w:w="90" w:type="dxa"/>
              <w:start w:w="120" w:type="dxa"/>
              <w:bottom w:w="90" w:type="dxa"/>
              <w:end w:w="120" w:type="dxa"/>
            </w:tcMar>
            <w:vAlign w:val="center"/>
          </w:tcPr>
          <w:p>
            <w:pPr>
              <w:spacing w:after="0"/>
            </w:pPr>
            <w:r>
              <w:rPr>
                <w:rFonts w:ascii="Calibri" w:hAnsi="Calibri"/>
                <w:color w:val="111111"/>
                <w:sz w:val="14"/>
              </w:rPr>
              <w:t>peerReviewed|academicSupervision|institutional|professionalEditorial|selfPublished|none|unknown</w:t>
            </w:r>
          </w:p>
        </w:tc>
        <w:tc>
          <w:tcPr>
            <w:tcW w:type="dxa" w:w="3410"/>
            <w:tcMar>
              <w:top w:w="90" w:type="dxa"/>
              <w:start w:w="120" w:type="dxa"/>
              <w:bottom w:w="90" w:type="dxa"/>
              <w:end w:w="120" w:type="dxa"/>
            </w:tcMar>
            <w:vAlign w:val="center"/>
          </w:tcPr>
          <w:p>
            <w:pPr>
              <w:spacing w:after="0"/>
            </w:pPr>
            <w:r>
              <w:rPr>
                <w:rFonts w:ascii="Calibri" w:hAnsi="Calibri"/>
                <w:color w:val="111111"/>
                <w:sz w:val="14"/>
              </w:rPr>
              <w:t>Hangi editoryal kontrol var?</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methodTransparency</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explicit|partial|absent|notApplicable</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Bilginin nasıl elde edildiği görülebiliyor mu?</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sourceStability</w:t>
            </w:r>
          </w:p>
        </w:tc>
        <w:tc>
          <w:tcPr>
            <w:tcW w:type="dxa" w:w="4050"/>
            <w:tcMar>
              <w:top w:w="90" w:type="dxa"/>
              <w:start w:w="120" w:type="dxa"/>
              <w:bottom w:w="90" w:type="dxa"/>
              <w:end w:w="120" w:type="dxa"/>
            </w:tcMar>
            <w:vAlign w:val="center"/>
          </w:tcPr>
          <w:p>
            <w:pPr>
              <w:spacing w:after="0"/>
            </w:pPr>
            <w:r>
              <w:rPr>
                <w:rFonts w:ascii="Calibri" w:hAnsi="Calibri"/>
                <w:color w:val="111111"/>
                <w:sz w:val="14"/>
              </w:rPr>
              <w:t>fixedEdition|archivedSnapshot|capturedMutable|uncapturedMutable</w:t>
            </w:r>
          </w:p>
        </w:tc>
        <w:tc>
          <w:tcPr>
            <w:tcW w:type="dxa" w:w="3410"/>
            <w:tcMar>
              <w:top w:w="90" w:type="dxa"/>
              <w:start w:w="120" w:type="dxa"/>
              <w:bottom w:w="90" w:type="dxa"/>
              <w:end w:w="120" w:type="dxa"/>
            </w:tcMar>
            <w:vAlign w:val="center"/>
          </w:tcPr>
          <w:p>
            <w:pPr>
              <w:spacing w:after="0"/>
            </w:pPr>
            <w:r>
              <w:rPr>
                <w:rFonts w:ascii="Calibri" w:hAnsi="Calibri"/>
                <w:color w:val="111111"/>
                <w:sz w:val="14"/>
              </w:rPr>
              <w:t>Aynı içeriğe yeniden ulaşılabilir mi?</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culturalProximity</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directCommunityRecord|recognizedSpecialist|secondaryAnalysis|unspecified</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Kaynak hangi kültürel yakınlıkla konuşuyor?</w:t>
            </w:r>
          </w:p>
        </w:tc>
      </w:tr>
    </w:tbl>
    <w:p>
      <w:pPr>
        <w:spacing w:after="0"/>
      </w:pPr>
    </w:p>
    <w:p>
      <w:pPr>
        <w:pStyle w:val="Heading2"/>
      </w:pPr>
      <w:r>
        <w:rPr>
          <w:rFonts w:ascii="Calibri" w:hAnsi="Calibri"/>
          <w:color w:val="111111"/>
        </w:rPr>
        <w:t>8.3 Outcome kuralları</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050"/>
        <w:gridCol w:w="4190"/>
        <w:gridCol w:w="3120"/>
      </w:tblGrid>
      <w:tr>
        <w:trPr>
          <w:tblHeader w:val="true"/>
          <w:cantSplit/>
        </w:trPr>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assessmentOutcome</w:t>
            </w:r>
          </w:p>
        </w:tc>
        <w:tc>
          <w:tcPr>
            <w:tcW w:type="dxa" w:w="4190"/>
            <w:tcMar>
              <w:top w:w="90" w:type="dxa"/>
              <w:start w:w="120" w:type="dxa"/>
              <w:bottom w:w="90" w:type="dxa"/>
              <w:end w:w="120" w:type="dxa"/>
            </w:tcMar>
            <w:vAlign w:val="center"/>
            <w:shd w:fill="006B63"/>
          </w:tcPr>
          <w:p>
            <w:pPr>
              <w:spacing w:after="0"/>
            </w:pPr>
            <w:r>
              <w:rPr>
                <w:rFonts w:ascii="Calibri" w:hAnsi="Calibri"/>
                <w:b/>
                <w:color w:val="FFFFFF"/>
                <w:sz w:val="17"/>
              </w:rPr>
              <w:t>İzin verilen kullanım</w:t>
            </w:r>
          </w:p>
        </w:tc>
        <w:tc>
          <w:tcPr>
            <w:tcW w:type="dxa" w:w="3120"/>
            <w:tcMar>
              <w:top w:w="90" w:type="dxa"/>
              <w:start w:w="120" w:type="dxa"/>
              <w:bottom w:w="90" w:type="dxa"/>
              <w:end w:w="120" w:type="dxa"/>
            </w:tcMar>
            <w:vAlign w:val="center"/>
            <w:shd w:fill="006B63"/>
          </w:tcPr>
          <w:p>
            <w:pPr>
              <w:spacing w:after="0"/>
            </w:pPr>
            <w:r>
              <w:rPr>
                <w:rFonts w:ascii="Calibri" w:hAnsi="Calibri"/>
                <w:b/>
                <w:color w:val="FFFFFF"/>
                <w:sz w:val="17"/>
              </w:rPr>
              <w:t>Release etkisi</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6"/>
              </w:rPr>
              <w:t>eligibleCore</w:t>
            </w:r>
          </w:p>
        </w:tc>
        <w:tc>
          <w:tcPr>
            <w:tcW w:type="dxa" w:w="4190"/>
            <w:tcMar>
              <w:top w:w="90" w:type="dxa"/>
              <w:start w:w="120" w:type="dxa"/>
              <w:bottom w:w="90" w:type="dxa"/>
              <w:end w:w="120" w:type="dxa"/>
            </w:tcMar>
            <w:vAlign w:val="center"/>
          </w:tcPr>
          <w:p>
            <w:pPr>
              <w:spacing w:after="0"/>
            </w:pPr>
            <w:r>
              <w:rPr>
                <w:rFonts w:ascii="Calibri" w:hAnsi="Calibri"/>
                <w:color w:val="111111"/>
                <w:sz w:val="16"/>
              </w:rPr>
              <w:t>Canonical kabul için bağımsız ana destek</w:t>
            </w:r>
          </w:p>
        </w:tc>
        <w:tc>
          <w:tcPr>
            <w:tcW w:type="dxa" w:w="3120"/>
            <w:tcMar>
              <w:top w:w="90" w:type="dxa"/>
              <w:start w:w="120" w:type="dxa"/>
              <w:bottom w:w="90" w:type="dxa"/>
              <w:end w:w="120" w:type="dxa"/>
            </w:tcMar>
            <w:vAlign w:val="center"/>
          </w:tcPr>
          <w:p>
            <w:pPr>
              <w:spacing w:after="0"/>
            </w:pPr>
            <w:r>
              <w:rPr>
                <w:rFonts w:ascii="Calibri" w:hAnsi="Calibri"/>
                <w:color w:val="111111"/>
                <w:sz w:val="16"/>
              </w:rPr>
              <w:t>Versioned Symbol Admission Policy tarafından sayılabilir</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6"/>
              </w:rPr>
              <w:t>eligibleCorroborative</w:t>
            </w:r>
          </w:p>
        </w:tc>
        <w:tc>
          <w:tcPr>
            <w:tcW w:type="dxa" w:w="4190"/>
            <w:shd w:fill="F8FAFA"/>
            <w:tcMar>
              <w:top w:w="90" w:type="dxa"/>
              <w:start w:w="120" w:type="dxa"/>
              <w:bottom w:w="90" w:type="dxa"/>
              <w:end w:w="120" w:type="dxa"/>
            </w:tcMar>
            <w:vAlign w:val="center"/>
          </w:tcPr>
          <w:p>
            <w:pPr>
              <w:spacing w:after="0"/>
            </w:pPr>
            <w:r>
              <w:rPr>
                <w:rFonts w:ascii="Calibri" w:hAnsi="Calibri"/>
                <w:color w:val="111111"/>
                <w:sz w:val="16"/>
              </w:rPr>
              <w:t>Ana desteği güçlendirir veya dar kapsamı belgeler</w:t>
            </w:r>
          </w:p>
        </w:tc>
        <w:tc>
          <w:tcPr>
            <w:tcW w:type="dxa" w:w="3120"/>
            <w:shd w:fill="F8FAFA"/>
            <w:tcMar>
              <w:top w:w="90" w:type="dxa"/>
              <w:start w:w="120" w:type="dxa"/>
              <w:bottom w:w="90" w:type="dxa"/>
              <w:end w:w="120" w:type="dxa"/>
            </w:tcMar>
            <w:vAlign w:val="center"/>
          </w:tcPr>
          <w:p>
            <w:pPr>
              <w:spacing w:after="0"/>
            </w:pPr>
            <w:r>
              <w:rPr>
                <w:rFonts w:ascii="Calibri" w:hAnsi="Calibri"/>
                <w:color w:val="111111"/>
                <w:sz w:val="16"/>
              </w:rPr>
              <w:t>Policy izin verirse ana desteği tamamlar; tek başına eşik değildir</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6"/>
              </w:rPr>
              <w:t>discoveryOnly</w:t>
            </w:r>
          </w:p>
        </w:tc>
        <w:tc>
          <w:tcPr>
            <w:tcW w:type="dxa" w:w="4190"/>
            <w:tcMar>
              <w:top w:w="90" w:type="dxa"/>
              <w:start w:w="120" w:type="dxa"/>
              <w:bottom w:w="90" w:type="dxa"/>
              <w:end w:w="120" w:type="dxa"/>
            </w:tcMar>
            <w:vAlign w:val="center"/>
          </w:tcPr>
          <w:p>
            <w:pPr>
              <w:spacing w:after="0"/>
            </w:pPr>
            <w:r>
              <w:rPr>
                <w:rFonts w:ascii="Calibri" w:hAnsi="Calibri"/>
                <w:color w:val="111111"/>
                <w:sz w:val="16"/>
              </w:rPr>
              <w:t>Yeni kaynak bulma ve araştırma kuyruğu</w:t>
            </w:r>
          </w:p>
        </w:tc>
        <w:tc>
          <w:tcPr>
            <w:tcW w:type="dxa" w:w="3120"/>
            <w:tcMar>
              <w:top w:w="90" w:type="dxa"/>
              <w:start w:w="120" w:type="dxa"/>
              <w:bottom w:w="90" w:type="dxa"/>
              <w:end w:w="120" w:type="dxa"/>
            </w:tcMar>
            <w:vAlign w:val="center"/>
          </w:tcPr>
          <w:p>
            <w:pPr>
              <w:spacing w:after="0"/>
            </w:pPr>
            <w:r>
              <w:rPr>
                <w:rFonts w:ascii="Calibri" w:hAnsi="Calibri"/>
                <w:color w:val="111111"/>
                <w:sz w:val="16"/>
              </w:rPr>
              <w:t>Domain sourceRefs içinde release desteği sayılamaz</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6"/>
              </w:rPr>
              <w:t>ineligible</w:t>
            </w:r>
          </w:p>
        </w:tc>
        <w:tc>
          <w:tcPr>
            <w:tcW w:type="dxa" w:w="4190"/>
            <w:shd w:fill="F8FAFA"/>
            <w:tcMar>
              <w:top w:w="90" w:type="dxa"/>
              <w:start w:w="120" w:type="dxa"/>
              <w:bottom w:w="90" w:type="dxa"/>
              <w:end w:w="120" w:type="dxa"/>
            </w:tcMar>
            <w:vAlign w:val="center"/>
          </w:tcPr>
          <w:p>
            <w:pPr>
              <w:spacing w:after="0"/>
            </w:pPr>
            <w:r>
              <w:rPr>
                <w:rFonts w:ascii="Calibri" w:hAnsi="Calibri"/>
                <w:color w:val="111111"/>
                <w:sz w:val="16"/>
              </w:rPr>
              <w:t>Yanlış atıf, uydurma, erişilemezlik, bütünlük veya hak problemi</w:t>
            </w:r>
          </w:p>
        </w:tc>
        <w:tc>
          <w:tcPr>
            <w:tcW w:type="dxa" w:w="3120"/>
            <w:shd w:fill="F8FAFA"/>
            <w:tcMar>
              <w:top w:w="90" w:type="dxa"/>
              <w:start w:w="120" w:type="dxa"/>
              <w:bottom w:w="90" w:type="dxa"/>
              <w:end w:w="120" w:type="dxa"/>
            </w:tcMar>
            <w:vAlign w:val="center"/>
          </w:tcPr>
          <w:p>
            <w:pPr>
              <w:spacing w:after="0"/>
            </w:pPr>
            <w:r>
              <w:rPr>
                <w:rFonts w:ascii="Calibri" w:hAnsi="Calibri"/>
                <w:color w:val="111111"/>
                <w:sz w:val="16"/>
              </w:rPr>
              <w:t>Release validation reddeder</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Confidence yasağı: Boyutlar sayısal puana toplanmaz. Kaynak sayısı veya assessmentOutcome semantic confidence, match score ya da fortune confidence üretmez.</w:t>
            </w:r>
          </w:p>
        </w:tc>
      </w:tr>
    </w:tbl>
    <w:p>
      <w:pPr>
        <w:spacing w:after="0"/>
      </w:pPr>
    </w:p>
    <w:p>
      <w:pPr>
        <w:pStyle w:val="Heading1"/>
      </w:pPr>
      <w:r>
        <w:rPr>
          <w:rFonts w:ascii="Calibri" w:hAnsi="Calibri"/>
          <w:color w:val="111111"/>
        </w:rPr>
        <w:t>9. Kaynak Bağımsızlığı ve Çoklu Kaynak Kuralı</w:t>
      </w:r>
    </w:p>
    <w:p>
      <w:r>
        <w:rPr>
          <w:rFonts w:ascii="Calibri" w:hAnsi="Calibri"/>
          <w:color w:val="111111"/>
        </w:rPr>
        <w:t>Atlas'ta iki URL iki bağımsız kaynak anlamına gelmez. Bağımsızlık, içerik kökeni ve atıf zinciri üzerinden `independenceGroupId` ile modellenir.</w:t>
      </w:r>
    </w:p>
    <w:p>
      <w:pPr>
        <w:pStyle w:val="Heading2"/>
      </w:pPr>
      <w:r>
        <w:rPr>
          <w:rFonts w:ascii="Calibri" w:hAnsi="Calibri"/>
          <w:color w:val="111111"/>
        </w:rPr>
        <w:t>9.1 Aynı independence group sayılan durumlar</w:t>
      </w:r>
    </w:p>
    <w:p>
      <w:pPr>
        <w:numPr>
          <w:ilvl w:val="0"/>
          <w:numId w:val="41"/>
        </w:numPr>
      </w:pPr>
      <w:r>
        <w:rPr>
          <w:rFonts w:ascii="Calibri" w:hAnsi="Calibri"/>
          <w:color w:val="111111"/>
        </w:rPr>
        <w:t>Aynı eserin baskıları, çevirileri, özetleri veya dijital kopyaları.</w:t>
      </w:r>
    </w:p>
    <w:p>
      <w:pPr>
        <w:numPr>
          <w:ilvl w:val="0"/>
          <w:numId w:val="41"/>
        </w:numPr>
      </w:pPr>
      <w:r>
        <w:rPr>
          <w:rFonts w:ascii="Calibri" w:hAnsi="Calibri"/>
          <w:color w:val="111111"/>
        </w:rPr>
        <w:t>Aynı ajans, yayın veya yazar metninin yeniden yayımlanmış kopyaları.</w:t>
      </w:r>
    </w:p>
    <w:p>
      <w:pPr>
        <w:numPr>
          <w:ilvl w:val="0"/>
          <w:numId w:val="41"/>
        </w:numPr>
      </w:pPr>
      <w:r>
        <w:rPr>
          <w:rFonts w:ascii="Calibri" w:hAnsi="Calibri"/>
          <w:color w:val="111111"/>
        </w:rPr>
        <w:t>Birbirini kopyalayan ya da aynı anonim web metnine dayanan sayfalar.</w:t>
      </w:r>
    </w:p>
    <w:p>
      <w:pPr>
        <w:numPr>
          <w:ilvl w:val="0"/>
          <w:numId w:val="41"/>
        </w:numPr>
      </w:pPr>
      <w:r>
        <w:rPr>
          <w:rFonts w:ascii="Calibri" w:hAnsi="Calibri"/>
          <w:color w:val="111111"/>
        </w:rPr>
        <w:t>Aynı görüşmenin transcript, ses kaydı ve edit edilmiş makale biçimleri.</w:t>
      </w:r>
    </w:p>
    <w:p>
      <w:pPr>
        <w:numPr>
          <w:ilvl w:val="0"/>
          <w:numId w:val="41"/>
        </w:numPr>
      </w:pPr>
      <w:r>
        <w:rPr>
          <w:rFonts w:ascii="Calibri" w:hAnsi="Calibri"/>
          <w:color w:val="111111"/>
        </w:rPr>
        <w:t>Aynı temel kaynağı yeni analiz yapmadan tekrar eden tertiary derlemeler.</w:t>
      </w:r>
    </w:p>
    <w:p>
      <w:pPr>
        <w:pStyle w:val="Heading2"/>
      </w:pPr>
      <w:r>
        <w:rPr>
          <w:rFonts w:ascii="Calibri" w:hAnsi="Calibri"/>
          <w:color w:val="111111"/>
        </w:rPr>
        <w:t>9.2 Admission policy sınırı</w:t>
      </w:r>
    </w:p>
    <w:p>
      <w:pPr>
        <w:numPr>
          <w:ilvl w:val="0"/>
          <w:numId w:val="41"/>
        </w:numPr>
      </w:pPr>
      <w:r>
        <w:rPr>
          <w:rFonts w:ascii="Calibri" w:hAnsi="Calibri"/>
          <w:color w:val="111111"/>
        </w:rPr>
        <w:t>Source Standard global minimum kaynak sayısı tanımlamaz; yalnız eligibility ve independence facts üretir.</w:t>
      </w:r>
    </w:p>
    <w:p>
      <w:pPr>
        <w:numPr>
          <w:ilvl w:val="0"/>
          <w:numId w:val="41"/>
        </w:numPr>
      </w:pPr>
      <w:r>
        <w:rPr>
          <w:rFonts w:ascii="Calibri" w:hAnsi="Calibri"/>
          <w:color w:val="111111"/>
        </w:rPr>
        <w:t>Her released preferredName, alias ve neutralDefinition girdisi kendi SourceRef'leriyle entry-level izlenebilir olmalıdır.</w:t>
      </w:r>
    </w:p>
    <w:p>
      <w:pPr>
        <w:numPr>
          <w:ilvl w:val="0"/>
          <w:numId w:val="41"/>
        </w:numPr>
      </w:pPr>
      <w:r>
        <w:rPr>
          <w:rFonts w:ascii="Calibri" w:hAnsi="Calibri"/>
          <w:color w:val="111111"/>
        </w:rPr>
        <w:t>Record-type-specific minimum destek eşiği ayrı versioned Symbol Admission Policy tarafından belirlenir.</w:t>
      </w:r>
    </w:p>
    <w:p>
      <w:pPr>
        <w:numPr>
          <w:ilvl w:val="0"/>
          <w:numId w:val="41"/>
        </w:numPr>
      </w:pPr>
      <w:r>
        <w:rPr>
          <w:rFonts w:ascii="Calibri" w:hAnsi="Calibri"/>
          <w:color w:val="111111"/>
        </w:rPr>
        <w:t>Tek kaynaklı bilginin release eligibility kararı Source Standard tarafından değil, referenced Symbol Admission Policy tarafından verilir.</w:t>
      </w:r>
    </w:p>
    <w:p>
      <w:pPr>
        <w:numPr>
          <w:ilvl w:val="0"/>
          <w:numId w:val="41"/>
        </w:numPr>
      </w:pPr>
      <w:r>
        <w:rPr>
          <w:rFonts w:ascii="Calibri" w:hAnsi="Calibri"/>
          <w:color w:val="111111"/>
        </w:rPr>
        <w:t>Kaynak sayısı kalite eksikliğini kapatmaz; çok sayıda kopya tek evidence family sayılır.</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Admission sınırı: Source Standard eligibility ve independence facts üretir; minimum source-family sayısını ayrı versioned Symbol Admission Policy belirler.</w:t>
            </w:r>
          </w:p>
        </w:tc>
      </w:tr>
    </w:tbl>
    <w:p>
      <w:pPr>
        <w:spacing w:after="0"/>
      </w:pPr>
    </w:p>
    <w:p>
      <w:pPr>
        <w:pStyle w:val="Heading1"/>
      </w:pPr>
      <w:r>
        <w:rPr>
          <w:rFonts w:ascii="Calibri" w:hAnsi="Calibri"/>
          <w:color w:val="111111"/>
        </w:rPr>
        <w:t>10. İnternet İçerikleri</w:t>
      </w:r>
    </w:p>
    <w:p>
      <w:pPr>
        <w:pStyle w:val="Heading2"/>
      </w:pPr>
      <w:r>
        <w:rPr>
          <w:rFonts w:ascii="Calibri" w:hAnsi="Calibri"/>
          <w:color w:val="111111"/>
        </w:rPr>
        <w:t>10.1 İnternet kaynağının minimum koşulları</w:t>
      </w:r>
    </w:p>
    <w:p>
      <w:pPr>
        <w:numPr>
          <w:ilvl w:val="0"/>
          <w:numId w:val="41"/>
        </w:numPr>
      </w:pPr>
      <w:r>
        <w:rPr>
          <w:rFonts w:ascii="Calibri" w:hAnsi="Calibri"/>
          <w:color w:val="111111"/>
        </w:rPr>
        <w:t>Başlık, sorumlu kişi/kurum, yayın veya güncelleme tarihi bulunabildiği ölçüde kaydedilir.</w:t>
      </w:r>
    </w:p>
    <w:p>
      <w:pPr>
        <w:numPr>
          <w:ilvl w:val="0"/>
          <w:numId w:val="41"/>
        </w:numPr>
      </w:pPr>
      <w:r>
        <w:rPr>
          <w:rFonts w:ascii="Calibri" w:hAnsi="Calibri"/>
          <w:color w:val="111111"/>
        </w:rPr>
        <w:t>Canonical URL ve accessedAtUtc zorunludur.</w:t>
      </w:r>
    </w:p>
    <w:p>
      <w:pPr>
        <w:numPr>
          <w:ilvl w:val="0"/>
          <w:numId w:val="41"/>
        </w:numPr>
      </w:pPr>
      <w:r>
        <w:rPr>
          <w:rFonts w:ascii="Calibri" w:hAnsi="Calibri"/>
          <w:color w:val="111111"/>
        </w:rPr>
        <w:t>Mutable içerik için archived snapshot veya captured content checksum SHOULD bulunmalıdır.</w:t>
      </w:r>
    </w:p>
    <w:p>
      <w:pPr>
        <w:numPr>
          <w:ilvl w:val="0"/>
          <w:numId w:val="41"/>
        </w:numPr>
      </w:pPr>
      <w:r>
        <w:rPr>
          <w:rFonts w:ascii="Calibri" w:hAnsi="Calibri"/>
          <w:color w:val="111111"/>
        </w:rPr>
        <w:t>Yayıncı/editoryal sahiplik ve orijinal kaynak zinciri değerlendirilir.</w:t>
      </w:r>
    </w:p>
    <w:p>
      <w:pPr>
        <w:numPr>
          <w:ilvl w:val="0"/>
          <w:numId w:val="41"/>
        </w:numPr>
      </w:pPr>
      <w:r>
        <w:rPr>
          <w:rFonts w:ascii="Calibri" w:hAnsi="Calibri"/>
          <w:color w:val="111111"/>
        </w:rPr>
        <w:t>Sayfadaki iddia exact locator ile gösterilir; yalnız ana sayfa URL'si yeterli değildir.</w:t>
      </w:r>
    </w:p>
    <w:p>
      <w:pPr>
        <w:numPr>
          <w:ilvl w:val="0"/>
          <w:numId w:val="41"/>
        </w:numPr>
      </w:pPr>
      <w:r>
        <w:rPr>
          <w:rFonts w:ascii="Calibri" w:hAnsi="Calibri"/>
          <w:color w:val="111111"/>
        </w:rPr>
        <w:t>Paywall, robot engeli veya kaybolan sayfa yeniden doğrulamayı önlüyorsa sınırlılık kaydedilir.</w:t>
      </w:r>
    </w:p>
    <w:p>
      <w:pPr>
        <w:pStyle w:val="Heading2"/>
      </w:pPr>
      <w:r>
        <w:rPr>
          <w:rFonts w:ascii="Calibri" w:hAnsi="Calibri"/>
          <w:color w:val="111111"/>
        </w:rPr>
        <w:t>10.2 Otomatik olarak canonical kaynak sayılmayan içerikler</w:t>
      </w:r>
    </w:p>
    <w:p>
      <w:pPr>
        <w:numPr>
          <w:ilvl w:val="0"/>
          <w:numId w:val="41"/>
        </w:numPr>
      </w:pPr>
      <w:r>
        <w:rPr>
          <w:rFonts w:ascii="Calibri" w:hAnsi="Calibri"/>
          <w:color w:val="111111"/>
        </w:rPr>
        <w:t>Arama motoru sonuçları ve snippet'ler.</w:t>
      </w:r>
    </w:p>
    <w:p>
      <w:pPr>
        <w:numPr>
          <w:ilvl w:val="0"/>
          <w:numId w:val="41"/>
        </w:numPr>
      </w:pPr>
      <w:r>
        <w:rPr>
          <w:rFonts w:ascii="Calibri" w:hAnsi="Calibri"/>
          <w:color w:val="111111"/>
        </w:rPr>
        <w:t>LLM, chatbot veya otomatik özet çıktıları.</w:t>
      </w:r>
    </w:p>
    <w:p>
      <w:pPr>
        <w:numPr>
          <w:ilvl w:val="0"/>
          <w:numId w:val="41"/>
        </w:numPr>
      </w:pPr>
      <w:r>
        <w:rPr>
          <w:rFonts w:ascii="Calibri" w:hAnsi="Calibri"/>
          <w:color w:val="111111"/>
        </w:rPr>
        <w:t>Kaynağını göstermeyen SEO/affiliate listeleri ve kopya içerikler.</w:t>
      </w:r>
    </w:p>
    <w:p>
      <w:pPr>
        <w:numPr>
          <w:ilvl w:val="0"/>
          <w:numId w:val="41"/>
        </w:numPr>
      </w:pPr>
      <w:r>
        <w:rPr>
          <w:rFonts w:ascii="Calibri" w:hAnsi="Calibri"/>
          <w:color w:val="111111"/>
        </w:rPr>
        <w:t>Anonim forum/sosyal medya iddiaları; uygun saha kaydı protokolüne dönüştürülmedikçe.</w:t>
      </w:r>
    </w:p>
    <w:p>
      <w:pPr>
        <w:numPr>
          <w:ilvl w:val="0"/>
          <w:numId w:val="41"/>
        </w:numPr>
      </w:pPr>
      <w:r>
        <w:rPr>
          <w:rFonts w:ascii="Calibri" w:hAnsi="Calibri"/>
          <w:color w:val="111111"/>
        </w:rPr>
        <w:t>Ekran görüntüsü tek başına; URL, timestamp, provenance ve bütünlük kaydı yoksa.</w:t>
      </w:r>
    </w:p>
    <w:p>
      <w:pPr>
        <w:numPr>
          <w:ilvl w:val="0"/>
          <w:numId w:val="41"/>
        </w:numPr>
      </w:pPr>
      <w:r>
        <w:rPr>
          <w:rFonts w:ascii="Calibri" w:hAnsi="Calibri"/>
          <w:color w:val="111111"/>
        </w:rPr>
        <w:t>Yalnız başka bir sayfayı alıntılayan içerik; özgün kaynak incelenmeden.</w:t>
      </w:r>
    </w:p>
    <w:p>
      <w:pPr>
        <w:pStyle w:val="Heading2"/>
      </w:pPr>
      <w:r>
        <w:rPr>
          <w:rFonts w:ascii="Calibri" w:hAnsi="Calibri"/>
          <w:color w:val="111111"/>
        </w:rPr>
        <w:t>10.3 Community content</w:t>
      </w:r>
    </w:p>
    <w:p>
      <w:r>
        <w:rPr>
          <w:rFonts w:ascii="Calibri" w:hAnsi="Calibri"/>
          <w:color w:val="111111"/>
        </w:rPr>
        <w:t>Community-generated içerik kültürel kullanım sinyali olabilir; ancak temsil gücü, kimlik, consent ve bağımsızlık doğrulanmadan eligibleCore olamaz. Sistem bu içeriği küçümsemez; sadece doğrulayabildiğinden fazlasını iddia etmez.</w:t>
      </w:r>
    </w:p>
    <w:p>
      <w:pPr>
        <w:pStyle w:val="Heading1"/>
      </w:pPr>
      <w:r>
        <w:rPr>
          <w:rFonts w:ascii="Calibri" w:hAnsi="Calibri"/>
          <w:color w:val="111111"/>
        </w:rPr>
        <w:t>11. Çelişkili Kaynaklar</w:t>
      </w:r>
    </w:p>
    <w:p>
      <w:r>
        <w:rPr>
          <w:rFonts w:ascii="Calibri" w:hAnsi="Calibri"/>
          <w:color w:val="111111"/>
        </w:rPr>
        <w:t>Kaynaklar arasındaki uyuşmazlık bir veri kaybı gerekçesi değildir. Her claim ayrı SourceRef setiyle korunur. Uyumsuz claim'ler Domain Contracts'taki ClaimConflict kaydıyla bağlanır.</w:t>
      </w:r>
    </w:p>
    <w:p>
      <w:pPr>
        <w:pStyle w:val="Heading2"/>
      </w:pPr>
      <w:r>
        <w:rPr>
          <w:rFonts w:ascii="Calibri" w:hAnsi="Calibri"/>
          <w:color w:val="111111"/>
        </w:rPr>
        <w:t>11.1 İşlem sırası</w:t>
      </w:r>
    </w:p>
    <w:p>
      <w:pPr>
        <w:numPr>
          <w:ilvl w:val="0"/>
          <w:numId w:val="42"/>
        </w:numPr>
      </w:pPr>
      <w:r>
        <w:rPr>
          <w:rFonts w:ascii="Calibri" w:hAnsi="Calibri"/>
          <w:color w:val="111111"/>
        </w:rPr>
        <w:t>Çelişen ifadeler atomik claim'lere ayrılır.</w:t>
      </w:r>
    </w:p>
    <w:p>
      <w:pPr>
        <w:numPr>
          <w:ilvl w:val="0"/>
          <w:numId w:val="42"/>
        </w:numPr>
      </w:pPr>
      <w:r>
        <w:rPr>
          <w:rFonts w:ascii="Calibri" w:hAnsi="Calibri"/>
          <w:color w:val="111111"/>
        </w:rPr>
        <w:t>Her claim için exact SourceRef, locator ve SourceUseAssessment tamamlanır.</w:t>
      </w:r>
    </w:p>
    <w:p>
      <w:pPr>
        <w:numPr>
          <w:ilvl w:val="0"/>
          <w:numId w:val="42"/>
        </w:numPr>
      </w:pPr>
      <w:r>
        <w:rPr>
          <w:rFonts w:ascii="Calibri" w:hAnsi="Calibri"/>
          <w:color w:val="111111"/>
        </w:rPr>
        <w:t>Ortak kaynak kökeni varsa independenceGroupId birleştirilir.</w:t>
      </w:r>
    </w:p>
    <w:p>
      <w:pPr>
        <w:numPr>
          <w:ilvl w:val="0"/>
          <w:numId w:val="42"/>
        </w:numPr>
      </w:pPr>
      <w:r>
        <w:rPr>
          <w:rFonts w:ascii="Calibri" w:hAnsi="Calibri"/>
          <w:color w:val="111111"/>
        </w:rPr>
        <w:t>Çatışmanın çeviri, dönem, kültürel bağlam, kapsam veya gerçek semantic uyuşmazlıktan doğup doğmadığı not edilir.</w:t>
      </w:r>
    </w:p>
    <w:p>
      <w:pPr>
        <w:numPr>
          <w:ilvl w:val="0"/>
          <w:numId w:val="42"/>
        </w:numPr>
      </w:pPr>
      <w:r>
        <w:rPr>
          <w:rFonts w:ascii="Calibri" w:hAnsi="Calibri"/>
          <w:color w:val="111111"/>
        </w:rPr>
        <w:t>ClaimConflict oluşturulur; preferred claim veya kazanan kaynak ilan edilmez.</w:t>
      </w:r>
    </w:p>
    <w:p>
      <w:pPr>
        <w:numPr>
          <w:ilvl w:val="0"/>
          <w:numId w:val="42"/>
        </w:numPr>
      </w:pPr>
      <w:r>
        <w:rPr>
          <w:rFonts w:ascii="Calibri" w:hAnsi="Calibri"/>
          <w:color w:val="111111"/>
        </w:rPr>
        <w:t>Review sonucu yalnız release eligibility belirler; tarihi görüşü silmez.</w:t>
      </w:r>
    </w:p>
    <w:p>
      <w:pPr>
        <w:pStyle w:val="Heading2"/>
      </w:pPr>
      <w:r>
        <w:rPr>
          <w:rFonts w:ascii="Calibri" w:hAnsi="Calibri"/>
          <w:color w:val="111111"/>
        </w:rPr>
        <w:t>11.2 Yasak yöntemler</w:t>
      </w:r>
    </w:p>
    <w:p>
      <w:pPr>
        <w:numPr>
          <w:ilvl w:val="0"/>
          <w:numId w:val="41"/>
        </w:numPr>
      </w:pPr>
      <w:r>
        <w:rPr>
          <w:rFonts w:ascii="Calibri" w:hAnsi="Calibri"/>
          <w:color w:val="111111"/>
        </w:rPr>
        <w:t>Çoğunluk sayısıyla hakikat seçmek.</w:t>
      </w:r>
    </w:p>
    <w:p>
      <w:pPr>
        <w:numPr>
          <w:ilvl w:val="0"/>
          <w:numId w:val="41"/>
        </w:numPr>
      </w:pPr>
      <w:r>
        <w:rPr>
          <w:rFonts w:ascii="Calibri" w:hAnsi="Calibri"/>
          <w:color w:val="111111"/>
        </w:rPr>
        <w:t>Daha yüksek sourceClass nedeniyle diğer kaynağı otomatik geçersiz saymak.</w:t>
      </w:r>
    </w:p>
    <w:p>
      <w:pPr>
        <w:numPr>
          <w:ilvl w:val="0"/>
          <w:numId w:val="41"/>
        </w:numPr>
      </w:pPr>
      <w:r>
        <w:rPr>
          <w:rFonts w:ascii="Calibri" w:hAnsi="Calibri"/>
          <w:color w:val="111111"/>
        </w:rPr>
        <w:t>Çatışan anlamları tek muğlak cümlede birleştirmek.</w:t>
      </w:r>
    </w:p>
    <w:p>
      <w:pPr>
        <w:numPr>
          <w:ilvl w:val="0"/>
          <w:numId w:val="41"/>
        </w:numPr>
      </w:pPr>
      <w:r>
        <w:rPr>
          <w:rFonts w:ascii="Calibri" w:hAnsi="Calibri"/>
          <w:color w:val="111111"/>
        </w:rPr>
        <w:t>Uyuşmazlığı generic confidence değerinde eritmek.</w:t>
      </w:r>
    </w:p>
    <w:p>
      <w:pPr>
        <w:numPr>
          <w:ilvl w:val="0"/>
          <w:numId w:val="41"/>
        </w:numPr>
      </w:pPr>
      <w:r>
        <w:rPr>
          <w:rFonts w:ascii="Calibri" w:hAnsi="Calibri"/>
          <w:color w:val="111111"/>
        </w:rPr>
        <w:t>Azınlık veya yerel kültür kaydını geniş kaynak sayısı az diye silmek.</w:t>
      </w:r>
    </w:p>
    <w:p>
      <w:pPr>
        <w:pStyle w:val="Heading1"/>
      </w:pPr>
      <w:r>
        <w:rPr>
          <w:rFonts w:ascii="Calibri" w:hAnsi="Calibri"/>
          <w:color w:val="111111"/>
        </w:rPr>
        <w:t>12. Kültürel Varyasyonların Kaydı</w:t>
      </w:r>
    </w:p>
    <w:p>
      <w:r>
        <w:rPr>
          <w:rFonts w:ascii="Calibri" w:hAnsi="Calibri"/>
          <w:color w:val="111111"/>
        </w:rPr>
        <w:t>CulturalCoverage kaynak metadata'sıdır; sembol anlamı değildir. Bir source revision'ın açıkça ele aldığı coğrafi, dilsel, tarihsel veya topluluk bağlamını gösterir. contextIds exact frozen Context Registry release'ine çözülür ve InterpretationClaim.contextIds'in yerine geçmez.</w:t>
      </w:r>
    </w:p>
    <w:p>
      <w:pPr>
        <w:pStyle w:val="Heading2"/>
      </w:pPr>
      <w:r>
        <w:rPr>
          <w:rFonts w:ascii="Calibri" w:hAnsi="Calibri"/>
          <w:color w:val="111111"/>
        </w:rPr>
        <w:t>12.1 Kurallar</w:t>
      </w:r>
    </w:p>
    <w:p>
      <w:pPr>
        <w:numPr>
          <w:ilvl w:val="0"/>
          <w:numId w:val="41"/>
        </w:numPr>
      </w:pPr>
      <w:r>
        <w:rPr>
          <w:rFonts w:ascii="Calibri" w:hAnsi="Calibri"/>
          <w:color w:val="111111"/>
        </w:rPr>
        <w:t>Kaynağın kendi beyan ettiği kapsam `sourceDeclared` olarak kaydedilir.</w:t>
      </w:r>
    </w:p>
    <w:p>
      <w:pPr>
        <w:numPr>
          <w:ilvl w:val="0"/>
          <w:numId w:val="41"/>
        </w:numPr>
      </w:pPr>
      <w:r>
        <w:rPr>
          <w:rFonts w:ascii="Calibri" w:hAnsi="Calibri"/>
          <w:color w:val="111111"/>
        </w:rPr>
        <w:t>Kataloglayan kişinin gözlemlediği fakat kaynakta açık olmayan kapsam `catalogerObserved` olarak işaretlenir ve claim desteği sayılmaz.</w:t>
      </w:r>
    </w:p>
    <w:p>
      <w:pPr>
        <w:numPr>
          <w:ilvl w:val="0"/>
          <w:numId w:val="41"/>
        </w:numPr>
      </w:pPr>
      <w:r>
        <w:rPr>
          <w:rFonts w:ascii="Calibri" w:hAnsi="Calibri"/>
          <w:color w:val="111111"/>
        </w:rPr>
        <w:t>Kapsam bilinmiyorsa `unknown` kullanılır; ülke, dil veya gelenek varsayılmaz.</w:t>
      </w:r>
    </w:p>
    <w:p>
      <w:pPr>
        <w:numPr>
          <w:ilvl w:val="0"/>
          <w:numId w:val="41"/>
        </w:numPr>
      </w:pPr>
      <w:r>
        <w:rPr>
          <w:rFonts w:ascii="Calibri" w:hAnsi="Calibri"/>
          <w:color w:val="111111"/>
        </w:rPr>
        <w:t>Bir kültürel bağlamdan diğerine anlam taşınamaz; ayrı claim ve ayrı source use assessment gerekir.</w:t>
      </w:r>
    </w:p>
    <w:p>
      <w:pPr>
        <w:numPr>
          <w:ilvl w:val="0"/>
          <w:numId w:val="41"/>
        </w:numPr>
      </w:pPr>
      <w:r>
        <w:rPr>
          <w:rFonts w:ascii="Calibri" w:hAnsi="Calibri"/>
          <w:color w:val="111111"/>
        </w:rPr>
        <w:t>Çeviri, orijinal kültürel kapsamı otomatik olarak çeviri dilinin kültürüne dönüştürmez.</w:t>
      </w:r>
    </w:p>
    <w:p>
      <w:pPr>
        <w:numPr>
          <w:ilvl w:val="0"/>
          <w:numId w:val="41"/>
        </w:numPr>
      </w:pPr>
      <w:r>
        <w:rPr>
          <w:rFonts w:ascii="Calibri" w:hAnsi="Calibri"/>
          <w:color w:val="111111"/>
        </w:rPr>
        <w:t>Saha ve oral-history kayıtlarında consent, temsil sınırı ve anonymization gereksinimleri QualityIssue olarak denetlenir.</w:t>
      </w: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Koruma ilkesi: Yerel veya az belgelenmiş gelenek silinmez; draft research olarak korunur. Freeze eligibility yalnız approved Symbol Admission Policy ile belirlenir.</w:t>
            </w:r>
          </w:p>
        </w:tc>
      </w:tr>
    </w:tbl>
    <w:p>
      <w:pPr>
        <w:spacing w:after="0"/>
      </w:pPr>
    </w:p>
    <w:p>
      <w:pPr>
        <w:pStyle w:val="Heading1"/>
      </w:pPr>
      <w:r>
        <w:rPr>
          <w:rFonts w:ascii="Calibri" w:hAnsi="Calibri"/>
          <w:color w:val="111111"/>
        </w:rPr>
        <w:t>13. Referans ve Locator Standardı</w:t>
      </w:r>
    </w:p>
    <w:p>
      <w:pPr>
        <w:pStyle w:val="Heading2"/>
      </w:pPr>
      <w:r>
        <w:rPr>
          <w:rFonts w:ascii="Calibri" w:hAnsi="Calibri"/>
          <w:color w:val="111111"/>
        </w:rPr>
        <w:t>13.1 SourceRef</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00"/>
        <w:gridCol w:w="1800"/>
        <w:gridCol w:w="5660"/>
      </w:tblGrid>
      <w:tr>
        <w:trPr>
          <w:tblHeader w:val="true"/>
          <w:cantSplit/>
        </w:trPr>
        <w:tc>
          <w:tcPr>
            <w:tcW w:type="dxa" w:w="19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180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566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7"/>
              </w:rPr>
              <w:t>sourceId</w:t>
            </w:r>
          </w:p>
        </w:tc>
        <w:tc>
          <w:tcPr>
            <w:tcW w:type="dxa" w:w="1800"/>
            <w:tcMar>
              <w:top w:w="90" w:type="dxa"/>
              <w:start w:w="120" w:type="dxa"/>
              <w:bottom w:w="90" w:type="dxa"/>
              <w:end w:w="120" w:type="dxa"/>
            </w:tcMar>
            <w:vAlign w:val="center"/>
          </w:tcPr>
          <w:p>
            <w:pPr>
              <w:spacing w:after="0"/>
            </w:pPr>
            <w:r>
              <w:rPr>
                <w:rFonts w:ascii="Calibri" w:hAnsi="Calibri"/>
                <w:color w:val="111111"/>
                <w:sz w:val="17"/>
              </w:rPr>
              <w:t>String</w:t>
            </w:r>
          </w:p>
        </w:tc>
        <w:tc>
          <w:tcPr>
            <w:tcW w:type="dxa" w:w="5660"/>
            <w:tcMar>
              <w:top w:w="90" w:type="dxa"/>
              <w:start w:w="120" w:type="dxa"/>
              <w:bottom w:w="90" w:type="dxa"/>
              <w:end w:w="120" w:type="dxa"/>
            </w:tcMar>
            <w:vAlign w:val="center"/>
          </w:tcPr>
          <w:p>
            <w:pPr>
              <w:spacing w:after="0"/>
            </w:pPr>
            <w:r>
              <w:rPr>
                <w:rFonts w:ascii="Calibri" w:hAnsi="Calibri"/>
                <w:color w:val="111111"/>
                <w:sz w:val="17"/>
              </w:rPr>
              <w:t>Exact SourceRecord kimliği</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7"/>
              </w:rPr>
              <w:t>revision</w:t>
            </w:r>
          </w:p>
        </w:tc>
        <w:tc>
          <w:tcPr>
            <w:tcW w:type="dxa" w:w="1800"/>
            <w:shd w:fill="F8FAFA"/>
            <w:tcMar>
              <w:top w:w="90" w:type="dxa"/>
              <w:start w:w="120" w:type="dxa"/>
              <w:bottom w:w="90" w:type="dxa"/>
              <w:end w:w="120" w:type="dxa"/>
            </w:tcMar>
            <w:vAlign w:val="center"/>
          </w:tcPr>
          <w:p>
            <w:pPr>
              <w:spacing w:after="0"/>
            </w:pPr>
            <w:r>
              <w:rPr>
                <w:rFonts w:ascii="Calibri" w:hAnsi="Calibri"/>
                <w:color w:val="111111"/>
                <w:sz w:val="17"/>
              </w:rPr>
              <w:t>int</w:t>
            </w:r>
          </w:p>
        </w:tc>
        <w:tc>
          <w:tcPr>
            <w:tcW w:type="dxa" w:w="5660"/>
            <w:shd w:fill="F8FAFA"/>
            <w:tcMar>
              <w:top w:w="90" w:type="dxa"/>
              <w:start w:w="120" w:type="dxa"/>
              <w:bottom w:w="90" w:type="dxa"/>
              <w:end w:w="120" w:type="dxa"/>
            </w:tcMar>
            <w:vAlign w:val="center"/>
          </w:tcPr>
          <w:p>
            <w:pPr>
              <w:spacing w:after="0"/>
            </w:pPr>
            <w:r>
              <w:rPr>
                <w:rFonts w:ascii="Calibri" w:hAnsi="Calibri"/>
                <w:color w:val="111111"/>
                <w:sz w:val="17"/>
              </w:rPr>
              <w:t>Exact consulted immutable revision</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7"/>
              </w:rPr>
              <w:t>locator</w:t>
            </w:r>
          </w:p>
        </w:tc>
        <w:tc>
          <w:tcPr>
            <w:tcW w:type="dxa" w:w="1800"/>
            <w:tcMar>
              <w:top w:w="90" w:type="dxa"/>
              <w:start w:w="120" w:type="dxa"/>
              <w:bottom w:w="90" w:type="dxa"/>
              <w:end w:w="120" w:type="dxa"/>
            </w:tcMar>
            <w:vAlign w:val="center"/>
          </w:tcPr>
          <w:p>
            <w:pPr>
              <w:spacing w:after="0"/>
            </w:pPr>
            <w:r>
              <w:rPr>
                <w:rFonts w:ascii="Calibri" w:hAnsi="Calibri"/>
                <w:color w:val="111111"/>
                <w:sz w:val="17"/>
              </w:rPr>
              <w:t>String?</w:t>
            </w:r>
          </w:p>
        </w:tc>
        <w:tc>
          <w:tcPr>
            <w:tcW w:type="dxa" w:w="5660"/>
            <w:tcMar>
              <w:top w:w="90" w:type="dxa"/>
              <w:start w:w="120" w:type="dxa"/>
              <w:bottom w:w="90" w:type="dxa"/>
              <w:end w:w="120" w:type="dxa"/>
            </w:tcMar>
            <w:vAlign w:val="center"/>
          </w:tcPr>
          <w:p>
            <w:pPr>
              <w:spacing w:after="0"/>
            </w:pPr>
            <w:r>
              <w:rPr>
                <w:rFonts w:ascii="Calibri" w:hAnsi="Calibri"/>
                <w:color w:val="111111"/>
                <w:sz w:val="17"/>
              </w:rPr>
              <w:t>İddiayı doğrulayan sayfa/bölüm/fragment; kaynak kimliği değildir</w:t>
            </w:r>
          </w:p>
        </w:tc>
      </w:tr>
    </w:tbl>
    <w:p>
      <w:pPr>
        <w:spacing w:after="0"/>
      </w:pPr>
    </w:p>
    <w:p>
      <w:pPr>
        <w:pStyle w:val="Heading2"/>
      </w:pPr>
      <w:r>
        <w:rPr>
          <w:rFonts w:ascii="Calibri" w:hAnsi="Calibri"/>
          <w:color w:val="111111"/>
        </w:rPr>
        <w:t>13.2 Locator biçimleri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100"/>
        <w:gridCol w:w="3650"/>
        <w:gridCol w:w="3610"/>
      </w:tblGrid>
      <w:tr>
        <w:trPr>
          <w:tblHeader w:val="true"/>
          <w:cantSplit/>
        </w:trPr>
        <w:tc>
          <w:tcPr>
            <w:tcW w:type="dxa" w:w="2100"/>
            <w:tcMar>
              <w:top w:w="90" w:type="dxa"/>
              <w:start w:w="120" w:type="dxa"/>
              <w:bottom w:w="90" w:type="dxa"/>
              <w:end w:w="120" w:type="dxa"/>
            </w:tcMar>
            <w:vAlign w:val="center"/>
            <w:shd w:fill="006B63"/>
          </w:tcPr>
          <w:p>
            <w:pPr>
              <w:spacing w:after="0"/>
            </w:pPr>
            <w:r>
              <w:rPr>
                <w:rFonts w:ascii="Calibri" w:hAnsi="Calibri"/>
                <w:b/>
                <w:color w:val="FFFFFF"/>
                <w:sz w:val="17"/>
              </w:rPr>
              <w:t>Kaynak</w:t>
            </w:r>
          </w:p>
        </w:tc>
        <w:tc>
          <w:tcPr>
            <w:tcW w:type="dxa" w:w="3650"/>
            <w:tcMar>
              <w:top w:w="90" w:type="dxa"/>
              <w:start w:w="120" w:type="dxa"/>
              <w:bottom w:w="90" w:type="dxa"/>
              <w:end w:w="120" w:type="dxa"/>
            </w:tcMar>
            <w:vAlign w:val="center"/>
            <w:shd w:fill="006B63"/>
          </w:tcPr>
          <w:p>
            <w:pPr>
              <w:spacing w:after="0"/>
            </w:pPr>
            <w:r>
              <w:rPr>
                <w:rFonts w:ascii="Calibri" w:hAnsi="Calibri"/>
                <w:b/>
                <w:color w:val="FFFFFF"/>
                <w:sz w:val="17"/>
              </w:rPr>
              <w:t>Önerilen locator</w:t>
            </w:r>
          </w:p>
        </w:tc>
        <w:tc>
          <w:tcPr>
            <w:tcW w:type="dxa" w:w="3610"/>
            <w:tcMar>
              <w:top w:w="90" w:type="dxa"/>
              <w:start w:w="120" w:type="dxa"/>
              <w:bottom w:w="90" w:type="dxa"/>
              <w:end w:w="120" w:type="dxa"/>
            </w:tcMar>
            <w:vAlign w:val="center"/>
            <w:shd w:fill="006B63"/>
          </w:tcPr>
          <w:p>
            <w:pPr>
              <w:spacing w:after="0"/>
            </w:pPr>
            <w:r>
              <w:rPr>
                <w:rFonts w:ascii="Calibri" w:hAnsi="Calibri"/>
                <w:b/>
                <w:color w:val="FFFFFF"/>
                <w:sz w:val="17"/>
              </w:rPr>
              <w:t>Örnek biçim</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Basılı/dijital kitap</w:t>
            </w:r>
          </w:p>
        </w:tc>
        <w:tc>
          <w:tcPr>
            <w:tcW w:type="dxa" w:w="3650"/>
            <w:tcMar>
              <w:top w:w="90" w:type="dxa"/>
              <w:start w:w="120" w:type="dxa"/>
              <w:bottom w:w="90" w:type="dxa"/>
              <w:end w:w="120" w:type="dxa"/>
            </w:tcMar>
            <w:vAlign w:val="center"/>
          </w:tcPr>
          <w:p>
            <w:pPr>
              <w:spacing w:after="0"/>
            </w:pPr>
            <w:r>
              <w:rPr>
                <w:rFonts w:ascii="Calibri" w:hAnsi="Calibri"/>
                <w:color w:val="111111"/>
                <w:sz w:val="16"/>
              </w:rPr>
              <w:t>Sayfa ve gerekirse bölüm</w:t>
            </w:r>
          </w:p>
        </w:tc>
        <w:tc>
          <w:tcPr>
            <w:tcW w:type="dxa" w:w="3610"/>
            <w:tcMar>
              <w:top w:w="90" w:type="dxa"/>
              <w:start w:w="120" w:type="dxa"/>
              <w:bottom w:w="90" w:type="dxa"/>
              <w:end w:w="120" w:type="dxa"/>
            </w:tcMar>
            <w:vAlign w:val="center"/>
          </w:tcPr>
          <w:p>
            <w:pPr>
              <w:spacing w:after="0"/>
            </w:pPr>
            <w:r>
              <w:rPr>
                <w:rFonts w:ascii="Calibri" w:hAnsi="Calibri"/>
                <w:color w:val="111111"/>
                <w:sz w:val="16"/>
              </w:rPr>
              <w:t>p. &lt;page&gt;; ch. &lt;section&gt;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Makale</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Sayfa, bölüm veya figure/table</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p. &lt;page&gt;; sec. &lt;heading&gt;</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Web sayfası</w:t>
            </w:r>
          </w:p>
        </w:tc>
        <w:tc>
          <w:tcPr>
            <w:tcW w:type="dxa" w:w="3650"/>
            <w:tcMar>
              <w:top w:w="90" w:type="dxa"/>
              <w:start w:w="120" w:type="dxa"/>
              <w:bottom w:w="90" w:type="dxa"/>
              <w:end w:w="120" w:type="dxa"/>
            </w:tcMar>
            <w:vAlign w:val="center"/>
          </w:tcPr>
          <w:p>
            <w:pPr>
              <w:spacing w:after="0"/>
            </w:pPr>
            <w:r>
              <w:rPr>
                <w:rFonts w:ascii="Calibri" w:hAnsi="Calibri"/>
                <w:color w:val="111111"/>
                <w:sz w:val="16"/>
              </w:rPr>
              <w:t>Başlık, anchor veya paragraf tanımı</w:t>
            </w:r>
          </w:p>
        </w:tc>
        <w:tc>
          <w:tcPr>
            <w:tcW w:type="dxa" w:w="3610"/>
            <w:tcMar>
              <w:top w:w="90" w:type="dxa"/>
              <w:start w:w="120" w:type="dxa"/>
              <w:bottom w:w="90" w:type="dxa"/>
              <w:end w:w="120" w:type="dxa"/>
            </w:tcMar>
            <w:vAlign w:val="center"/>
          </w:tcPr>
          <w:p>
            <w:pPr>
              <w:spacing w:after="0"/>
            </w:pPr>
            <w:r>
              <w:rPr>
                <w:rFonts w:ascii="Calibri" w:hAnsi="Calibri"/>
                <w:color w:val="111111"/>
                <w:sz w:val="16"/>
              </w:rPr>
              <w:t>sec. &lt;heading&gt;; para. &lt;n&gt;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Ses/video</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Başlangıç-bitiş timestamp</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00:00:00-00:00:00</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Görüşme/transcript</w:t>
            </w:r>
          </w:p>
        </w:tc>
        <w:tc>
          <w:tcPr>
            <w:tcW w:type="dxa" w:w="3650"/>
            <w:tcMar>
              <w:top w:w="90" w:type="dxa"/>
              <w:start w:w="120" w:type="dxa"/>
              <w:bottom w:w="90" w:type="dxa"/>
              <w:end w:w="120" w:type="dxa"/>
            </w:tcMar>
            <w:vAlign w:val="center"/>
          </w:tcPr>
          <w:p>
            <w:pPr>
              <w:spacing w:after="0"/>
            </w:pPr>
            <w:r>
              <w:rPr>
                <w:rFonts w:ascii="Calibri" w:hAnsi="Calibri"/>
                <w:color w:val="111111"/>
                <w:sz w:val="16"/>
              </w:rPr>
              <w:t>Transcript satırı veya timestamp</w:t>
            </w:r>
          </w:p>
        </w:tc>
        <w:tc>
          <w:tcPr>
            <w:tcW w:type="dxa" w:w="3610"/>
            <w:tcMar>
              <w:top w:w="90" w:type="dxa"/>
              <w:start w:w="120" w:type="dxa"/>
              <w:bottom w:w="90" w:type="dxa"/>
              <w:end w:w="120" w:type="dxa"/>
            </w:tcMar>
            <w:vAlign w:val="center"/>
          </w:tcPr>
          <w:p>
            <w:pPr>
              <w:spacing w:after="0"/>
            </w:pPr>
            <w:r>
              <w:rPr>
                <w:rFonts w:ascii="Calibri" w:hAnsi="Calibri"/>
                <w:color w:val="111111"/>
                <w:sz w:val="16"/>
              </w:rPr>
              <w:t>lines &lt;start&gt;-&lt;end&gt;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Arşiv kaydı</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Fonds/series/item/page</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&lt;archive-locator&gt;</w:t>
            </w:r>
          </w:p>
        </w:tc>
      </w:tr>
    </w:tbl>
    <w:p>
      <w:pPr>
        <w:spacing w:after="0"/>
      </w:pPr>
    </w:p>
    <w:p>
      <w:pPr>
        <w:pStyle w:val="Heading2"/>
      </w:pPr>
      <w:r>
        <w:rPr>
          <w:rFonts w:ascii="Calibri" w:hAnsi="Calibri"/>
          <w:color w:val="111111"/>
        </w:rPr>
        <w:t>13.3 Atıf görünümü</w:t>
      </w:r>
    </w:p>
    <w:p>
      <w:r>
        <w:rPr>
          <w:rFonts w:ascii="Calibri" w:hAnsi="Calibri"/>
          <w:color w:val="111111"/>
        </w:rPr>
        <w:t>İnsan-okur atıf metni canonical domain alanı değildir; SourceRecord'dan deterministik olarak üretilen citation view'dır. Atlas v1, tek bir yayın stili adına metadata kaybetmez. Görünüm en az creator, title, publication/container, date, edition/identifier ve erişim tarihini mevcut olduğu ölçüde göstermelidir.</w:t>
      </w:r>
    </w:p>
    <w:p>
      <w:pPr>
        <w:numPr>
          <w:ilvl w:val="0"/>
          <w:numId w:val="41"/>
        </w:numPr>
      </w:pPr>
      <w:r>
        <w:rPr>
          <w:rFonts w:ascii="Calibri" w:hAnsi="Calibri"/>
          <w:color w:val="111111"/>
        </w:rPr>
        <w:t>DOI, ISBN ve URL değerleri SourceIdentifier içinde typed tutulur; presentation katmanı biçimlendirir.</w:t>
      </w:r>
    </w:p>
    <w:p>
      <w:pPr>
        <w:numPr>
          <w:ilvl w:val="0"/>
          <w:numId w:val="41"/>
        </w:numPr>
      </w:pPr>
      <w:r>
        <w:rPr>
          <w:rFonts w:ascii="Calibri" w:hAnsi="Calibri"/>
          <w:color w:val="111111"/>
        </w:rPr>
        <w:t>Eksik creator veya tarih uydurulmaz; citation view açıkça eksik metadata gösterir.</w:t>
      </w:r>
    </w:p>
    <w:p>
      <w:pPr>
        <w:numPr>
          <w:ilvl w:val="0"/>
          <w:numId w:val="41"/>
        </w:numPr>
      </w:pPr>
      <w:r>
        <w:rPr>
          <w:rFonts w:ascii="Calibri" w:hAnsi="Calibri"/>
          <w:color w:val="111111"/>
        </w:rPr>
        <w:t>Locator citation view'a eklenir fakat SourceRecord kimliğinin parçası olmaz.</w:t>
      </w:r>
    </w:p>
    <w:p>
      <w:pPr>
        <w:numPr>
          <w:ilvl w:val="0"/>
          <w:numId w:val="41"/>
        </w:numPr>
      </w:pPr>
      <w:r>
        <w:rPr>
          <w:rFonts w:ascii="Calibri" w:hAnsi="Calibri"/>
          <w:color w:val="111111"/>
        </w:rPr>
        <w:t>URL tracking parametreleri canonical kimlik olarak kabul edilmez; normalization kuralı ayrı validator testleriyle sabitlenir.</w:t>
      </w:r>
    </w:p>
    <w:p>
      <w:pPr>
        <w:pStyle w:val="Heading1"/>
      </w:pPr>
      <w:r>
        <w:rPr>
          <w:rFonts w:ascii="Calibri" w:hAnsi="Calibri"/>
          <w:color w:val="111111"/>
        </w:rPr>
        <w:t>14. Review Süreci</w:t>
      </w:r>
    </w:p>
    <w:p>
      <w:pPr>
        <w:pStyle w:val="Heading2"/>
      </w:pPr>
      <w:r>
        <w:rPr>
          <w:rFonts w:ascii="Calibri" w:hAnsi="Calibri"/>
          <w:color w:val="111111"/>
        </w:rPr>
        <w:t>14.1 Review hedefleri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500"/>
        <w:gridCol w:w="4300"/>
        <w:gridCol w:w="2560"/>
      </w:tblGrid>
      <w:tr>
        <w:trPr>
          <w:tblHeader w:val="true"/>
          <w:cantSplit/>
        </w:trPr>
        <w:tc>
          <w:tcPr>
            <w:tcW w:type="dxa" w:w="2500"/>
            <w:tcMar>
              <w:top w:w="90" w:type="dxa"/>
              <w:start w:w="120" w:type="dxa"/>
              <w:bottom w:w="90" w:type="dxa"/>
              <w:end w:w="120" w:type="dxa"/>
            </w:tcMar>
            <w:vAlign w:val="center"/>
            <w:shd w:fill="006B63"/>
          </w:tcPr>
          <w:p>
            <w:pPr>
              <w:spacing w:after="0"/>
            </w:pPr>
            <w:r>
              <w:rPr>
                <w:rFonts w:ascii="Calibri" w:hAnsi="Calibri"/>
                <w:b/>
                <w:color w:val="FFFFFF"/>
                <w:sz w:val="17"/>
              </w:rPr>
              <w:t>Review hedefi</w:t>
            </w:r>
          </w:p>
        </w:tc>
        <w:tc>
          <w:tcPr>
            <w:tcW w:type="dxa" w:w="4300"/>
            <w:tcMar>
              <w:top w:w="90" w:type="dxa"/>
              <w:start w:w="120" w:type="dxa"/>
              <w:bottom w:w="90" w:type="dxa"/>
              <w:end w:w="120" w:type="dxa"/>
            </w:tcMar>
            <w:vAlign w:val="center"/>
            <w:shd w:fill="006B63"/>
          </w:tcPr>
          <w:p>
            <w:pPr>
              <w:spacing w:after="0"/>
            </w:pPr>
            <w:r>
              <w:rPr>
                <w:rFonts w:ascii="Calibri" w:hAnsi="Calibri"/>
                <w:b/>
                <w:color w:val="FFFFFF"/>
                <w:sz w:val="17"/>
              </w:rPr>
              <w:t>Kontrol</w:t>
            </w:r>
          </w:p>
        </w:tc>
        <w:tc>
          <w:tcPr>
            <w:tcW w:type="dxa" w:w="2560"/>
            <w:tcMar>
              <w:top w:w="90" w:type="dxa"/>
              <w:start w:w="120" w:type="dxa"/>
              <w:bottom w:w="90" w:type="dxa"/>
              <w:end w:w="120" w:type="dxa"/>
            </w:tcMar>
            <w:vAlign w:val="center"/>
            <w:shd w:fill="006B63"/>
          </w:tcPr>
          <w:p>
            <w:pPr>
              <w:spacing w:after="0"/>
            </w:pPr>
            <w:r>
              <w:rPr>
                <w:rFonts w:ascii="Calibri" w:hAnsi="Calibri"/>
                <w:b/>
                <w:color w:val="FFFFFF"/>
                <w:sz w:val="17"/>
              </w:rPr>
              <w:t>Başarısızlık etkisi</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SourceRecord revision</w:t>
            </w:r>
          </w:p>
        </w:tc>
        <w:tc>
          <w:tcPr>
            <w:tcW w:type="dxa" w:w="4300"/>
            <w:tcMar>
              <w:top w:w="90" w:type="dxa"/>
              <w:start w:w="120" w:type="dxa"/>
              <w:bottom w:w="90" w:type="dxa"/>
              <w:end w:w="120" w:type="dxa"/>
            </w:tcMar>
            <w:vAlign w:val="center"/>
          </w:tcPr>
          <w:p>
            <w:pPr>
              <w:spacing w:after="0"/>
            </w:pPr>
            <w:r>
              <w:rPr>
                <w:rFonts w:ascii="Calibri" w:hAnsi="Calibri"/>
                <w:color w:val="111111"/>
                <w:sz w:val="16"/>
              </w:rPr>
              <w:t>Kimlik, creator, publication, identifier, access, rights, integrity</w:t>
            </w:r>
          </w:p>
        </w:tc>
        <w:tc>
          <w:tcPr>
            <w:tcW w:type="dxa" w:w="2560"/>
            <w:tcMar>
              <w:top w:w="90" w:type="dxa"/>
              <w:start w:w="120" w:type="dxa"/>
              <w:bottom w:w="90" w:type="dxa"/>
              <w:end w:w="120" w:type="dxa"/>
            </w:tcMar>
            <w:vAlign w:val="center"/>
          </w:tcPr>
          <w:p>
            <w:pPr>
              <w:spacing w:after="0"/>
            </w:pPr>
            <w:r>
              <w:rPr>
                <w:rFonts w:ascii="Calibri" w:hAnsi="Calibri"/>
                <w:color w:val="111111"/>
                <w:sz w:val="16"/>
              </w:rPr>
              <w:t>Blocking QualityIssue</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SourceUseAssessment revision</w:t>
            </w:r>
          </w:p>
        </w:tc>
        <w:tc>
          <w:tcPr>
            <w:tcW w:type="dxa" w:w="4300"/>
            <w:shd w:fill="F8FAFA"/>
            <w:tcMar>
              <w:top w:w="90" w:type="dxa"/>
              <w:start w:w="120" w:type="dxa"/>
              <w:bottom w:w="90" w:type="dxa"/>
              <w:end w:w="120" w:type="dxa"/>
            </w:tcMar>
            <w:vAlign w:val="center"/>
          </w:tcPr>
          <w:p>
            <w:pPr>
              <w:spacing w:after="0"/>
            </w:pPr>
            <w:r>
              <w:rPr>
                <w:rFonts w:ascii="Calibri" w:hAnsi="Calibri"/>
                <w:color w:val="111111"/>
                <w:sz w:val="16"/>
              </w:rPr>
              <w:t>Target checksum, locator, role, independence rationale, dimensions, outcome ve rationale</w:t>
            </w:r>
          </w:p>
        </w:tc>
        <w:tc>
          <w:tcPr>
            <w:tcW w:type="dxa" w:w="2560"/>
            <w:shd w:fill="F8FAFA"/>
            <w:tcMar>
              <w:top w:w="90" w:type="dxa"/>
              <w:start w:w="120" w:type="dxa"/>
              <w:bottom w:w="90" w:type="dxa"/>
              <w:end w:w="120" w:type="dxa"/>
            </w:tcMar>
            <w:vAlign w:val="center"/>
          </w:tcPr>
          <w:p>
            <w:pPr>
              <w:spacing w:after="0"/>
            </w:pPr>
            <w:r>
              <w:rPr>
                <w:rFonts w:ascii="Calibri" w:hAnsi="Calibri"/>
                <w:color w:val="111111"/>
                <w:sz w:val="16"/>
              </w:rPr>
              <w:t>Blocking QualityIssue</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Cultural coverage</w:t>
            </w:r>
          </w:p>
        </w:tc>
        <w:tc>
          <w:tcPr>
            <w:tcW w:type="dxa" w:w="4300"/>
            <w:tcMar>
              <w:top w:w="90" w:type="dxa"/>
              <w:start w:w="120" w:type="dxa"/>
              <w:bottom w:w="90" w:type="dxa"/>
              <w:end w:w="120" w:type="dxa"/>
            </w:tcMar>
            <w:vAlign w:val="center"/>
          </w:tcPr>
          <w:p>
            <w:pPr>
              <w:spacing w:after="0"/>
            </w:pPr>
            <w:r>
              <w:rPr>
                <w:rFonts w:ascii="Calibri" w:hAnsi="Calibri"/>
                <w:color w:val="111111"/>
                <w:sz w:val="16"/>
              </w:rPr>
              <w:t>Kaynakta açık destek ve genelleme sınırı</w:t>
            </w:r>
          </w:p>
        </w:tc>
        <w:tc>
          <w:tcPr>
            <w:tcW w:type="dxa" w:w="2560"/>
            <w:tcMar>
              <w:top w:w="90" w:type="dxa"/>
              <w:start w:w="120" w:type="dxa"/>
              <w:bottom w:w="90" w:type="dxa"/>
              <w:end w:w="120" w:type="dxa"/>
            </w:tcMar>
            <w:vAlign w:val="center"/>
          </w:tcPr>
          <w:p>
            <w:pPr>
              <w:spacing w:after="0"/>
            </w:pPr>
            <w:r>
              <w:rPr>
                <w:rFonts w:ascii="Calibri" w:hAnsi="Calibri"/>
                <w:color w:val="111111"/>
                <w:sz w:val="16"/>
              </w:rPr>
              <w:t>Scope daraltma veya changesRequired</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Release manifest</w:t>
            </w:r>
          </w:p>
        </w:tc>
        <w:tc>
          <w:tcPr>
            <w:tcW w:type="dxa" w:w="4300"/>
            <w:shd w:fill="F8FAFA"/>
            <w:tcMar>
              <w:top w:w="90" w:type="dxa"/>
              <w:start w:w="120" w:type="dxa"/>
              <w:bottom w:w="90" w:type="dxa"/>
              <w:end w:w="120" w:type="dxa"/>
            </w:tcMar>
            <w:vAlign w:val="center"/>
          </w:tcPr>
          <w:p>
            <w:pPr>
              <w:spacing w:after="0"/>
            </w:pPr>
            <w:r>
              <w:rPr>
                <w:rFonts w:ascii="Calibri" w:hAnsi="Calibri"/>
                <w:color w:val="111111"/>
                <w:sz w:val="16"/>
              </w:rPr>
              <w:t>Exact revision, canonical ordering, checksums ve dependency refs</w:t>
            </w:r>
          </w:p>
        </w:tc>
        <w:tc>
          <w:tcPr>
            <w:tcW w:type="dxa" w:w="2560"/>
            <w:shd w:fill="F8FAFA"/>
            <w:tcMar>
              <w:top w:w="90" w:type="dxa"/>
              <w:start w:w="120" w:type="dxa"/>
              <w:bottom w:w="90" w:type="dxa"/>
              <w:end w:w="120" w:type="dxa"/>
            </w:tcMar>
            <w:vAlign w:val="center"/>
          </w:tcPr>
          <w:p>
            <w:pPr>
              <w:spacing w:after="0"/>
            </w:pPr>
            <w:r>
              <w:rPr>
                <w:rFonts w:ascii="Calibri" w:hAnsi="Calibri"/>
                <w:color w:val="111111"/>
                <w:sz w:val="16"/>
              </w:rPr>
              <w:t>Release reddi</w:t>
            </w:r>
          </w:p>
        </w:tc>
      </w:tr>
    </w:tbl>
    <w:p>
      <w:pPr>
        <w:spacing w:after="0"/>
      </w:pPr>
    </w:p>
    <w:p>
      <w:pPr>
        <w:pStyle w:val="Heading2"/>
      </w:pPr>
      <w:r>
        <w:rPr>
          <w:rFonts w:ascii="Calibri" w:hAnsi="Calibri"/>
          <w:color w:val="111111"/>
        </w:rPr>
        <w:t>14.2 Governance uyumu</w:t>
      </w:r>
    </w:p>
    <w:p>
      <w:pPr>
        <w:numPr>
          <w:ilvl w:val="0"/>
          <w:numId w:val="41"/>
        </w:numPr>
      </w:pPr>
      <w:r>
        <w:rPr>
          <w:rFonts w:ascii="Calibri" w:hAnsi="Calibri"/>
          <w:color w:val="111111"/>
        </w:rPr>
        <w:t>Her review exact record type, ID ve revision'ı hedefler.</w:t>
      </w:r>
    </w:p>
    <w:p>
      <w:pPr>
        <w:numPr>
          <w:ilvl w:val="0"/>
          <w:numId w:val="41"/>
        </w:numPr>
      </w:pPr>
      <w:r>
        <w:rPr>
          <w:rFonts w:ascii="Calibri" w:hAnsi="Calibri"/>
          <w:color w:val="111111"/>
        </w:rPr>
        <w:t>ReviewEvent append-only'dir; source/assessment içeriğine gömülmez.</w:t>
      </w:r>
    </w:p>
    <w:p>
      <w:pPr>
        <w:numPr>
          <w:ilvl w:val="0"/>
          <w:numId w:val="41"/>
        </w:numPr>
      </w:pPr>
      <w:r>
        <w:rPr>
          <w:rFonts w:ascii="Calibri" w:hAnsi="Calibri"/>
          <w:color w:val="111111"/>
        </w:rPr>
        <w:t>ReviewCase yalnız open|closed; finalDecision yalnız approved|rejected|changesRequired veya open için null olur.</w:t>
      </w:r>
    </w:p>
    <w:p>
      <w:pPr>
        <w:numPr>
          <w:ilvl w:val="0"/>
          <w:numId w:val="41"/>
        </w:numPr>
      </w:pPr>
      <w:r>
        <w:rPr>
          <w:rFonts w:ascii="Calibri" w:hAnsi="Calibri"/>
          <w:color w:val="111111"/>
        </w:rPr>
        <w:t>Blocking QualityIssue açıkken revision release-eligible değildir.</w:t>
      </w:r>
    </w:p>
    <w:p>
      <w:pPr>
        <w:numPr>
          <w:ilvl w:val="0"/>
          <w:numId w:val="41"/>
        </w:numPr>
      </w:pPr>
      <w:r>
        <w:rPr>
          <w:rFonts w:ascii="Calibri" w:hAnsi="Calibri"/>
          <w:color w:val="111111"/>
        </w:rPr>
        <w:t>Reviewer kararı bibliyografik gerçeğin veya domain claim'in yerine geçmez.</w:t>
      </w:r>
    </w:p>
    <w:p>
      <w:pPr>
        <w:numPr>
          <w:ilvl w:val="0"/>
          <w:numId w:val="41"/>
        </w:numPr>
      </w:pPr>
      <w:r>
        <w:rPr>
          <w:rFonts w:ascii="Calibri" w:hAnsi="Calibri"/>
          <w:color w:val="111111"/>
        </w:rPr>
        <w:t>Record author ile reviewer ayrımı SHOULD uygulanır; mümkün değilse sapma ReviewEvent içinde gerekçelendirilir.</w:t>
      </w:r>
    </w:p>
    <w:p>
      <w:pPr>
        <w:pStyle w:val="Heading2"/>
      </w:pPr>
      <w:r>
        <w:rPr>
          <w:rFonts w:ascii="Calibri" w:hAnsi="Calibri"/>
          <w:color w:val="111111"/>
        </w:rPr>
        <w:t>14.3 Review kontrol listesi</w:t>
      </w:r>
    </w:p>
    <w:p>
      <w:pPr>
        <w:numPr>
          <w:ilvl w:val="0"/>
          <w:numId w:val="41"/>
        </w:numPr>
      </w:pPr>
      <w:r>
        <w:rPr>
          <w:rFonts w:ascii="Calibri" w:hAnsi="Calibri"/>
          <w:color w:val="111111"/>
        </w:rPr>
        <w:t>Kaynak gerçekten açıldı/incelendi mi; yalnız snippet veya ikincil alıntı mı?</w:t>
      </w:r>
    </w:p>
    <w:p>
      <w:pPr>
        <w:numPr>
          <w:ilvl w:val="0"/>
          <w:numId w:val="41"/>
        </w:numPr>
      </w:pPr>
      <w:r>
        <w:rPr>
          <w:rFonts w:ascii="Calibri" w:hAnsi="Calibri"/>
          <w:color w:val="111111"/>
        </w:rPr>
        <w:t>Exact edition, revision, URL target veya recording tanımlı mı?</w:t>
      </w:r>
    </w:p>
    <w:p>
      <w:pPr>
        <w:numPr>
          <w:ilvl w:val="0"/>
          <w:numId w:val="41"/>
        </w:numPr>
      </w:pPr>
      <w:r>
        <w:rPr>
          <w:rFonts w:ascii="Calibri" w:hAnsi="Calibri"/>
          <w:color w:val="111111"/>
        </w:rPr>
        <w:t>Locator iddiayı gerçekten destekliyor mu?</w:t>
      </w:r>
    </w:p>
    <w:p>
      <w:pPr>
        <w:numPr>
          <w:ilvl w:val="0"/>
          <w:numId w:val="41"/>
        </w:numPr>
      </w:pPr>
      <w:r>
        <w:rPr>
          <w:rFonts w:ascii="Calibri" w:hAnsi="Calibri"/>
          <w:color w:val="111111"/>
        </w:rPr>
        <w:t>Primary/secondary rolü bu hedef için doğru mu?</w:t>
      </w:r>
    </w:p>
    <w:p>
      <w:pPr>
        <w:numPr>
          <w:ilvl w:val="0"/>
          <w:numId w:val="41"/>
        </w:numPr>
      </w:pPr>
      <w:r>
        <w:rPr>
          <w:rFonts w:ascii="Calibri" w:hAnsi="Calibri"/>
          <w:color w:val="111111"/>
        </w:rPr>
        <w:t>Independence group ve independenceRationale ortak kökeni doğru yansıtıyor mu?</w:t>
      </w:r>
    </w:p>
    <w:p>
      <w:pPr>
        <w:numPr>
          <w:ilvl w:val="0"/>
          <w:numId w:val="41"/>
        </w:numPr>
      </w:pPr>
      <w:r>
        <w:rPr>
          <w:rFonts w:ascii="Calibri" w:hAnsi="Calibri"/>
          <w:color w:val="111111"/>
        </w:rPr>
        <w:t>Outcome, quality dimensions ve rationale birbiriyle tutarlı mı?</w:t>
      </w:r>
    </w:p>
    <w:p>
      <w:pPr>
        <w:numPr>
          <w:ilvl w:val="0"/>
          <w:numId w:val="41"/>
        </w:numPr>
      </w:pPr>
      <w:r>
        <w:rPr>
          <w:rFonts w:ascii="Calibri" w:hAnsi="Calibri"/>
          <w:color w:val="111111"/>
        </w:rPr>
        <w:t>Cultural scope kaynağın söylediğinden geniş mi?</w:t>
      </w:r>
    </w:p>
    <w:p>
      <w:pPr>
        <w:numPr>
          <w:ilvl w:val="0"/>
          <w:numId w:val="41"/>
        </w:numPr>
      </w:pPr>
      <w:r>
        <w:rPr>
          <w:rFonts w:ascii="Calibri" w:hAnsi="Calibri"/>
          <w:color w:val="111111"/>
        </w:rPr>
        <w:t>Rights ve consent alanları belirsizliği saklamadan kaydedilmiş mi?</w:t>
      </w:r>
    </w:p>
    <w:p>
      <w:pPr>
        <w:pStyle w:val="Heading1"/>
      </w:pPr>
      <w:r>
        <w:rPr>
          <w:rFonts w:ascii="Calibri" w:hAnsi="Calibri"/>
          <w:color w:val="111111"/>
        </w:rPr>
        <w:t>15. Admission ve Freeze Kriterleri</w:t>
      </w:r>
    </w:p>
    <w:p>
      <w:pPr>
        <w:pStyle w:val="Heading2"/>
      </w:pPr>
      <w:r>
        <w:rPr>
          <w:rFonts w:ascii="Calibri" w:hAnsi="Calibri"/>
          <w:color w:val="111111"/>
        </w:rPr>
        <w:t>15.1 Source catalog admission</w:t>
      </w:r>
    </w:p>
    <w:p>
      <w:r>
        <w:rPr>
          <w:rFonts w:ascii="Calibri" w:hAnsi="Calibri"/>
          <w:color w:val="111111"/>
        </w:rPr>
        <w:t>Bir SourceRecord catalog'a draft olarak alınabilir; bu, sembol verisini kabul etmek değildir. Catalog revision'ın frozen release'e girmesi için aşağıdaki koşulların tümü sağlanmalıdır.</w:t>
      </w:r>
    </w:p>
    <w:p>
      <w:pPr>
        <w:numPr>
          <w:ilvl w:val="0"/>
          <w:numId w:val="41"/>
        </w:numPr>
      </w:pPr>
      <w:r>
        <w:rPr>
          <w:rFonts w:ascii="Calibri" w:hAnsi="Calibri"/>
          <w:color w:val="111111"/>
        </w:rPr>
        <w:t>Strict schema validation geçer.</w:t>
      </w:r>
    </w:p>
    <w:p>
      <w:pPr>
        <w:numPr>
          <w:ilvl w:val="0"/>
          <w:numId w:val="41"/>
        </w:numPr>
      </w:pPr>
      <w:r>
        <w:rPr>
          <w:rFonts w:ascii="Calibri" w:hAnsi="Calibri"/>
          <w:color w:val="111111"/>
        </w:rPr>
        <w:t>Recoverable identifier ve exact consulted manifestation belirlenmiştir.</w:t>
      </w:r>
    </w:p>
    <w:p>
      <w:pPr>
        <w:numPr>
          <w:ilvl w:val="0"/>
          <w:numId w:val="41"/>
        </w:numPr>
      </w:pPr>
      <w:r>
        <w:rPr>
          <w:rFonts w:ascii="Calibri" w:hAnsi="Calibri"/>
          <w:color w:val="111111"/>
        </w:rPr>
        <w:t>Mutable içerik için accessedAtUtc ve integrity durumu kayıtlıdır.</w:t>
      </w:r>
    </w:p>
    <w:p>
      <w:pPr>
        <w:numPr>
          <w:ilvl w:val="0"/>
          <w:numId w:val="41"/>
        </w:numPr>
      </w:pPr>
      <w:r>
        <w:rPr>
          <w:rFonts w:ascii="Calibri" w:hAnsi="Calibri"/>
          <w:color w:val="111111"/>
        </w:rPr>
        <w:t>Rights/consent bilinmiyorsa unknown olarak açıkça belirtilmiş; izin varmış gibi davranılmamıştır.</w:t>
      </w:r>
    </w:p>
    <w:p>
      <w:pPr>
        <w:numPr>
          <w:ilvl w:val="0"/>
          <w:numId w:val="41"/>
        </w:numPr>
      </w:pPr>
      <w:r>
        <w:rPr>
          <w:rFonts w:ascii="Calibri" w:hAnsi="Calibri"/>
          <w:color w:val="111111"/>
        </w:rPr>
        <w:t>Closed + approved ReviewCase vardır ve open blocking QualityIssue yoktur.</w:t>
      </w:r>
    </w:p>
    <w:p>
      <w:pPr>
        <w:numPr>
          <w:ilvl w:val="0"/>
          <w:numId w:val="41"/>
        </w:numPr>
      </w:pPr>
      <w:r>
        <w:rPr>
          <w:rFonts w:ascii="Calibri" w:hAnsi="Calibri"/>
          <w:color w:val="111111"/>
        </w:rPr>
        <w:t>Checksum exact Atlas Canonical JSON Profile ile doğrulanır; manifestChecksum alanı kendi canonical payload hesabına katılmaz.</w:t>
      </w:r>
    </w:p>
    <w:p>
      <w:pPr>
        <w:pStyle w:val="Heading2"/>
      </w:pPr>
      <w:r>
        <w:rPr>
          <w:rFonts w:ascii="Calibri" w:hAnsi="Calibri"/>
          <w:color w:val="111111"/>
        </w:rPr>
        <w:t>15.2 Domain record admission</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300"/>
        <w:gridCol w:w="4650"/>
        <w:gridCol w:w="2410"/>
      </w:tblGrid>
      <w:tr>
        <w:trPr>
          <w:tblHeader w:val="true"/>
          <w:cantSplit/>
        </w:trPr>
        <w:tc>
          <w:tcPr>
            <w:tcW w:type="dxa" w:w="2300"/>
            <w:tcMar>
              <w:top w:w="90" w:type="dxa"/>
              <w:start w:w="120" w:type="dxa"/>
              <w:bottom w:w="90" w:type="dxa"/>
              <w:end w:w="120" w:type="dxa"/>
            </w:tcMar>
            <w:vAlign w:val="center"/>
            <w:shd w:fill="006B63"/>
          </w:tcPr>
          <w:p>
            <w:pPr>
              <w:spacing w:after="0"/>
            </w:pPr>
            <w:r>
              <w:rPr>
                <w:rFonts w:ascii="Calibri" w:hAnsi="Calibri"/>
                <w:b/>
                <w:color w:val="FFFFFF"/>
                <w:sz w:val="17"/>
              </w:rPr>
              <w:t>Hedef</w:t>
            </w:r>
          </w:p>
        </w:tc>
        <w:tc>
          <w:tcPr>
            <w:tcW w:type="dxa" w:w="4650"/>
            <w:tcMar>
              <w:top w:w="90" w:type="dxa"/>
              <w:start w:w="120" w:type="dxa"/>
              <w:bottom w:w="90" w:type="dxa"/>
              <w:end w:w="120" w:type="dxa"/>
            </w:tcMar>
            <w:vAlign w:val="center"/>
            <w:shd w:fill="006B63"/>
          </w:tcPr>
          <w:p>
            <w:pPr>
              <w:spacing w:after="0"/>
            </w:pPr>
            <w:r>
              <w:rPr>
                <w:rFonts w:ascii="Calibri" w:hAnsi="Calibri"/>
                <w:b/>
                <w:color w:val="FFFFFF"/>
                <w:sz w:val="17"/>
              </w:rPr>
              <w:t>Source Standard'ın ürettiği</w:t>
            </w:r>
          </w:p>
        </w:tc>
        <w:tc>
          <w:tcPr>
            <w:tcW w:type="dxa" w:w="2410"/>
            <w:tcMar>
              <w:top w:w="90" w:type="dxa"/>
              <w:start w:w="120" w:type="dxa"/>
              <w:bottom w:w="90" w:type="dxa"/>
              <w:end w:w="120" w:type="dxa"/>
            </w:tcMar>
            <w:vAlign w:val="center"/>
            <w:shd w:fill="006B63"/>
          </w:tcPr>
          <w:p>
            <w:pPr>
              <w:spacing w:after="0"/>
            </w:pPr>
            <w:r>
              <w:rPr>
                <w:rFonts w:ascii="Calibri" w:hAnsi="Calibri"/>
                <w:b/>
                <w:color w:val="FFFFFF"/>
                <w:sz w:val="17"/>
              </w:rPr>
              <w:t>Admission sahibi</w:t>
            </w:r>
          </w:p>
        </w:tc>
      </w:tr>
      <w:tr>
        <w:tc>
          <w:tcPr>
            <w:tcW w:type="dxa" w:w="2300"/>
          </w:tcPr>
          <w:p>
            <w:r>
              <w:t>SymbolDefinition</w:t>
            </w:r>
          </w:p>
        </w:tc>
        <w:tc>
          <w:tcPr>
            <w:tcW w:type="dxa" w:w="4650"/>
          </w:tcPr>
          <w:p>
            <w:r>
              <w:t>Entry-level exact SourceRefs, eligibility ve independence facts</w:t>
            </w:r>
          </w:p>
        </w:tc>
        <w:tc>
          <w:tcPr>
            <w:tcW w:type="dxa" w:w="2410"/>
          </w:tcPr>
          <w:p>
            <w:r>
              <w:t>Versioned Symbol Admission Policy</w:t>
            </w:r>
          </w:p>
        </w:tc>
      </w:tr>
      <w:tr>
        <w:tc>
          <w:tcPr>
            <w:tcW w:type="dxa" w:w="2300"/>
          </w:tcPr>
          <w:p>
            <w:r>
              <w:t>SymbolRelation</w:t>
            </w:r>
          </w:p>
        </w:tc>
        <w:tc>
          <w:tcPr>
            <w:tcW w:type="dxa" w:w="4650"/>
          </w:tcPr>
          <w:p>
            <w:r>
              <w:t>Relation-targeted SourceUseAssessments</w:t>
            </w:r>
          </w:p>
        </w:tc>
        <w:tc>
          <w:tcPr>
            <w:tcW w:type="dxa" w:w="2410"/>
          </w:tcPr>
          <w:p>
            <w:r>
              <w:t>Versioned Symbol Admission Policy</w:t>
            </w:r>
          </w:p>
        </w:tc>
      </w:tr>
      <w:tr>
        <w:tc>
          <w:tcPr>
            <w:tcW w:type="dxa" w:w="2300"/>
          </w:tcPr>
          <w:p>
            <w:r>
              <w:t>InterpretationClaim</w:t>
            </w:r>
          </w:p>
        </w:tc>
        <w:tc>
          <w:tcPr>
            <w:tcW w:type="dxa" w:w="4650"/>
          </w:tcPr>
          <w:p>
            <w:r>
              <w:t>Claim-targeted SourceUseAssessments ve cultural scope</w:t>
            </w:r>
          </w:p>
        </w:tc>
        <w:tc>
          <w:tcPr>
            <w:tcW w:type="dxa" w:w="2410"/>
          </w:tcPr>
          <w:p>
            <w:r>
              <w:t>Versioned Symbol Admission Policy</w:t>
            </w:r>
          </w:p>
        </w:tc>
      </w:tr>
      <w:tr>
        <w:tc>
          <w:tcPr>
            <w:tcW w:type="dxa" w:w="2300"/>
          </w:tcPr>
          <w:p>
            <w:r>
              <w:t>ClaimConflict</w:t>
            </w:r>
          </w:p>
        </w:tc>
        <w:tc>
          <w:tcPr>
            <w:tcW w:type="dxa" w:w="4650"/>
          </w:tcPr>
          <w:p>
            <w:r>
              <w:t>Exact conflicting claim/source relations</w:t>
            </w:r>
          </w:p>
        </w:tc>
        <w:tc>
          <w:tcPr>
            <w:tcW w:type="dxa" w:w="2410"/>
          </w:tcPr>
          <w:p>
            <w:r>
              <w:t>Versioned Symbol Admission Policy</w:t>
            </w:r>
          </w:p>
        </w:tc>
      </w:tr>
    </w:tbl>
    <w:p>
      <w:pPr>
        <w:spacing w:after="0"/>
      </w:pPr>
    </w:p>
    <w:p>
      <w:pPr>
        <w:pStyle w:val="Heading2"/>
      </w:pPr>
      <w:r>
        <w:rPr>
          <w:rFonts w:ascii="Calibri" w:hAnsi="Calibri"/>
          <w:color w:val="111111"/>
        </w:rPr>
        <w:t>15.3 Freeze yasağı</w:t>
      </w:r>
    </w:p>
    <w:p>
      <w:pPr>
        <w:numPr>
          <w:ilvl w:val="0"/>
          <w:numId w:val="41"/>
        </w:numPr>
      </w:pPr>
      <w:r>
        <w:rPr>
          <w:rFonts w:ascii="Calibri" w:hAnsi="Calibri"/>
          <w:color w:val="111111"/>
        </w:rPr>
        <w:t>Frozen SourceRecord veya SourceUseAssessment yerinde değiştirilemez.</w:t>
      </w:r>
    </w:p>
    <w:p>
      <w:pPr>
        <w:numPr>
          <w:ilvl w:val="0"/>
          <w:numId w:val="41"/>
        </w:numPr>
      </w:pPr>
      <w:r>
        <w:rPr>
          <w:rFonts w:ascii="Calibri" w:hAnsi="Calibri"/>
          <w:color w:val="111111"/>
        </w:rPr>
        <w:t>DiscoveryOnly veya ineligible assessment, canonical support sayısı içine alınamaz.</w:t>
      </w:r>
    </w:p>
    <w:p>
      <w:pPr>
        <w:numPr>
          <w:ilvl w:val="0"/>
          <w:numId w:val="41"/>
        </w:numPr>
      </w:pPr>
      <w:r>
        <w:rPr>
          <w:rFonts w:ascii="Calibri" w:hAnsi="Calibri"/>
          <w:color w:val="111111"/>
        </w:rPr>
        <w:t>Aynı independenceGroupId içindeki kayıtlar minimum kaynak sayısını çoğaltamaz.</w:t>
      </w:r>
    </w:p>
    <w:p>
      <w:pPr>
        <w:numPr>
          <w:ilvl w:val="0"/>
          <w:numId w:val="41"/>
        </w:numPr>
      </w:pPr>
      <w:r>
        <w:rPr>
          <w:rFonts w:ascii="Calibri" w:hAnsi="Calibri"/>
          <w:color w:val="111111"/>
        </w:rPr>
        <w:t>Unknown/missing source revision veya checksum bulunan manifest freeze edilemez.</w:t>
      </w:r>
    </w:p>
    <w:p>
      <w:pPr>
        <w:numPr>
          <w:ilvl w:val="0"/>
          <w:numId w:val="41"/>
        </w:numPr>
      </w:pPr>
      <w:r>
        <w:rPr>
          <w:rFonts w:ascii="Calibri" w:hAnsi="Calibri"/>
          <w:color w:val="111111"/>
        </w:rPr>
        <w:t>Exact SourceCatalogReleaseRef ve approved SymbolAdmissionPolicyRef olmadan SymbolReleaseManifest production freeze yapamaz.</w:t>
      </w:r>
    </w:p>
    <w:p>
      <w:pPr>
        <w:numPr>
          <w:ilvl w:val="0"/>
          <w:numId w:val="41"/>
        </w:numPr>
      </w:pPr>
      <w:r>
        <w:rPr>
          <w:rFonts w:ascii="Calibri" w:hAnsi="Calibri"/>
          <w:color w:val="111111"/>
        </w:rPr>
        <w:t>Bu taslağın hazırlanması herhangi bir source, symbol veya claim freeze onayı değildir.</w:t>
      </w: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Freeze zinciri: SourceCatalogReleaseManifest exact source/assessment setini ve target checksum'larını dondurur. SymbolReleaseManifest bu release'i exact SourceCatalogReleaseRef ve approved SymbolAdmissionPolicyRef ile referanslar. Policy içeriği manifeste kopyalanmaz.</w:t>
            </w:r>
          </w:p>
        </w:tc>
      </w:tr>
    </w:tbl>
    <w:p>
      <w:pPr>
        <w:spacing w:after="0"/>
      </w:pPr>
    </w:p>
    <w:p>
      <w:pPr>
        <w:pStyle w:val="Heading1"/>
      </w:pPr>
      <w:r>
        <w:rPr>
          <w:rFonts w:ascii="Calibri" w:hAnsi="Calibri"/>
          <w:color w:val="111111"/>
        </w:rPr>
        <w:t>16. Release ve Versioning</w:t>
      </w:r>
    </w:p>
    <w:p>
      <w:pPr>
        <w:pStyle w:val="Heading2"/>
      </w:pPr>
      <w:r>
        <w:rPr>
          <w:rFonts w:ascii="Calibri" w:hAnsi="Calibri"/>
          <w:color w:val="111111"/>
        </w:rPr>
        <w:t>16.1 SourceCatalogReleaseManifest</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000"/>
        <w:gridCol w:w="6360"/>
      </w:tblGrid>
      <w:tr>
        <w:trPr>
          <w:tblHeader w:val="true"/>
          <w:cantSplit/>
        </w:trPr>
        <w:tc>
          <w:tcPr>
            <w:tcW w:type="dxa" w:w="30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636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3000"/>
          </w:tcPr>
          <w:p>
            <w:r>
              <w:t>schemaVersion</w:t>
            </w:r>
          </w:p>
        </w:tc>
        <w:tc>
          <w:tcPr>
            <w:tcW w:type="dxa" w:w="6360"/>
          </w:tcPr>
          <w:p>
            <w:r>
              <w:t>Exact supported manifest schema</w:t>
            </w:r>
          </w:p>
        </w:tc>
      </w:tr>
      <w:tr>
        <w:tc>
          <w:tcPr>
            <w:tcW w:type="dxa" w:w="3000"/>
          </w:tcPr>
          <w:p>
            <w:r>
              <w:t>recordType</w:t>
            </w:r>
          </w:p>
        </w:tc>
        <w:tc>
          <w:tcPr>
            <w:tcW w:type="dxa" w:w="6360"/>
          </w:tcPr>
          <w:p>
            <w:r>
              <w:t>Exact "atlas.sourceCatalogReleaseManifest"</w:t>
            </w:r>
          </w:p>
        </w:tc>
      </w:tr>
      <w:tr>
        <w:tc>
          <w:tcPr>
            <w:tcW w:type="dxa" w:w="3000"/>
          </w:tcPr>
          <w:p>
            <w:r>
              <w:t>releaseId</w:t>
            </w:r>
          </w:p>
        </w:tc>
        <w:tc>
          <w:tcPr>
            <w:tcW w:type="dxa" w:w="6360"/>
          </w:tcPr>
          <w:p>
            <w:r>
              <w:t>Opaque ve immutable ortak release kimliği</w:t>
            </w:r>
          </w:p>
        </w:tc>
      </w:tr>
      <w:tr>
        <w:tc>
          <w:tcPr>
            <w:tcW w:type="dxa" w:w="3000"/>
          </w:tcPr>
          <w:p>
            <w:r>
              <w:t>createdAtUtc</w:t>
            </w:r>
          </w:p>
        </w:tc>
        <w:tc>
          <w:tcPr>
            <w:tcW w:type="dxa" w:w="6360"/>
          </w:tcPr>
          <w:p>
            <w:r>
              <w:t>UTC timestamp</w:t>
            </w:r>
          </w:p>
        </w:tc>
      </w:tr>
      <w:tr>
        <w:tc>
          <w:tcPr>
            <w:tcW w:type="dxa" w:w="3000"/>
          </w:tcPr>
          <w:p>
            <w:r>
              <w:t>canonicalJsonProfileRef</w:t>
            </w:r>
          </w:p>
        </w:tc>
        <w:tc>
          <w:tcPr>
            <w:tcW w:type="dxa" w:w="6360"/>
          </w:tcPr>
          <w:p>
            <w:r>
              <w:t>Exact profile identity, revision ve checksum</w:t>
            </w:r>
          </w:p>
        </w:tc>
      </w:tr>
      <w:tr>
        <w:tc>
          <w:tcPr>
            <w:tcW w:type="dxa" w:w="3000"/>
          </w:tcPr>
          <w:p>
            <w:r>
              <w:t>governanceSnapshotRef</w:t>
            </w:r>
          </w:p>
        </w:tc>
        <w:tc>
          <w:tcPr>
            <w:tcW w:type="dxa" w:w="6360"/>
          </w:tcPr>
          <w:p>
            <w:r>
              <w:t>Exact snapshot ID ve SHA-256</w:t>
            </w:r>
          </w:p>
        </w:tc>
      </w:tr>
      <w:tr>
        <w:tc>
          <w:tcPr>
            <w:tcW w:type="dxa" w:w="3000"/>
          </w:tcPr>
          <w:p>
            <w:r>
              <w:t>contextRegistryReleaseRef</w:t>
            </w:r>
          </w:p>
        </w:tc>
        <w:tc>
          <w:tcPr>
            <w:tcW w:type="dxa" w:w="6360"/>
          </w:tcPr>
          <w:p>
            <w:r>
              <w:t>Her zaman direct exact ContextRegistryReleaseRef; release ID ve SHA-256</w:t>
            </w:r>
          </w:p>
        </w:tc>
      </w:tr>
      <w:tr>
        <w:tc>
          <w:tcPr>
            <w:tcW w:type="dxa" w:w="3000"/>
          </w:tcPr>
          <w:p>
            <w:r>
              <w:t>sourceRecords</w:t>
            </w:r>
          </w:p>
        </w:tc>
        <w:tc>
          <w:tcPr>
            <w:tcW w:type="dxa" w:w="6360"/>
          </w:tcPr>
          <w:p>
            <w:r>
              <w:t>sourceId, revision ve canonical JSON SHA-256 listesi</w:t>
            </w:r>
          </w:p>
        </w:tc>
      </w:tr>
      <w:tr>
        <w:tc>
          <w:tcPr>
            <w:tcW w:type="dxa" w:w="3000"/>
          </w:tcPr>
          <w:p>
            <w:r>
              <w:t>useAssessments</w:t>
            </w:r>
          </w:p>
        </w:tc>
        <w:tc>
          <w:tcPr>
            <w:tcW w:type="dxa" w:w="6360"/>
          </w:tcPr>
          <w:p>
            <w:r>
              <w:t>useAssessmentId, revision ve SHA-256; target checksum içerir</w:t>
            </w:r>
          </w:p>
        </w:tc>
      </w:tr>
      <w:tr>
        <w:tc>
          <w:tcPr>
            <w:tcW w:type="dxa" w:w="3000"/>
          </w:tcPr>
          <w:p>
            <w:r>
              <w:t>manifestChecksum</w:t>
            </w:r>
          </w:p>
        </w:tc>
        <w:tc>
          <w:tcPr>
            <w:tcW w:type="dxa" w:w="6360"/>
          </w:tcPr>
          <w:p>
            <w:r>
              <w:t>Kendi alanı canonical payload'dan çıkarılarak hesaplanan SHA-256</w:t>
            </w:r>
          </w:p>
        </w:tc>
      </w:tr>
    </w:tbl>
    <w:p>
      <w:pPr>
        <w:spacing w:after="0"/>
      </w:pPr>
    </w:p>
    <w:p>
      <w:pPr>
        <w:pStyle w:val="Heading2"/>
      </w:pPr>
      <w:r>
        <w:rPr>
          <w:rFonts w:ascii="Calibri" w:hAnsi="Calibri"/>
          <w:color w:val="111111"/>
        </w:rPr>
        <w:t>16.2 Sürüm stratejisi</w:t>
      </w:r>
    </w:p>
    <w:p>
      <w:pPr>
        <w:numPr>
          <w:ilvl w:val="0"/>
          <w:numId w:val="41"/>
        </w:numPr>
      </w:pPr>
      <w:r>
        <w:rPr>
          <w:rFonts w:ascii="Calibri" w:hAnsi="Calibri"/>
          <w:color w:val="111111"/>
        </w:rPr>
        <w:t>`schemaVersion` veri biçimi uyumluluğunu; `revision` tek kaydın immutable değişimini; `releaseId` ise frozen seti belirtir. Release manifest revision taşımaz.</w:t>
      </w:r>
    </w:p>
    <w:p>
      <w:pPr>
        <w:numPr>
          <w:ilvl w:val="0"/>
          <w:numId w:val="41"/>
        </w:numPr>
      </w:pPr>
      <w:r>
        <w:rPr>
          <w:rFonts w:ascii="Calibri" w:hAnsi="Calibri"/>
          <w:color w:val="111111"/>
        </w:rPr>
        <w:t>Backward-compatible optional alan yeni minor schemaVersion ve migration review gerektirir; örnek `1.0` → `1.1`. Canonical bytes yalnız exact CanonicalJsonProfileRef ile belirlenir.</w:t>
      </w:r>
    </w:p>
    <w:p>
      <w:pPr>
        <w:numPr>
          <w:ilvl w:val="0"/>
          <w:numId w:val="41"/>
        </w:numPr>
      </w:pPr>
      <w:r>
        <w:rPr>
          <w:rFonts w:ascii="Calibri" w:hAnsi="Calibri"/>
          <w:color w:val="111111"/>
        </w:rPr>
        <w:t>Breaking alan veya enum değişikliği yeni major schemaVersion gerektirir; örnek `1.x` → `2.0`.</w:t>
      </w:r>
    </w:p>
    <w:p>
      <w:pPr>
        <w:numPr>
          <w:ilvl w:val="0"/>
          <w:numId w:val="41"/>
        </w:numPr>
      </w:pPr>
      <w:r>
        <w:rPr>
          <w:rFonts w:ascii="Calibri" w:hAnsi="Calibri"/>
          <w:color w:val="111111"/>
        </w:rPr>
        <w:t>Metadata düzeltmesi veya yeni manifestation yeni SourceRecord revision üretir.</w:t>
      </w:r>
    </w:p>
    <w:p>
      <w:pPr>
        <w:numPr>
          <w:ilvl w:val="0"/>
          <w:numId w:val="41"/>
        </w:numPr>
      </w:pPr>
      <w:r>
        <w:rPr>
          <w:rFonts w:ascii="Calibri" w:hAnsi="Calibri"/>
          <w:color w:val="111111"/>
        </w:rPr>
        <w:t>Assessment outcome veya rationale değişikliği yeni SourceUseAssessment revision üretir.</w:t>
      </w:r>
    </w:p>
    <w:p>
      <w:pPr>
        <w:numPr>
          <w:ilvl w:val="0"/>
          <w:numId w:val="41"/>
        </w:numPr>
      </w:pPr>
      <w:r>
        <w:rPr>
          <w:rFonts w:ascii="Calibri" w:hAnsi="Calibri"/>
          <w:color w:val="111111"/>
        </w:rPr>
        <w:t>Documentation-only düzeltme schemaVersion değiştirmez; document revision üretir. Manifest içeriği değişirse yeni immutable releaseId ve checksum üretilir; eski release değiştirilmez.</w:t>
      </w:r>
    </w:p>
    <w:p>
      <w:pPr>
        <w:pStyle w:val="Heading2"/>
      </w:pPr>
      <w:r>
        <w:rPr>
          <w:rFonts w:ascii="Calibri" w:hAnsi="Calibri"/>
          <w:color w:val="111111"/>
        </w:rPr>
        <w:t>16.3 Ordering</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200"/>
        <w:gridCol w:w="6160"/>
      </w:tblGrid>
      <w:tr>
        <w:trPr>
          <w:tblHeader w:val="true"/>
          <w:cantSplit/>
        </w:trPr>
        <w:tc>
          <w:tcPr>
            <w:tcW w:type="dxa" w:w="3200"/>
            <w:tcMar>
              <w:top w:w="90" w:type="dxa"/>
              <w:start w:w="120" w:type="dxa"/>
              <w:bottom w:w="90" w:type="dxa"/>
              <w:end w:w="120" w:type="dxa"/>
            </w:tcMar>
            <w:vAlign w:val="center"/>
            <w:shd w:fill="006B63"/>
          </w:tcPr>
          <w:p>
            <w:pPr>
              <w:spacing w:after="0"/>
            </w:pPr>
            <w:r>
              <w:rPr>
                <w:rFonts w:ascii="Calibri" w:hAnsi="Calibri"/>
                <w:b/>
                <w:color w:val="FFFFFF"/>
                <w:sz w:val="17"/>
              </w:rPr>
              <w:t>Koleksiyon</w:t>
            </w:r>
          </w:p>
        </w:tc>
        <w:tc>
          <w:tcPr>
            <w:tcW w:type="dxa" w:w="6160"/>
            <w:tcMar>
              <w:top w:w="90" w:type="dxa"/>
              <w:start w:w="120" w:type="dxa"/>
              <w:bottom w:w="90" w:type="dxa"/>
              <w:end w:w="120" w:type="dxa"/>
            </w:tcMar>
            <w:vAlign w:val="center"/>
            <w:shd w:fill="006B63"/>
          </w:tcPr>
          <w:p>
            <w:pPr>
              <w:spacing w:after="0"/>
            </w:pPr>
            <w:r>
              <w:rPr>
                <w:rFonts w:ascii="Calibri" w:hAnsi="Calibri"/>
                <w:b/>
                <w:color w:val="FFFFFF"/>
                <w:sz w:val="17"/>
              </w:rPr>
              <w:t>Canonical sıra</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creators</w:t>
            </w:r>
          </w:p>
        </w:tc>
        <w:tc>
          <w:tcPr>
            <w:tcW w:type="dxa" w:w="6160"/>
            <w:tcMar>
              <w:top w:w="90" w:type="dxa"/>
              <w:start w:w="120" w:type="dxa"/>
              <w:bottom w:w="90" w:type="dxa"/>
              <w:end w:w="120" w:type="dxa"/>
            </w:tcMar>
            <w:vAlign w:val="center"/>
          </w:tcPr>
          <w:p>
            <w:pPr>
              <w:spacing w:after="0"/>
            </w:pPr>
            <w:r>
              <w:rPr>
                <w:rFonts w:ascii="Calibri" w:hAnsi="Calibri"/>
                <w:color w:val="111111"/>
                <w:sz w:val="17"/>
              </w:rPr>
              <w:t>role, agentType, displayName</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identifiers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identifierType, value</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culturalCoverage.contextIds</w:t>
            </w:r>
          </w:p>
        </w:tc>
        <w:tc>
          <w:tcPr>
            <w:tcW w:type="dxa" w:w="6160"/>
            <w:tcMar>
              <w:top w:w="90" w:type="dxa"/>
              <w:start w:w="120" w:type="dxa"/>
              <w:bottom w:w="90" w:type="dxa"/>
              <w:end w:w="120" w:type="dxa"/>
            </w:tcMar>
            <w:vAlign w:val="center"/>
          </w:tcPr>
          <w:p>
            <w:pPr>
              <w:spacing w:after="0"/>
            </w:pPr>
            <w:r>
              <w:rPr>
                <w:rFonts w:ascii="Calibri" w:hAnsi="Calibri"/>
                <w:color w:val="111111"/>
                <w:sz w:val="17"/>
              </w:rPr>
              <w:t>code-unit order</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limitations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code-unit order; exact unique</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sourceRecords</w:t>
            </w:r>
          </w:p>
        </w:tc>
        <w:tc>
          <w:tcPr>
            <w:tcW w:type="dxa" w:w="6160"/>
            <w:tcMar>
              <w:top w:w="90" w:type="dxa"/>
              <w:start w:w="120" w:type="dxa"/>
              <w:bottom w:w="90" w:type="dxa"/>
              <w:end w:w="120" w:type="dxa"/>
            </w:tcMar>
            <w:vAlign w:val="center"/>
          </w:tcPr>
          <w:p>
            <w:pPr>
              <w:spacing w:after="0"/>
            </w:pPr>
            <w:r>
              <w:rPr>
                <w:rFonts w:ascii="Calibri" w:hAnsi="Calibri"/>
                <w:color w:val="111111"/>
                <w:sz w:val="17"/>
              </w:rPr>
              <w:t>sourceId, revision</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useAssessments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useAssessmentId, revision</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SourceRef listeleri</w:t>
            </w:r>
          </w:p>
        </w:tc>
        <w:tc>
          <w:tcPr>
            <w:tcW w:type="dxa" w:w="6160"/>
            <w:tcMar>
              <w:top w:w="90" w:type="dxa"/>
              <w:start w:w="120" w:type="dxa"/>
              <w:bottom w:w="90" w:type="dxa"/>
              <w:end w:w="120" w:type="dxa"/>
            </w:tcMar>
            <w:vAlign w:val="center"/>
          </w:tcPr>
          <w:p>
            <w:pPr>
              <w:spacing w:after="0"/>
            </w:pPr>
            <w:r>
              <w:rPr>
                <w:rFonts w:ascii="Calibri" w:hAnsi="Calibri"/>
                <w:color w:val="111111"/>
                <w:sz w:val="17"/>
              </w:rPr>
              <w:t>sourceId, revision, locator</w:t>
            </w:r>
          </w:p>
        </w:tc>
      </w:tr>
    </w:tbl>
    <w:p>
      <w:pPr>
        <w:spacing w:after="0"/>
      </w:pPr>
    </w:p>
    <w:p>
      <w:pPr>
        <w:pStyle w:val="Heading1"/>
      </w:pPr>
      <w:r>
        <w:rPr>
          <w:rFonts w:ascii="Calibri" w:hAnsi="Calibri"/>
          <w:color w:val="111111"/>
        </w:rPr>
        <w:t>17. Örnek JSON</w:t>
      </w:r>
    </w:p>
    <w:p>
      <w:r>
        <w:rPr>
          <w:rFonts w:ascii="Calibri" w:hAnsi="Calibri"/>
          <w:color w:val="111111"/>
        </w:rPr>
        <w:t>Aşağıdaki örnekler placeholder içerir; gerçek sembol, kaynak veya kültürel iddia üretmez.</w:t>
      </w:r>
    </w:p>
    <w:p>
      <w:pPr>
        <w:pStyle w:val="Heading2"/>
      </w:pPr>
      <w:r>
        <w:rPr>
          <w:rFonts w:ascii="Calibri" w:hAnsi="Calibri"/>
          <w:color w:val="111111"/>
        </w:rPr>
        <w:t>17.1 SourceRecord</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"atlas.sourceRecord",</w:t>
              <w:br/>
              <w:t xml:space="preserve">  "sourceId": "source-example-001",</w:t>
              <w:br/>
              <w:t xml:space="preserve">  "revision": 1,</w:t>
              <w:br/>
              <w:t xml:space="preserve">  "canonicalJsonProfileRef": {</w:t>
              <w:br/>
              <w:t xml:space="preserve">    "profileId": "atlas-canonical-json",</w:t>
              <w:br/>
              <w:t xml:space="preserve">    "revision": 1,</w:t>
              <w:br/>
              <w:t xml:space="preserve">    "checksum": "sha256:&lt;64-lowercase-hex&gt;"</w:t>
              <w:br/>
              <w:t xml:space="preserve">  },</w:t>
              <w:br/>
              <w:t xml:space="preserve">  "sourceClass": "webPublication",</w:t>
              <w:br/>
              <w:t xml:space="preserve">  "title": "&lt;source-title&gt;",</w:t>
              <w:br/>
              <w:t xml:space="preserve">  "creators": [</w:t>
              <w:br/>
              <w:t xml:space="preserve">    {"agentType": "organization", "displayName": "&lt;publisher&gt;", "role": "publisher"}</w:t>
              <w:br/>
              <w:t xml:space="preserve">  ],</w:t>
              <w:br/>
              <w:t xml:space="preserve">  "publication": {"publicationDate": "&lt;YYYY-MM-DD&gt;"},</w:t>
              <w:br/>
              <w:t xml:space="preserve">  "languages": {"consultedLanguage": "tr"},</w:t>
              <w:br/>
              <w:t xml:space="preserve">  "identifiers": [</w:t>
              <w:br/>
              <w:t xml:space="preserve">    {"identifierType": "url", "value": "https://example.invalid/source"}</w:t>
              <w:br/>
              <w:t xml:space="preserve">  ],</w:t>
              <w:br/>
              <w:t xml:space="preserve">  "access": {</w:t>
              <w:br/>
              <w:t xml:space="preserve">    "accessMode": "online",</w:t>
              <w:br/>
              <w:t xml:space="preserve">    "accessedAtUtc": "2026-07-28T00:00:00Z"</w:t>
              <w:br/>
              <w:t xml:space="preserve">  },</w:t>
              <w:br/>
              <w:t xml:space="preserve">  "rights": {"rightsStatus": "citationOnly"},</w:t>
              <w:br/>
              <w:t xml:space="preserve">  "culturalCoverage": {"contextIds": [], "basis": "unknown"},</w:t>
              <w:br/>
              <w:t xml:space="preserve">  "integrity": {</w:t>
              <w:br/>
              <w:t xml:space="preserve">    "manifestationType": "archivedSnapshot",</w:t>
              <w:br/>
              <w:t xml:space="preserve">    "capturedAtUtc": "2026-07-28T00:00:00Z",</w:t>
              <w:br/>
              <w:t xml:space="preserve">    "contentChecksum": "sha256:&lt;64-lowercase-hex&gt;"</w:t>
              <w:br/>
              <w:t xml:space="preserve">  }</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2"/>
      </w:pPr>
      <w:r>
        <w:rPr>
          <w:rFonts w:ascii="Calibri" w:hAnsi="Calibri"/>
          <w:color w:val="111111"/>
        </w:rPr>
        <w:t>17.2 SourceUseAssessment</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"atlas.sourceUseAssessment",</w:t>
              <w:br/>
              <w:t xml:space="preserve">  "useAssessmentId": "source-use-example-001",</w:t>
              <w:br/>
              <w:t xml:space="preserve">  "revision": 1,</w:t>
              <w:br/>
              <w:t xml:space="preserve">  "canonicalJsonProfileRef": {</w:t>
              <w:br/>
              <w:t xml:space="preserve">    "profileId": "atlas-canonical-json",</w:t>
              <w:br/>
              <w:t xml:space="preserve">    "revision": 1,</w:t>
              <w:br/>
              <w:t xml:space="preserve">    "checksum": "sha256:&lt;64-lowercase-hex&gt;"</w:t>
              <w:br/>
              <w:t xml:space="preserve">  },</w:t>
              <w:br/>
              <w:t xml:space="preserve">  "targetRef": {</w:t>
              <w:br/>
              <w:t xml:space="preserve">    "recordType": "atlas.interpretationClaim",</w:t>
              <w:br/>
              <w:t xml:space="preserve">    "recordId": "claim-example-001",</w:t>
              <w:br/>
              <w:t xml:space="preserve">    "revision": 1,</w:t>
              <w:br/>
              <w:t xml:space="preserve">    "checksum": "sha256:&lt;64-lowercase-hex&gt;"</w:t>
              <w:br/>
              <w:t xml:space="preserve">  },</w:t>
              <w:br/>
              <w:t xml:space="preserve">  "sourceRef": {</w:t>
              <w:br/>
              <w:t xml:space="preserve">    "sourceId": "source-example-001",</w:t>
              <w:br/>
              <w:t xml:space="preserve">    "revision": 1,</w:t>
              <w:br/>
              <w:t xml:space="preserve">    "locator": "sec. &lt;section-heading&gt;"</w:t>
              <w:br/>
              <w:t xml:space="preserve">  },</w:t>
              <w:br/>
              <w:t xml:space="preserve">  "evidenceRole": "secondary",</w:t>
              <w:br/>
              <w:t xml:space="preserve">  "supportRelation": "supports",</w:t>
              <w:br/>
              <w:t xml:space="preserve">  "independenceGroupId": "source-family-example-001",</w:t>
              <w:br/>
              <w:t xml:space="preserve">  "independenceRationale": "&lt;reviewable-grouping-rationale&gt;",</w:t>
              <w:br/>
              <w:t xml:space="preserve">  "qualityDimensions": {</w:t>
              <w:br/>
              <w:t xml:space="preserve">    "provenance": "verified",</w:t>
              <w:br/>
              <w:t xml:space="preserve">    "attribution": "organizational",</w:t>
              <w:br/>
              <w:t xml:space="preserve">    "editorialControl": "institutional",</w:t>
              <w:br/>
              <w:t xml:space="preserve">    "methodTransparency": "partial",</w:t>
              <w:br/>
              <w:t xml:space="preserve">    "sourceStability": "archivedSnapshot",</w:t>
              <w:br/>
              <w:t xml:space="preserve">    "culturalProximity": "secondaryAnalysis"</w:t>
              <w:br/>
              <w:t xml:space="preserve">  },</w:t>
              <w:br/>
              <w:t xml:space="preserve">  "assessmentOutcome": "eligibleCorroborative",</w:t>
              <w:br/>
              <w:t xml:space="preserve">  "limitations": ["&lt;documented-limitation&gt;"],</w:t>
              <w:br/>
              <w:t xml:space="preserve">  "rationale": "&lt;reviewable-rationale&gt;"</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2"/>
      </w:pPr>
      <w:r>
        <w:rPr>
          <w:rFonts w:ascii="Calibri" w:hAnsi="Calibri"/>
          <w:color w:val="111111"/>
        </w:rPr>
        <w:t>17.3 SourceCatalogReleaseManifest</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"atlas.sourceCatalogReleaseManifest",</w:t>
              <w:br/>
              <w:t xml:space="preserve">  "releaseId": "source-catalog-release-example-001",</w:t>
              <w:br/>
              <w:t xml:space="preserve">  "createdAtUtc": "2026-07-28T00:00:00Z",</w:t>
              <w:br/>
              <w:t xml:space="preserve">  "canonicalJsonProfileRef": {</w:t>
              <w:br/>
              <w:t xml:space="preserve">    "profileId": "atlas-canonical-json",</w:t>
              <w:br/>
              <w:t xml:space="preserve">    "revision": 1,</w:t>
              <w:br/>
              <w:t xml:space="preserve">    "checksum": "sha256:&lt;64-lowercase-hex&gt;"</w:t>
              <w:br/>
              <w:t xml:space="preserve">  },</w:t>
              <w:br/>
              <w:t xml:space="preserve">  "governanceSnapshotRef": {</w:t>
              <w:br/>
              <w:t xml:space="preserve">    "snapshotId": "governance-snapshot-example-001",</w:t>
              <w:br/>
              <w:t xml:space="preserve">    "checksum": "sha256:&lt;64-lowercase-hex&gt;"</w:t>
              <w:br/>
              <w:t xml:space="preserve">  },</w:t>
              <w:br/>
              <w:t xml:space="preserve">  "contextRegistryReleaseRef": {</w:t>
              <w:br/>
              <w:t xml:space="preserve">    "releaseId": "context-registry-release-example-001",</w:t>
              <w:br/>
              <w:t xml:space="preserve">    "checksum": "sha256:&lt;64-lowercase-hex&gt;"</w:t>
              <w:br/>
              <w:t xml:space="preserve">  },</w:t>
              <w:br/>
              <w:t xml:space="preserve">  "sourceRecords": [</w:t>
              <w:br/>
              <w:t xml:space="preserve">    {</w:t>
              <w:br/>
              <w:t xml:space="preserve">      "sourceId": "source-example-001",</w:t>
              <w:br/>
              <w:t xml:space="preserve">      "revision": 1,</w:t>
              <w:br/>
              <w:t xml:space="preserve">      "checksum": "sha256:&lt;64-lowercase-hex&gt;"</w:t>
              <w:br/>
              <w:t xml:space="preserve">    }</w:t>
              <w:br/>
              <w:t xml:space="preserve">  ],</w:t>
              <w:br/>
              <w:t xml:space="preserve">  "useAssessments": [</w:t>
              <w:br/>
              <w:t xml:space="preserve">    {</w:t>
              <w:br/>
              <w:t xml:space="preserve">      "useAssessmentId": "source-use-example-001",</w:t>
              <w:br/>
              <w:t xml:space="preserve">      "revision": 1,</w:t>
              <w:br/>
              <w:t xml:space="preserve">      "checksum": "sha256:&lt;64-lowercase-hex&gt;"</w:t>
              <w:br/>
              <w:t xml:space="preserve">    }</w:t>
              <w:br/>
              <w:t xml:space="preserve">  ],</w:t>
              <w:br/>
              <w:t xml:space="preserve">  "manifestChecksum": "sha256:&lt;64-lowercase-hex&gt;"</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1"/>
      </w:pPr>
      <w:r>
        <w:rPr>
          <w:rFonts w:ascii="Calibri" w:hAnsi="Calibri"/>
          <w:color w:val="111111"/>
        </w:rPr>
        <w:t>18. Validation Kuralları</w:t>
      </w:r>
    </w:p>
    <w:p>
      <w:pPr>
        <w:pStyle w:val="Heading2"/>
      </w:pPr>
      <w:r>
        <w:rPr>
          <w:rFonts w:ascii="Calibri" w:hAnsi="Calibri"/>
          <w:color w:val="111111"/>
        </w:rPr>
        <w:t>18.1 Strict schema</w:t>
      </w:r>
    </w:p>
    <w:p>
      <w:pPr>
        <w:numPr>
          <w:ilvl w:val="0"/>
          <w:numId w:val="41"/>
        </w:numPr>
      </w:pPr>
      <w:r>
        <w:rPr>
          <w:rFonts w:ascii="Calibri" w:hAnsi="Calibri"/>
          <w:color w:val="111111"/>
        </w:rPr>
        <w:t>Unknown alanlar reddedilir; v1 core'da generic extensions map yoktur.</w:t>
      </w:r>
    </w:p>
    <w:p>
      <w:pPr>
        <w:numPr>
          <w:ilvl w:val="0"/>
          <w:numId w:val="41"/>
        </w:numPr>
      </w:pPr>
      <w:r>
        <w:rPr>
          <w:rFonts w:ascii="Calibri" w:hAnsi="Calibri"/>
          <w:color w:val="111111"/>
        </w:rPr>
        <w:t>Required alanlar eksikse kayıt reddedilir.</w:t>
      </w:r>
    </w:p>
    <w:p>
      <w:pPr>
        <w:numPr>
          <w:ilvl w:val="0"/>
          <w:numId w:val="41"/>
        </w:numPr>
      </w:pPr>
      <w:r>
        <w:rPr>
          <w:rFonts w:ascii="Calibri" w:hAnsi="Calibri"/>
          <w:color w:val="111111"/>
        </w:rPr>
        <w:t>ID grammar exact case-sensitive `^[A-Za-z0-9][A-Za-z0-9._-]*$` olur.</w:t>
      </w:r>
    </w:p>
    <w:p>
      <w:pPr>
        <w:numPr>
          <w:ilvl w:val="0"/>
          <w:numId w:val="41"/>
        </w:numPr>
      </w:pPr>
      <w:r>
        <w:rPr>
          <w:rFonts w:ascii="Calibri" w:hAnsi="Calibri"/>
          <w:color w:val="111111"/>
        </w:rPr>
        <w:t>Human-readable text boş, leading/trailing whitespace'lı veya control character'lı olamaz.</w:t>
      </w:r>
    </w:p>
    <w:p>
      <w:pPr>
        <w:numPr>
          <w:ilvl w:val="0"/>
          <w:numId w:val="41"/>
        </w:numPr>
      </w:pPr>
      <w:r>
        <w:rPr>
          <w:rFonts w:ascii="Calibri" w:hAnsi="Calibri"/>
          <w:color w:val="111111"/>
        </w:rPr>
        <w:t>Unicode text NFC olmalıdır; parser normalize etmez, yalnız doğrular.</w:t>
      </w:r>
    </w:p>
    <w:p>
      <w:pPr>
        <w:numPr>
          <w:ilvl w:val="0"/>
          <w:numId w:val="41"/>
        </w:numPr>
      </w:pPr>
      <w:r>
        <w:rPr>
          <w:rFonts w:ascii="Calibri" w:hAnsi="Calibri"/>
          <w:color w:val="111111"/>
        </w:rPr>
        <w:t>Language alanları canonical BCP-47 biçiminde olmalıdır.</w:t>
      </w:r>
    </w:p>
    <w:p>
      <w:pPr>
        <w:numPr>
          <w:ilvl w:val="0"/>
          <w:numId w:val="41"/>
        </w:numPr>
      </w:pPr>
      <w:r>
        <w:rPr>
          <w:rFonts w:ascii="Calibri" w:hAnsi="Calibri"/>
          <w:color w:val="111111"/>
        </w:rPr>
        <w:t>Timestamp UTC ve RFC 3339-compatible exact profile ile doğrulanmalıdır.</w:t>
      </w:r>
    </w:p>
    <w:p>
      <w:pPr>
        <w:numPr>
          <w:ilvl w:val="0"/>
          <w:numId w:val="41"/>
        </w:numPr>
      </w:pPr>
      <w:r>
        <w:rPr>
          <w:rFonts w:ascii="Calibri" w:hAnsi="Calibri"/>
          <w:color w:val="111111"/>
        </w:rPr>
        <w:t>Checksum lowercase `sha256:&lt;64 hex&gt;` biçiminde olmalıdır.</w:t>
      </w:r>
    </w:p>
    <w:p>
      <w:pPr>
        <w:numPr>
          <w:ilvl w:val="0"/>
          <w:numId w:val="41"/>
        </w:numPr>
      </w:pPr>
      <w:r>
        <w:rPr>
          <w:rFonts w:ascii="Calibri" w:hAnsi="Calibri"/>
          <w:color w:val="111111"/>
        </w:rPr>
        <w:t>Duplicate identifiers, duplicate refs ve duplicate assessment target/source pair'leri validation error'dır.</w:t>
      </w:r>
    </w:p>
    <w:p>
      <w:pPr>
        <w:pStyle w:val="Heading2"/>
      </w:pPr>
      <w:r>
        <w:rPr>
          <w:rFonts w:ascii="Calibri" w:hAnsi="Calibri"/>
          <w:color w:val="111111"/>
        </w:rPr>
        <w:t>18.2 Cross-record validation</w:t>
      </w:r>
    </w:p>
    <w:p>
      <w:pPr>
        <w:numPr>
          <w:ilvl w:val="0"/>
          <w:numId w:val="41"/>
        </w:numPr>
      </w:pPr>
      <w:r>
        <w:rPr>
          <w:rFonts w:ascii="Calibri" w:hAnsi="Calibri"/>
          <w:color w:val="111111"/>
        </w:rPr>
        <w:t>SourceUseAssessment.sourceRef mevcut exact SourceRecord revision'ına çözülmelidir.</w:t>
      </w:r>
    </w:p>
    <w:p>
      <w:pPr>
        <w:numPr>
          <w:ilvl w:val="0"/>
          <w:numId w:val="41"/>
        </w:numPr>
      </w:pPr>
      <w:r>
        <w:rPr>
          <w:rFonts w:ascii="Calibri" w:hAnsi="Calibri"/>
          <w:color w:val="111111"/>
        </w:rPr>
        <w:t>targetRef mevcut exact immutable domain revision'ına çözülmeli ve canonical checksum değeri eşleşmelidir.</w:t>
      </w:r>
    </w:p>
    <w:p>
      <w:pPr>
        <w:numPr>
          <w:ilvl w:val="0"/>
          <w:numId w:val="41"/>
        </w:numPr>
      </w:pPr>
      <w:r>
        <w:rPr>
          <w:rFonts w:ascii="Calibri" w:hAnsi="Calibri"/>
          <w:color w:val="111111"/>
        </w:rPr>
        <w:t>assessmentOutcome eligibleCore ise uncapturedMutable stability ve anonymous attribution kombinasyonu reddedilir.</w:t>
      </w:r>
    </w:p>
    <w:p>
      <w:pPr>
        <w:numPr>
          <w:ilvl w:val="0"/>
          <w:numId w:val="41"/>
        </w:numPr>
      </w:pPr>
      <w:r>
        <w:rPr>
          <w:rFonts w:ascii="Calibri" w:hAnsi="Calibri"/>
          <w:color w:val="111111"/>
        </w:rPr>
        <w:t>Primary/secondary role ile sourceClass arasında otomatik eşitlik kurulmaz.</w:t>
      </w:r>
    </w:p>
    <w:p>
      <w:pPr>
        <w:numPr>
          <w:ilvl w:val="0"/>
          <w:numId w:val="41"/>
        </w:numPr>
      </w:pPr>
      <w:r>
        <w:rPr>
          <w:rFonts w:ascii="Calibri" w:hAnsi="Calibri"/>
          <w:color w:val="111111"/>
        </w:rPr>
        <w:t>Aynı independenceGroupId içindeki source ref'ler birden fazla bağımsız destek olarak sunulamaz; grouping rationale review edilmeden release edilemez.</w:t>
      </w:r>
    </w:p>
    <w:p>
      <w:pPr>
        <w:numPr>
          <w:ilvl w:val="0"/>
          <w:numId w:val="41"/>
        </w:numPr>
      </w:pPr>
      <w:r>
        <w:rPr>
          <w:rFonts w:ascii="Calibri" w:hAnsi="Calibri"/>
          <w:color w:val="111111"/>
        </w:rPr>
        <w:t>Release manifestteki her kayıt closed + approved review ve sıfır open blocking issue taşımalıdır.</w:t>
      </w:r>
    </w:p>
    <w:p>
      <w:pPr>
        <w:numPr>
          <w:ilvl w:val="0"/>
          <w:numId w:val="41"/>
        </w:numPr>
      </w:pPr>
      <w:r>
        <w:rPr>
          <w:rFonts w:ascii="Calibri" w:hAnsi="Calibri"/>
          <w:color w:val="111111"/>
        </w:rPr>
        <w:t>Manifest record checksum'ları referenced Atlas Canonical JSON Profile ile yeniden üretilebilmelidir.</w:t>
      </w:r>
    </w:p>
    <w:p>
      <w:pPr>
        <w:pStyle w:val="Heading2"/>
      </w:pPr>
      <w:r>
        <w:rPr>
          <w:rFonts w:ascii="Calibri" w:hAnsi="Calibri"/>
          <w:color w:val="111111"/>
        </w:rPr>
        <w:t>18.3 Yasak bağlantılar</w:t>
      </w:r>
    </w:p>
    <w:p>
      <w:pPr>
        <w:numPr>
          <w:ilvl w:val="0"/>
          <w:numId w:val="41"/>
        </w:numPr>
      </w:pPr>
      <w:r>
        <w:rPr>
          <w:rFonts w:ascii="Calibri" w:hAnsi="Calibri"/>
          <w:color w:val="111111"/>
        </w:rPr>
        <w:t>SourceRecord içine sembol anlamı, claim metni veya preferred interpretation koymak.</w:t>
      </w:r>
    </w:p>
    <w:p>
      <w:pPr>
        <w:numPr>
          <w:ilvl w:val="0"/>
          <w:numId w:val="41"/>
        </w:numPr>
      </w:pPr>
      <w:r>
        <w:rPr>
          <w:rFonts w:ascii="Calibri" w:hAnsi="Calibri"/>
          <w:color w:val="111111"/>
        </w:rPr>
        <w:t>SourceRef içine reliability score, reviewer kararı veya evidenceRole eklemek.</w:t>
      </w:r>
    </w:p>
    <w:p>
      <w:pPr>
        <w:numPr>
          <w:ilvl w:val="0"/>
          <w:numId w:val="41"/>
        </w:numPr>
      </w:pPr>
      <w:r>
        <w:rPr>
          <w:rFonts w:ascii="Calibri" w:hAnsi="Calibri"/>
          <w:color w:val="111111"/>
        </w:rPr>
        <w:t>SourceUseAssessment sonucunu semantic confidence olarak tüketmek.</w:t>
      </w:r>
    </w:p>
    <w:p>
      <w:pPr>
        <w:numPr>
          <w:ilvl w:val="0"/>
          <w:numId w:val="41"/>
        </w:numPr>
      </w:pPr>
      <w:r>
        <w:rPr>
          <w:rFonts w:ascii="Calibri" w:hAnsi="Calibri"/>
          <w:color w:val="111111"/>
        </w:rPr>
        <w:t>LLM çıktısını creator, source veya reviewer olarak kaydetmek.</w:t>
      </w:r>
    </w:p>
    <w:p>
      <w:pPr>
        <w:numPr>
          <w:ilvl w:val="0"/>
          <w:numId w:val="41"/>
        </w:numPr>
      </w:pPr>
      <w:r>
        <w:rPr>
          <w:rFonts w:ascii="Calibri" w:hAnsi="Calibri"/>
          <w:color w:val="111111"/>
        </w:rPr>
        <w:t>Web kopyalarını bağımsız kaynak saymak.</w:t>
      </w:r>
    </w:p>
    <w:p>
      <w:pPr>
        <w:numPr>
          <w:ilvl w:val="0"/>
          <w:numId w:val="41"/>
        </w:numPr>
      </w:pPr>
      <w:r>
        <w:rPr>
          <w:rFonts w:ascii="Calibri" w:hAnsi="Calibri"/>
          <w:color w:val="111111"/>
        </w:rPr>
        <w:t>Rights veya consent bilgisini bilinmiyorsa olumlu varsaymak.</w:t>
      </w:r>
    </w:p>
    <w:p>
      <w:pPr>
        <w:numPr>
          <w:ilvl w:val="0"/>
          <w:numId w:val="41"/>
        </w:numPr>
      </w:pPr>
      <w:r>
        <w:rPr>
          <w:rFonts w:ascii="Calibri" w:hAnsi="Calibri"/>
          <w:color w:val="111111"/>
        </w:rPr>
        <w:t>Frozen revision'ı yerinde düzenlemek.</w:t>
      </w:r>
    </w:p>
    <w:p>
      <w:pPr>
        <w:pStyle w:val="Heading1"/>
      </w:pPr>
      <w:r>
        <w:rPr>
          <w:rFonts w:ascii="Calibri" w:hAnsi="Calibri"/>
          <w:color w:val="111111"/>
        </w:rPr>
        <w:t>19. Açık Kararlar ve Acceptance Checklist</w:t>
      </w:r>
    </w:p>
    <w:p>
      <w:pPr>
        <w:pStyle w:val="Heading2"/>
      </w:pPr>
      <w:r>
        <w:rPr>
          <w:rFonts w:ascii="Calibri" w:hAnsi="Calibri"/>
          <w:color w:val="111111"/>
        </w:rPr>
        <w:t>19.1 Founder Review gerektiren kararlar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350"/>
        <w:gridCol w:w="4800"/>
        <w:gridCol w:w="2210"/>
      </w:tblGrid>
      <w:tr>
        <w:trPr>
          <w:tblHeader w:val="true"/>
          <w:cantSplit/>
        </w:trPr>
        <w:tc>
          <w:tcPr>
            <w:tcW w:type="dxa" w:w="2350"/>
            <w:tcMar>
              <w:top w:w="90" w:type="dxa"/>
              <w:start w:w="120" w:type="dxa"/>
              <w:bottom w:w="90" w:type="dxa"/>
              <w:end w:w="120" w:type="dxa"/>
            </w:tcMar>
            <w:vAlign w:val="center"/>
            <w:shd w:fill="006B63"/>
          </w:tcPr>
          <w:p>
            <w:pPr>
              <w:spacing w:after="0"/>
            </w:pPr>
            <w:r>
              <w:rPr>
                <w:rFonts w:ascii="Calibri" w:hAnsi="Calibri"/>
                <w:b/>
                <w:color w:val="FFFFFF"/>
                <w:sz w:val="17"/>
              </w:rPr>
              <w:t>Konu</w:t>
            </w:r>
          </w:p>
        </w:tc>
        <w:tc>
          <w:tcPr>
            <w:tcW w:type="dxa" w:w="4800"/>
            <w:tcMar>
              <w:top w:w="90" w:type="dxa"/>
              <w:start w:w="120" w:type="dxa"/>
              <w:bottom w:w="90" w:type="dxa"/>
              <w:end w:w="120" w:type="dxa"/>
            </w:tcMar>
            <w:vAlign w:val="center"/>
            <w:shd w:fill="006B63"/>
          </w:tcPr>
          <w:p>
            <w:pPr>
              <w:spacing w:after="0"/>
            </w:pPr>
            <w:r>
              <w:rPr>
                <w:rFonts w:ascii="Calibri" w:hAnsi="Calibri"/>
                <w:b/>
                <w:color w:val="FFFFFF"/>
                <w:sz w:val="17"/>
              </w:rPr>
              <w:t>Draft 0.4 kararı</w:t>
            </w:r>
          </w:p>
        </w:tc>
        <w:tc>
          <w:tcPr>
            <w:tcW w:type="dxa" w:w="2210"/>
            <w:tcMar>
              <w:top w:w="90" w:type="dxa"/>
              <w:start w:w="120" w:type="dxa"/>
              <w:bottom w:w="90" w:type="dxa"/>
              <w:end w:w="120" w:type="dxa"/>
            </w:tcMar>
            <w:vAlign w:val="center"/>
            <w:shd w:fill="006B63"/>
          </w:tcPr>
          <w:p>
            <w:pPr>
              <w:spacing w:after="0"/>
            </w:pPr>
            <w:r>
              <w:rPr>
                <w:rFonts w:ascii="Calibri" w:hAnsi="Calibri"/>
                <w:b/>
                <w:color w:val="FFFFFF"/>
                <w:sz w:val="17"/>
              </w:rPr>
              <w:t>Durum</w:t>
            </w:r>
          </w:p>
        </w:tc>
      </w:tr>
      <w:tr>
        <w:tc>
          <w:tcPr>
            <w:tcW w:type="dxa" w:w="2350"/>
          </w:tcPr>
          <w:p>
            <w:r>
              <w:t>Source contract ailesi</w:t>
            </w:r>
          </w:p>
        </w:tc>
        <w:tc>
          <w:tcPr>
            <w:tcW w:type="dxa" w:w="4800"/>
          </w:tcPr>
          <w:p>
            <w:r>
              <w:t>SourceRecord + SourceUseAssessment + SourceCatalogReleaseManifest</w:t>
            </w:r>
          </w:p>
        </w:tc>
        <w:tc>
          <w:tcPr>
            <w:tcW w:type="dxa" w:w="2210"/>
          </w:tcPr>
          <w:p>
            <w:r>
              <w:t>Founder approved</w:t>
            </w:r>
          </w:p>
        </w:tc>
      </w:tr>
      <w:tr>
        <w:tc>
          <w:tcPr>
            <w:tcW w:type="dxa" w:w="2350"/>
          </w:tcPr>
          <w:p>
            <w:r>
              <w:t>Symbol Admission Policy</w:t>
            </w:r>
          </w:p>
        </w:tc>
        <w:tc>
          <w:tcPr>
            <w:tcW w:type="dxa" w:w="4800"/>
          </w:tcPr>
          <w:p>
            <w:r>
              <w:t>Ayrı exact typed policy ref; içerik manifeste kopyalanmaz</w:t>
            </w:r>
          </w:p>
        </w:tc>
        <w:tc>
          <w:tcPr>
            <w:tcW w:type="dxa" w:w="2210"/>
          </w:tcPr>
          <w:p>
            <w:r>
              <w:t>Blocking before production Symbol release</w:t>
            </w:r>
          </w:p>
        </w:tc>
      </w:tr>
      <w:tr>
        <w:tc>
          <w:tcPr>
            <w:tcW w:type="dxa" w:w="2350"/>
          </w:tcPr>
          <w:p>
            <w:r>
              <w:t>Source identity</w:t>
            </w:r>
          </w:p>
        </w:tc>
        <w:tc>
          <w:tcPr>
            <w:tcW w:type="dxa" w:w="4800"/>
          </w:tcPr>
          <w:p>
            <w:r>
              <w:t>sourceId lineage; revision exact consulted manifestation</w:t>
            </w:r>
          </w:p>
        </w:tc>
        <w:tc>
          <w:tcPr>
            <w:tcW w:type="dxa" w:w="2210"/>
          </w:tcPr>
          <w:p>
            <w:r>
              <w:t>Founder approved</w:t>
            </w:r>
          </w:p>
        </w:tc>
      </w:tr>
      <w:tr>
        <w:tc>
          <w:tcPr>
            <w:tcW w:type="dxa" w:w="2350"/>
          </w:tcPr>
          <w:p>
            <w:r>
              <w:t>Context Registry</w:t>
            </w:r>
          </w:p>
        </w:tc>
        <w:tc>
          <w:tcPr>
            <w:tcW w:type="dxa" w:w="4800"/>
          </w:tcPr>
          <w:p>
            <w:r>
              <w:t>Her SourceCatalog release'te direct exact dependency</w:t>
            </w:r>
          </w:p>
        </w:tc>
        <w:tc>
          <w:tcPr>
            <w:tcW w:type="dxa" w:w="2210"/>
          </w:tcPr>
          <w:p>
            <w:r>
              <w:t>Registry standardı açık bağımlılık</w:t>
            </w:r>
          </w:p>
        </w:tc>
      </w:tr>
      <w:tr>
        <w:tc>
          <w:tcPr>
            <w:tcW w:type="dxa" w:w="2350"/>
          </w:tcPr>
          <w:p>
            <w:r>
              <w:t>Atlas Canonical JSON Profile</w:t>
            </w:r>
          </w:p>
        </w:tc>
        <w:tc>
          <w:tcPr>
            <w:tcW w:type="dxa" w:w="4800"/>
          </w:tcPr>
          <w:p>
            <w:r>
              <w:t>Tek ortak technical serialization contract</w:t>
            </w:r>
          </w:p>
        </w:tc>
        <w:tc>
          <w:tcPr>
            <w:tcW w:type="dxa" w:w="2210"/>
          </w:tcPr>
          <w:p>
            <w:r>
              <w:t>Profile revision'ı blocking dependency</w:t>
            </w:r>
          </w:p>
        </w:tc>
      </w:tr>
      <w:tr>
        <w:tc>
          <w:tcPr>
            <w:tcW w:type="dxa" w:w="2350"/>
          </w:tcPr>
          <w:p>
            <w:r>
              <w:t>Fieldwork consent schema</w:t>
            </w:r>
          </w:p>
        </w:tc>
        <w:tc>
          <w:tcPr>
            <w:tcW w:type="dxa" w:w="4800"/>
          </w:tcPr>
          <w:p>
            <w:r>
              <w:t>RightsInfo + Governance minimum; ayrıntılı protokol ayrı standard</w:t>
            </w:r>
          </w:p>
        </w:tc>
        <w:tc>
          <w:tcPr>
            <w:tcW w:type="dxa" w:w="2210"/>
          </w:tcPr>
          <w:p>
            <w:r>
              <w:t>Founder approved minimum; detailed protocol deferred</w:t>
            </w:r>
          </w:p>
        </w:tc>
      </w:tr>
      <w:tr>
        <w:tc>
          <w:tcPr>
            <w:tcW w:type="dxa" w:w="2350"/>
          </w:tcPr>
          <w:p>
            <w:r>
              <w:t>URL normalization</w:t>
            </w:r>
          </w:p>
        </w:tc>
        <w:tc>
          <w:tcPr>
            <w:tcW w:type="dxa" w:w="4800"/>
          </w:tcPr>
          <w:p>
            <w:r>
              <w:t>Validator testleriyle ayrı exact profile</w:t>
            </w:r>
          </w:p>
        </w:tc>
        <w:tc>
          <w:tcPr>
            <w:tcW w:type="dxa" w:w="2210"/>
          </w:tcPr>
          <w:p>
            <w:r>
              <w:t>Deferred to Atlas Canonical JSON Profile</w:t>
            </w:r>
          </w:p>
        </w:tc>
      </w:tr>
      <w:tr>
        <w:tc>
          <w:tcPr>
            <w:tcW w:type="dxa" w:w="2350"/>
          </w:tcPr>
          <w:p>
            <w:r>
              <w:t>Rights decomposition</w:t>
            </w:r>
          </w:p>
        </w:tc>
        <w:tc>
          <w:tcPr>
            <w:tcW w:type="dxa" w:w="4800"/>
          </w:tcPr>
          <w:p>
            <w:r>
              <w:t>Gerçek citation/redistribution use case oluşana kadar minimal</w:t>
            </w:r>
          </w:p>
        </w:tc>
        <w:tc>
          <w:tcPr>
            <w:tcW w:type="dxa" w:w="2210"/>
          </w:tcPr>
          <w:p>
            <w:r>
              <w:t>Deferred</w:t>
            </w:r>
          </w:p>
        </w:tc>
      </w:tr>
      <w:tr>
        <w:tc>
          <w:tcPr>
            <w:tcW w:type="dxa" w:w="2350"/>
          </w:tcPr>
          <w:p>
            <w:r>
              <w:t>Usage type</w:t>
            </w:r>
          </w:p>
        </w:tc>
        <w:tc>
          <w:tcPr>
            <w:tcW w:type="dxa" w:w="4800"/>
          </w:tcPr>
          <w:p>
            <w:r>
              <w:t>quoted/paraphrased/derived vocabulary eklenmez</w:t>
            </w:r>
          </w:p>
        </w:tc>
        <w:tc>
          <w:tcPr>
            <w:tcW w:type="dxa" w:w="2210"/>
          </w:tcPr>
          <w:p>
            <w:r>
              <w:t>Deferred</w:t>
            </w:r>
          </w:p>
        </w:tc>
      </w:tr>
    </w:tbl>
    <w:p>
      <w:pPr>
        <w:spacing w:after="0"/>
      </w:pPr>
    </w:p>
    <w:p>
      <w:pPr>
        <w:pStyle w:val="Heading2"/>
      </w:pPr>
      <w:r>
        <w:rPr>
          <w:rFonts w:ascii="Calibri" w:hAnsi="Calibri"/>
          <w:color w:val="111111"/>
        </w:rPr>
        <w:t>19.2 Acceptance Checklist</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800"/>
        <w:gridCol w:w="5560"/>
      </w:tblGrid>
      <w:tr>
        <w:trPr>
          <w:tblHeader w:val="true"/>
          <w:cantSplit/>
        </w:trPr>
        <w:tc>
          <w:tcPr>
            <w:tcW w:type="dxa" w:w="3800"/>
            <w:tcMar>
              <w:top w:w="90" w:type="dxa"/>
              <w:start w:w="120" w:type="dxa"/>
              <w:bottom w:w="90" w:type="dxa"/>
              <w:end w:w="120" w:type="dxa"/>
            </w:tcMar>
            <w:vAlign w:val="center"/>
            <w:shd w:fill="006B63"/>
          </w:tcPr>
          <w:p>
            <w:pPr>
              <w:spacing w:after="0"/>
            </w:pPr>
            <w:r>
              <w:rPr>
                <w:rFonts w:ascii="Calibri" w:hAnsi="Calibri"/>
                <w:b/>
                <w:color w:val="FFFFFF"/>
                <w:sz w:val="17"/>
              </w:rPr>
              <w:t>Kontrol</w:t>
            </w:r>
          </w:p>
        </w:tc>
        <w:tc>
          <w:tcPr>
            <w:tcW w:type="dxa" w:w="5560"/>
            <w:tcMar>
              <w:top w:w="90" w:type="dxa"/>
              <w:start w:w="120" w:type="dxa"/>
              <w:bottom w:w="90" w:type="dxa"/>
              <w:end w:w="120" w:type="dxa"/>
            </w:tcMar>
            <w:vAlign w:val="center"/>
            <w:shd w:fill="006B63"/>
          </w:tcPr>
          <w:p>
            <w:pPr>
              <w:spacing w:after="0"/>
            </w:pPr>
            <w:r>
              <w:rPr>
                <w:rFonts w:ascii="Calibri" w:hAnsi="Calibri"/>
                <w:b/>
                <w:color w:val="FFFFFF"/>
                <w:sz w:val="17"/>
              </w:rPr>
              <w:t>Beklenen</w:t>
            </w:r>
          </w:p>
        </w:tc>
      </w:tr>
      <w:tr>
        <w:tc>
          <w:tcPr>
            <w:tcW w:type="dxa" w:w="3800"/>
          </w:tcPr>
          <w:p>
            <w:r>
              <w:t>Domain Draft 0.5 ile uyumlu mu?</w:t>
            </w:r>
          </w:p>
        </w:tc>
        <w:tc>
          <w:tcPr>
            <w:tcW w:type="dxa" w:w="5560"/>
          </w:tcPr>
          <w:p>
            <w:r>
              <w:t>Exact refs ve ortak release sözlüğü korunur</w:t>
            </w:r>
          </w:p>
        </w:tc>
      </w:tr>
      <w:tr>
        <w:tc>
          <w:tcPr>
            <w:tcW w:type="dxa" w:w="3800"/>
          </w:tcPr>
          <w:p>
            <w:r>
              <w:t>SourceRef küçük mü?</w:t>
            </w:r>
          </w:p>
        </w:tc>
        <w:tc>
          <w:tcPr>
            <w:tcW w:type="dxa" w:w="5560"/>
          </w:tcPr>
          <w:p>
            <w:r>
              <w:t>sourceId + revision + locator; checksum eklenmez</w:t>
            </w:r>
          </w:p>
        </w:tc>
      </w:tr>
      <w:tr>
        <w:tc>
          <w:tcPr>
            <w:tcW w:type="dxa" w:w="3800"/>
          </w:tcPr>
          <w:p>
            <w:r>
              <w:t>Source identity açık mı?</w:t>
            </w:r>
          </w:p>
        </w:tc>
        <w:tc>
          <w:tcPr>
            <w:tcW w:type="dxa" w:w="5560"/>
          </w:tcPr>
          <w:p>
            <w:r>
              <w:t>Lineage ve exact manifestation ayrımı tanımlı</w:t>
            </w:r>
          </w:p>
        </w:tc>
      </w:tr>
      <w:tr>
        <w:tc>
          <w:tcPr>
            <w:tcW w:type="dxa" w:w="3800"/>
          </w:tcPr>
          <w:p>
            <w:r>
              <w:t>Target integrity var mı?</w:t>
            </w:r>
          </w:p>
        </w:tc>
        <w:tc>
          <w:tcPr>
            <w:tcW w:type="dxa" w:w="5560"/>
          </w:tcPr>
          <w:p>
            <w:r>
              <w:t>Exact target revision checksum taşınır</w:t>
            </w:r>
          </w:p>
        </w:tc>
      </w:tr>
      <w:tr>
        <w:tc>
          <w:tcPr>
            <w:tcW w:type="dxa" w:w="3800"/>
          </w:tcPr>
          <w:p>
            <w:r>
              <w:t>Canonical profile ortak mı?</w:t>
            </w:r>
          </w:p>
        </w:tc>
        <w:tc>
          <w:tcPr>
            <w:tcW w:type="dxa" w:w="5560"/>
          </w:tcPr>
          <w:p>
            <w:r>
              <w:t>Tek CanonicalJsonProfileRef kullanılır</w:t>
            </w:r>
          </w:p>
        </w:tc>
      </w:tr>
      <w:tr>
        <w:tc>
          <w:tcPr>
            <w:tcW w:type="dxa" w:w="3800"/>
          </w:tcPr>
          <w:p>
            <w:r>
              <w:t>Release revision taşıyor mu?</w:t>
            </w:r>
          </w:p>
        </w:tc>
        <w:tc>
          <w:tcPr>
            <w:tcW w:type="dxa" w:w="5560"/>
          </w:tcPr>
          <w:p>
            <w:r>
              <w:t>Hayır; değişiklik yeni releaseId üretir</w:t>
            </w:r>
          </w:p>
        </w:tc>
      </w:tr>
      <w:tr>
        <w:tc>
          <w:tcPr>
            <w:tcW w:type="dxa" w:w="3800"/>
          </w:tcPr>
          <w:p>
            <w:r>
              <w:t>Context dependency direct mi?</w:t>
            </w:r>
          </w:p>
        </w:tc>
        <w:tc>
          <w:tcPr>
            <w:tcW w:type="dxa" w:w="5560"/>
          </w:tcPr>
          <w:p>
            <w:r>
              <w:t>Her SourceCatalog release exact ref taşır</w:t>
            </w:r>
          </w:p>
        </w:tc>
      </w:tr>
      <w:tr>
        <w:tc>
          <w:tcPr>
            <w:tcW w:type="dxa" w:w="3800"/>
          </w:tcPr>
          <w:p>
            <w:r>
              <w:t>Admission policy ayrılmış mı?</w:t>
            </w:r>
          </w:p>
        </w:tc>
        <w:tc>
          <w:tcPr>
            <w:tcW w:type="dxa" w:w="5560"/>
          </w:tcPr>
          <w:p>
            <w:r>
              <w:t>SymbolAdmissionPolicyRef Symbol release'te</w:t>
            </w:r>
          </w:p>
        </w:tc>
      </w:tr>
      <w:tr>
        <w:tc>
          <w:tcPr>
            <w:tcW w:type="dxa" w:w="3800"/>
          </w:tcPr>
          <w:p>
            <w:r>
              <w:t>Pending review outcome mu?</w:t>
            </w:r>
          </w:p>
        </w:tc>
        <w:tc>
          <w:tcPr>
            <w:tcW w:type="dxa" w:w="5560"/>
          </w:tcPr>
          <w:p>
            <w:r>
              <w:t>Hayır; Governance durumu</w:t>
            </w:r>
          </w:p>
        </w:tc>
      </w:tr>
      <w:tr>
        <w:tc>
          <w:tcPr>
            <w:tcW w:type="dxa" w:w="3800"/>
          </w:tcPr>
          <w:p>
            <w:r>
              <w:t>Generic confidence var mı?</w:t>
            </w:r>
          </w:p>
        </w:tc>
        <w:tc>
          <w:tcPr>
            <w:tcW w:type="dxa" w:w="5560"/>
          </w:tcPr>
          <w:p>
            <w:r>
              <w:t>Hayır</w:t>
            </w:r>
          </w:p>
        </w:tc>
      </w:tr>
      <w:tr>
        <w:tc>
          <w:tcPr>
            <w:tcW w:type="dxa" w:w="3800"/>
          </w:tcPr>
          <w:p>
            <w:r>
              <w:t>LLM source olabilir mi?</w:t>
            </w:r>
          </w:p>
        </w:tc>
        <w:tc>
          <w:tcPr>
            <w:tcW w:type="dxa" w:w="5560"/>
          </w:tcPr>
          <w:p>
            <w:r>
              <w:t>Hayır</w:t>
            </w:r>
          </w:p>
        </w:tc>
      </w:tr>
      <w:tr>
        <w:tc>
          <w:tcPr>
            <w:tcW w:type="dxa" w:w="3800"/>
          </w:tcPr>
          <w:p>
            <w:r>
              <w:t>Gerçek sembol veya anlam üretildi mi?</w:t>
            </w:r>
          </w:p>
        </w:tc>
        <w:tc>
          <w:tcPr>
            <w:tcW w:type="dxa" w:w="5560"/>
          </w:tcPr>
          <w:p>
            <w:r>
              <w:t>Hayır</w:t>
            </w:r>
          </w:p>
        </w:tc>
      </w:tr>
    </w:tbl>
    <w:p>
      <w:pPr>
        <w:spacing w:after="0"/>
      </w:pP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t>Draft değerlendirmesi: Atlas Symbol Domain Contracts Draft 0.5 ile uyumlu ve Founder tarafından architecture standardı olarak onaylanmıştır. Context Registry, Symbol Admission Policy ve Atlas Canonical JSON Profile tamamlanmadan production SourceCatalogRelease freeze'i yapılamaz.</w:t>
            </w:r>
          </w:p>
        </w:tc>
      </w:tr>
    </w:tbl>
    <w:p>
      <w:pPr>
        <w:spacing w:after="0"/>
      </w:pPr>
    </w:p>
    <w:p>
      <w:pPr>
        <w:pStyle w:val="Heading1"/>
      </w:pPr>
      <w:r>
        <w:rPr>
          <w:rFonts w:ascii="Calibri" w:hAnsi="Calibri"/>
          <w:color w:val="111111"/>
        </w:rPr>
        <w:t>Appendix A — Yaşam Döngüsü</w:t>
      </w:r>
    </w:p>
    <w:p>
      <w:pPr>
        <w:numPr>
          <w:ilvl w:val="0"/>
          <w:numId w:val="42"/>
        </w:numPr>
      </w:pPr>
      <w:r>
        <w:rPr>
          <w:rFonts w:ascii="Calibri" w:hAnsi="Calibri"/>
          <w:color w:val="111111"/>
        </w:rPr>
        <w:t>Kaynak bulunur; discovery kaydı açılır.</w:t>
      </w:r>
    </w:p>
    <w:p>
      <w:pPr>
        <w:numPr>
          <w:ilvl w:val="0"/>
          <w:numId w:val="42"/>
        </w:numPr>
      </w:pPr>
      <w:r>
        <w:rPr>
          <w:rFonts w:ascii="Calibri" w:hAnsi="Calibri"/>
          <w:color w:val="111111"/>
        </w:rPr>
        <w:t>Exact manifestation incelenir ve SourceRecord draft revision oluşturulur.</w:t>
      </w:r>
    </w:p>
    <w:p>
      <w:pPr>
        <w:numPr>
          <w:ilvl w:val="0"/>
          <w:numId w:val="42"/>
        </w:numPr>
      </w:pPr>
      <w:r>
        <w:rPr>
          <w:rFonts w:ascii="Calibri" w:hAnsi="Calibri"/>
          <w:color w:val="111111"/>
        </w:rPr>
        <w:t>Bibliyografik, access, rights, cultural coverage ve integrity alanları doğrulanır.</w:t>
      </w:r>
    </w:p>
    <w:p>
      <w:pPr>
        <w:numPr>
          <w:ilvl w:val="0"/>
          <w:numId w:val="42"/>
        </w:numPr>
      </w:pPr>
      <w:r>
        <w:rPr>
          <w:rFonts w:ascii="Calibri" w:hAnsi="Calibri"/>
          <w:color w:val="111111"/>
        </w:rPr>
        <w:t>Kaynak exact domain hedefiyle SourceUseAssessment üzerinden ilişkilendirilir.</w:t>
      </w:r>
    </w:p>
    <w:p>
      <w:pPr>
        <w:numPr>
          <w:ilvl w:val="0"/>
          <w:numId w:val="42"/>
        </w:numPr>
      </w:pPr>
      <w:r>
        <w:rPr>
          <w:rFonts w:ascii="Calibri" w:hAnsi="Calibri"/>
          <w:color w:val="111111"/>
        </w:rPr>
        <w:t>Evidence role, support relation, independence group, quality dimensions ve outcome kaydedilir.</w:t>
      </w:r>
    </w:p>
    <w:p>
      <w:pPr>
        <w:numPr>
          <w:ilvl w:val="0"/>
          <w:numId w:val="42"/>
        </w:numPr>
      </w:pPr>
      <w:r>
        <w:rPr>
          <w:rFonts w:ascii="Calibri" w:hAnsi="Calibri"/>
          <w:color w:val="111111"/>
        </w:rPr>
        <w:t>ReviewCase/ReviewEvent/QualityIssue süreci tamamlanır.</w:t>
      </w:r>
    </w:p>
    <w:p>
      <w:pPr>
        <w:numPr>
          <w:ilvl w:val="0"/>
          <w:numId w:val="42"/>
        </w:numPr>
      </w:pPr>
      <w:r>
        <w:rPr>
          <w:rFonts w:ascii="Calibri" w:hAnsi="Calibri"/>
          <w:color w:val="111111"/>
        </w:rPr>
        <w:t>Yalnız approved ve blocking-issue-free revision'lar SourceCatalogReleaseManifest'e alınır.</w:t>
      </w:r>
    </w:p>
    <w:p>
      <w:pPr>
        <w:numPr>
          <w:ilvl w:val="0"/>
          <w:numId w:val="42"/>
        </w:numPr>
      </w:pPr>
      <w:r>
        <w:rPr>
          <w:rFonts w:ascii="Calibri" w:hAnsi="Calibri"/>
          <w:color w:val="111111"/>
        </w:rPr>
        <w:t>Symbol release validator referenced Symbol Admission Policy'yi, frozen source catalog eligibility/independence facts ve target checksum'ları üzerinden doğrular.</w:t>
      </w:r>
    </w:p>
    <w:p>
      <w:pPr>
        <w:numPr>
          <w:ilvl w:val="0"/>
          <w:numId w:val="42"/>
        </w:numPr>
      </w:pPr>
      <w:r>
        <w:rPr>
          <w:rFonts w:ascii="Calibri" w:hAnsi="Calibri"/>
          <w:color w:val="111111"/>
        </w:rPr>
        <w:t>Düzeltme yeni revision ve yeni source catalog release üretir; eski release değişmez.</w:t>
      </w:r>
    </w:p>
    <w:p>
      <w:pPr>
        <w:pStyle w:val="Heading1"/>
      </w:pPr>
      <w:r>
        <w:rPr>
          <w:rFonts w:ascii="Calibri" w:hAnsi="Calibri"/>
          <w:color w:val="111111"/>
        </w:rPr>
        <w:t>Appendix B — Sorumluluk Matrisi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050"/>
        <w:gridCol w:w="3150"/>
        <w:gridCol w:w="3160"/>
      </w:tblGrid>
      <w:tr>
        <w:trPr>
          <w:tblHeader w:val="true"/>
          <w:cantSplit/>
        </w:trPr>
        <w:tc>
          <w:tcPr>
            <w:tcW w:type="dxa" w:w="3050"/>
            <w:tcMar>
              <w:top w:w="90" w:type="dxa"/>
              <w:start w:w="120" w:type="dxa"/>
              <w:bottom w:w="90" w:type="dxa"/>
              <w:end w:w="120" w:type="dxa"/>
            </w:tcMar>
            <w:vAlign w:val="center"/>
            <w:shd w:fill="006B63"/>
          </w:tcPr>
          <w:p>
            <w:pPr>
              <w:spacing w:after="0"/>
            </w:pPr>
            <w:r>
              <w:rPr>
                <w:rFonts w:ascii="Calibri" w:hAnsi="Calibri"/>
                <w:b/>
                <w:color w:val="FFFFFF"/>
                <w:sz w:val="17"/>
              </w:rPr>
              <w:t>Sorumluluk</w:t>
            </w:r>
          </w:p>
        </w:tc>
        <w:tc>
          <w:tcPr>
            <w:tcW w:type="dxa" w:w="3150"/>
            <w:tcMar>
              <w:top w:w="90" w:type="dxa"/>
              <w:start w:w="120" w:type="dxa"/>
              <w:bottom w:w="90" w:type="dxa"/>
              <w:end w:w="120" w:type="dxa"/>
            </w:tcMar>
            <w:vAlign w:val="center"/>
            <w:shd w:fill="006B63"/>
          </w:tcPr>
          <w:p>
            <w:pPr>
              <w:spacing w:after="0"/>
            </w:pPr>
            <w:r>
              <w:rPr>
                <w:rFonts w:ascii="Calibri" w:hAnsi="Calibri"/>
                <w:b/>
                <w:color w:val="FFFFFF"/>
                <w:sz w:val="17"/>
              </w:rPr>
              <w:t>Canonical kayıt</w:t>
            </w:r>
          </w:p>
        </w:tc>
        <w:tc>
          <w:tcPr>
            <w:tcW w:type="dxa" w:w="3160"/>
            <w:tcMar>
              <w:top w:w="90" w:type="dxa"/>
              <w:start w:w="120" w:type="dxa"/>
              <w:bottom w:w="90" w:type="dxa"/>
              <w:end w:w="120" w:type="dxa"/>
            </w:tcMar>
            <w:vAlign w:val="center"/>
            <w:shd w:fill="006B63"/>
          </w:tcPr>
          <w:p>
            <w:pPr>
              <w:spacing w:after="0"/>
            </w:pPr>
            <w:r>
              <w:rPr>
                <w:rFonts w:ascii="Calibri" w:hAnsi="Calibri"/>
                <w:b/>
                <w:color w:val="FFFFFF"/>
                <w:sz w:val="17"/>
              </w:rPr>
              <w:t>Türetilen görünüm</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Kaynak kimliği ve bibliyografi</w:t>
            </w:r>
          </w:p>
        </w:tc>
        <w:tc>
          <w:tcPr>
            <w:tcW w:type="dxa" w:w="315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3160"/>
            <w:tcMar>
              <w:top w:w="90" w:type="dxa"/>
              <w:start w:w="120" w:type="dxa"/>
              <w:bottom w:w="90" w:type="dxa"/>
              <w:end w:w="120" w:type="dxa"/>
            </w:tcMar>
            <w:vAlign w:val="center"/>
          </w:tcPr>
          <w:p>
            <w:pPr>
              <w:spacing w:after="0"/>
            </w:pPr>
            <w:r>
              <w:rPr>
                <w:rFonts w:ascii="Calibri" w:hAnsi="Calibri"/>
                <w:color w:val="111111"/>
                <w:sz w:val="16"/>
              </w:rPr>
              <w:t>Citation view</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Claim-specific rol ve eligibility</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Admission report</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Domain içinden kaynak referansı</w:t>
            </w:r>
          </w:p>
        </w:tc>
        <w:tc>
          <w:tcPr>
            <w:tcW w:type="dxa" w:w="3150"/>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3160"/>
            <w:tcMar>
              <w:top w:w="90" w:type="dxa"/>
              <w:start w:w="120" w:type="dxa"/>
              <w:bottom w:w="90" w:type="dxa"/>
              <w:end w:w="120" w:type="dxa"/>
            </w:tcMar>
            <w:vAlign w:val="center"/>
          </w:tcPr>
          <w:p>
            <w:pPr>
              <w:spacing w:after="0"/>
            </w:pPr>
            <w:r>
              <w:rPr>
                <w:rFonts w:ascii="Calibri" w:hAnsi="Calibri"/>
                <w:color w:val="111111"/>
                <w:sz w:val="16"/>
              </w:rPr>
              <w:t>Resolved citation</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Çatışan anlam iddiaları</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InterpretationClaim + ClaimConflict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Conflict report</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Review ve kalite</w:t>
            </w:r>
          </w:p>
        </w:tc>
        <w:tc>
          <w:tcPr>
            <w:tcW w:type="dxa" w:w="3150"/>
            <w:tcMar>
              <w:top w:w="90" w:type="dxa"/>
              <w:start w:w="120" w:type="dxa"/>
              <w:bottom w:w="90" w:type="dxa"/>
              <w:end w:w="120" w:type="dxa"/>
            </w:tcMar>
            <w:vAlign w:val="center"/>
          </w:tcPr>
          <w:p>
            <w:pPr>
              <w:spacing w:after="0"/>
            </w:pPr>
            <w:r>
              <w:rPr>
                <w:rFonts w:ascii="Calibri" w:hAnsi="Calibri"/>
                <w:color w:val="111111"/>
                <w:sz w:val="16"/>
              </w:rPr>
              <w:t>Governance records</w:t>
            </w:r>
          </w:p>
        </w:tc>
        <w:tc>
          <w:tcPr>
            <w:tcW w:type="dxa" w:w="3160"/>
            <w:tcMar>
              <w:top w:w="90" w:type="dxa"/>
              <w:start w:w="120" w:type="dxa"/>
              <w:bottom w:w="90" w:type="dxa"/>
              <w:end w:w="120" w:type="dxa"/>
            </w:tcMar>
            <w:vAlign w:val="center"/>
          </w:tcPr>
          <w:p>
            <w:pPr>
              <w:spacing w:after="0"/>
            </w:pPr>
            <w:r>
              <w:rPr>
                <w:rFonts w:ascii="Calibri" w:hAnsi="Calibri"/>
                <w:color w:val="111111"/>
                <w:sz w:val="16"/>
              </w:rPr>
              <w:t>Audit report</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Frozen kaynak kapsamı</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Release dependency view</w:t>
            </w:r>
          </w:p>
        </w:tc>
      </w:tr>
    </w:tbl>
    <w:p>
      <w:pPr>
        <w:spacing w:after="0"/>
      </w:pPr>
    </w:p>
    <w:p>
      <w:pPr>
        <w:pStyle w:val="Heading1"/>
      </w:pPr>
      <w:r>
        <w:rPr>
          <w:rFonts w:ascii="Calibri" w:hAnsi="Calibri"/>
          <w:color w:val="111111"/>
        </w:rPr>
        <w:t>Appendix C — Belge Statüsü</w:t>
      </w:r>
    </w:p>
    <w:p>
      <w:r>
        <w:t>Bu belge Atlas Symbol Source Standard v1.0 Draft 0.4'tür ve frozen Atlas Symbol Domain Contracts Draft 0.5 ile hizalıdır. Architecture standard freeze sırası Domain, Source, Evidence'dır. Gerçek SourceCatalogRelease freeze'i ayrı bir veri-release işlemidir. Frozen belge sessizce değiştirilemez; yeni revision ve downstream revalidation gerekir.</w:t>
      </w:r>
    </w:p>
    <w:p>
      <w:pPr>
        <w:pStyle w:val="Heading1"/>
      </w:pPr>
      <w:r>
        <w:t>19. Founder Freeze Decisions — Draft 0.4</w:t>
      </w:r>
    </w:p>
    <w:p>
      <w:r>
        <w:rPr>
          <w:b/>
        </w:rPr>
        <w:t xml:space="preserve">Normatif durum. </w:t>
      </w:r>
      <w:r>
        <w:t>Bu bölüm Founder tarafından onaylanan mimari kararları kaydeder. Belge standardının dondurulması, gerçek veri veya production release dondurulduğu anlamına gelmez.</w:t>
      </w:r>
    </w:p>
    <w:tbl>
      <w:tblPr>
        <w:tblStyle w:val="TableGrid"/>
        <w:tblW w:type="auto" w:w="0"/>
        <w:tblLayout w:type="fixed"/>
        <w:tblLook w:firstColumn="1" w:firstRow="1" w:lastColumn="0" w:lastRow="0" w:noHBand="0" w:noVBand="1" w:val="04A0"/>
      </w:tblPr>
      <w:tblGrid>
        <w:gridCol w:w="4680"/>
        <w:gridCol w:w="4680"/>
      </w:tblGrid>
      <w:tr>
        <w:tc>
          <w:tcPr>
            <w:tcW w:type="dxa" w:w="4680"/>
          </w:tcPr>
          <w:p>
            <w:r>
              <w:t>Konu</w:t>
            </w:r>
          </w:p>
        </w:tc>
        <w:tc>
          <w:tcPr>
            <w:tcW w:type="dxa" w:w="4680"/>
          </w:tcPr>
          <w:p>
            <w:r>
              <w:t>Bağlayıcı karar</w:t>
            </w:r>
          </w:p>
        </w:tc>
      </w:tr>
      <w:tr>
        <w:tc>
          <w:tcPr>
            <w:tcW w:type="dxa" w:w="4680"/>
          </w:tcPr>
          <w:p>
            <w:r>
              <w:t>Architecture standard</w:t>
            </w:r>
          </w:p>
        </w:tc>
        <w:tc>
          <w:tcPr>
            <w:tcW w:type="dxa" w:w="4680"/>
          </w:tcPr>
          <w:p>
            <w:r>
              <w:t>Frozen after Domain Draft 0.5</w:t>
            </w:r>
          </w:p>
        </w:tc>
      </w:tr>
      <w:tr>
        <w:tc>
          <w:tcPr>
            <w:tcW w:type="dxa" w:w="4680"/>
          </w:tcPr>
          <w:p>
            <w:r>
              <w:t>Production Source Catalog</w:t>
            </w:r>
          </w:p>
        </w:tc>
        <w:tc>
          <w:tcPr>
            <w:tcW w:type="dxa" w:w="4680"/>
          </w:tcPr>
          <w:p>
            <w:r>
              <w:t>Not created or frozen</w:t>
            </w:r>
          </w:p>
        </w:tc>
      </w:tr>
      <w:tr>
        <w:tc>
          <w:tcPr>
            <w:tcW w:type="dxa" w:w="4680"/>
          </w:tcPr>
          <w:p>
            <w:r>
              <w:t>SourceRef</w:t>
            </w:r>
          </w:p>
        </w:tc>
        <w:tc>
          <w:tcPr>
            <w:tcW w:type="dxa" w:w="4680"/>
          </w:tcPr>
          <w:p>
            <w:r>
              <w:t>sourceId + revision + optional locator; checksum excluded</w:t>
            </w:r>
          </w:p>
        </w:tc>
      </w:tr>
      <w:tr>
        <w:tc>
          <w:tcPr>
            <w:tcW w:type="dxa" w:w="4680"/>
          </w:tcPr>
          <w:p>
            <w:r>
              <w:t>Source integrity</w:t>
            </w:r>
          </w:p>
        </w:tc>
        <w:tc>
          <w:tcPr>
            <w:tcW w:type="dxa" w:w="4680"/>
          </w:tcPr>
          <w:p>
            <w:r>
              <w:t>Exact SourceCatalogReleaseRef</w:t>
            </w:r>
          </w:p>
        </w:tc>
      </w:tr>
      <w:tr>
        <w:tc>
          <w:tcPr>
            <w:tcW w:type="dxa" w:w="4680"/>
          </w:tcPr>
          <w:p>
            <w:r>
              <w:t>Checksum format</w:t>
            </w:r>
          </w:p>
        </w:tc>
        <w:tc>
          <w:tcPr>
            <w:tcW w:type="dxa" w:w="4680"/>
          </w:tcPr>
          <w:p>
            <w:r>
              <w:t>sha256:&lt;64-lowercase-hex&gt;</w:t>
            </w:r>
          </w:p>
        </w:tc>
      </w:tr>
      <w:tr>
        <w:tc>
          <w:tcPr>
            <w:tcW w:type="dxa" w:w="4680"/>
          </w:tcPr>
          <w:p>
            <w:r>
              <w:t>Canonicalization</w:t>
            </w:r>
          </w:p>
        </w:tc>
        <w:tc>
          <w:tcPr>
            <w:tcW w:type="dxa" w:w="4680"/>
          </w:tcPr>
          <w:p>
            <w:r>
              <w:t>Owned only by Atlas Canonical JSON Profile</w:t>
            </w:r>
          </w:p>
        </w:tc>
      </w:tr>
      <w:tr>
        <w:tc>
          <w:tcPr>
            <w:tcW w:type="dxa" w:w="4680"/>
          </w:tcPr>
          <w:p>
            <w:r>
              <w:t>URL normalization</w:t>
            </w:r>
          </w:p>
        </w:tc>
        <w:tc>
          <w:tcPr>
            <w:tcW w:type="dxa" w:w="4680"/>
          </w:tcPr>
          <w:p>
            <w:r>
              <w:t>Deferred to Atlas Canonical JSON Profile</w:t>
            </w:r>
          </w:p>
        </w:tc>
      </w:tr>
      <w:tr>
        <w:tc>
          <w:tcPr>
            <w:tcW w:type="dxa" w:w="4680"/>
          </w:tcPr>
          <w:p>
            <w:r>
              <w:t>Fieldwork consent</w:t>
            </w:r>
          </w:p>
        </w:tc>
        <w:tc>
          <w:tcPr>
            <w:tcW w:type="dxa" w:w="4680"/>
          </w:tcPr>
          <w:p>
            <w:r>
              <w:t>Existing minimal RightsInfo plus Governance</w:t>
            </w:r>
          </w:p>
        </w:tc>
      </w:tr>
    </w:tbl>
    <w:p>
      <w:pPr>
        <w:pStyle w:val="Heading2"/>
      </w:pPr>
      <w:r>
        <w:t>19.1 Freeze Boundary</w:t>
      </w:r>
    </w:p>
    <w:p>
      <w:pPr>
        <w:pStyle w:val="ListBullet"/>
      </w:pPr>
      <w:r>
        <w:t>This architecture standard may be frozen while concrete SourceRecord, SourceUseAssessment and SourceCatalogRelease instances remain absent.</w:t>
      </w:r>
    </w:p>
    <w:p>
      <w:pPr>
        <w:pStyle w:val="ListBullet"/>
      </w:pPr>
      <w:r>
        <w:t>No real source, admission policy, assessment or symbol record is produced by this revision.</w:t>
      </w:r>
    </w:p>
    <w:p>
      <w:pPr>
        <w:pStyle w:val="ListBullet"/>
      </w:pPr>
      <w:r>
        <w:t>A production Source Catalog still requires the Canonical JSON Profile, approved policy dependencies, governance approval and exact release checksums.</w:t>
      </w:r>
    </w:p>
    <w:p>
      <w:pPr>
        <w:pStyle w:val="Heading2"/>
      </w:pPr>
      <w:r>
        <w:t>19.2 Package Direction</w:t>
      </w:r>
    </w:p>
    <w:p>
      <w:pPr>
        <w:pStyle w:val="ListBullet"/>
      </w:pPr>
      <w:r>
        <w:t>coffee_symbol may consume immutable source references defined by the Symbol contract.</w:t>
      </w:r>
    </w:p>
    <w:p>
      <w:pPr>
        <w:pStyle w:val="ListBullet"/>
      </w:pPr>
      <w:r>
        <w:t>Future coffee_symbol_dataset may parse frozen source-related data only after the Canonical JSON Profile is approved.</w:t>
      </w:r>
    </w:p>
    <w:p>
      <w:pPr>
        <w:pStyle w:val="ListBullet"/>
      </w:pPr>
      <w:r>
        <w:t>Source records never depend on Vision, Pattern or Knowledge execution.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66B"/>
        <w:sz w:val="16"/>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66B"/>
        <w:sz w:val="15"/>
      </w:rPr>
      <w:t>ATLAS SYMBOL ONTOLOGY  |  SOURCE STANDARD  |  ARCHITECTURE DRAFT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B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B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5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053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6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Source Standard v1.0 Draft 0.4</dc:title>
  <dc:subject>Founder-approved Source architecture standard</dc:subject>
  <dc:creator>Atlas</dc:creator>
  <cp:keywords>Atlas, Symbol Ontology, Source Standard, Draft</cp:keywords>
  <dc:description>Founder-approved architecture standard revision. No production data, schema implementation, commit, tag, or push is implied.</dc:description>
  <cp:lastModifiedBy/>
  <cp:revision>1</cp:revision>
  <dcterms:created xsi:type="dcterms:W3CDTF">2013-12-23T23:15:00Z</dcterms:created>
  <dcterms:modified xsi:type="dcterms:W3CDTF">2013-12-23T23:15:00Z</dcterms:modified>
  <cp:category/>
</cp:coreProperties>
</file>