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资产=负债+所有者权益</w:t>
      </w:r>
    </w:p>
    <w:p>
      <w:pPr>
        <w:numPr>
          <w:ilvl w:val="0"/>
          <w:numId w:val="1"/>
        </w:numPr>
      </w:pPr>
      <w:r>
        <w:t>销售收入-销售成本=毛利</w:t>
      </w:r>
    </w:p>
    <w:p>
      <w:pPr>
        <w:numPr>
          <w:ilvl w:val="0"/>
          <w:numId w:val="1"/>
        </w:numPr>
      </w:pPr>
      <w:r>
        <w:t>毛利-费用=利润</w:t>
      </w:r>
    </w:p>
    <w:p>
      <w:pPr>
        <w:numPr>
          <w:ilvl w:val="0"/>
          <w:numId w:val="1"/>
        </w:numPr>
      </w:pPr>
      <w:r>
        <w:t>应付账款的还款期限较短，通常是30天，应付票据的还款时间较长，可能长达几年，负债项目的排列通常根据各类债务到期的期限长短来列示</w:t>
      </w:r>
    </w:p>
    <w:p>
      <w:pPr>
        <w:numPr>
          <w:ilvl w:val="0"/>
          <w:numId w:val="1"/>
        </w:numPr>
      </w:pPr>
      <w:r>
        <w:t>对于制造业来说，在产品在存货中占有很大的份额</w:t>
      </w:r>
    </w:p>
    <w:p>
      <w:pPr>
        <w:numPr>
          <w:ilvl w:val="0"/>
          <w:numId w:val="1"/>
        </w:numPr>
        <w:rPr>
          <w:lang w:val="en-US"/>
        </w:rPr>
      </w:pPr>
      <w:r>
        <w:t>将费用列示为资产的意义是，当我们预付一笔费用时，它在未来的会计期间都具有价值，待摊费用具有价值</w:t>
      </w:r>
    </w:p>
    <w:p>
      <w:pPr>
        <w:numPr>
          <w:ilvl w:val="0"/>
          <w:numId w:val="1"/>
        </w:numPr>
      </w:pPr>
      <w:r>
        <w:t>权责发生制：在交易发生时，也就是利润产生的期间，赊账期间或是使用期间进行核算。在权责发生制的核算基础上，既有现金项目，也有非现金项目</w:t>
      </w:r>
    </w:p>
    <w:p>
      <w:pPr>
        <w:numPr>
          <w:ilvl w:val="0"/>
          <w:numId w:val="1"/>
        </w:numPr>
      </w:pPr>
      <w:r>
        <w:t>收付实现制：交易事项以现金结算时才被记录</w:t>
      </w:r>
    </w:p>
    <w:p>
      <w:pPr>
        <w:numPr>
          <w:ilvl w:val="0"/>
          <w:numId w:val="1"/>
        </w:numPr>
      </w:pPr>
      <w:r>
        <w:t>对于拥有存货的公司来说必须使用权责发生制</w:t>
      </w:r>
    </w:p>
    <w:p>
      <w:pPr>
        <w:numPr>
          <w:ilvl w:val="0"/>
          <w:numId w:val="1"/>
        </w:numPr>
      </w:pPr>
      <w:r>
        <w:t>政府允许从收付实现制转向权责发生制，为了更多的税收，但是不能反过来</w:t>
      </w:r>
    </w:p>
    <w:p>
      <w:pPr>
        <w:numPr>
          <w:ilvl w:val="0"/>
          <w:numId w:val="1"/>
        </w:numPr>
      </w:pPr>
      <w:r>
        <w:t>先进先出法下的存货价值较低，期末存货价值较高，净利润也较高</w:t>
      </w:r>
    </w:p>
    <w:p>
      <w:pPr>
        <w:numPr>
          <w:ilvl w:val="0"/>
          <w:numId w:val="1"/>
        </w:numPr>
      </w:pPr>
      <w:r>
        <w:t>后进先出法下的存货价值较高，期末价值较低，净利润也较低</w:t>
      </w:r>
    </w:p>
    <w:p>
      <w:pPr>
        <w:numPr>
          <w:ilvl w:val="0"/>
          <w:numId w:val="1"/>
        </w:numPr>
      </w:pPr>
      <w:r>
        <w:t>对于存货计价的先进先出法和后进先出法是从账目上而言的</w:t>
      </w:r>
    </w:p>
    <w:p>
      <w:pPr>
        <w:numPr>
          <w:ilvl w:val="0"/>
          <w:numId w:val="1"/>
        </w:numPr>
      </w:pPr>
      <w:r>
        <w:t>选择采用后进先出法计价的唯一目的是节税</w:t>
      </w:r>
    </w:p>
    <w:p>
      <w:pPr>
        <w:numPr>
          <w:ilvl w:val="0"/>
          <w:numId w:val="1"/>
        </w:numPr>
      </w:pPr>
      <w:r>
        <w:t>在实际生活中，后进先出法较难且坚持采用的代价较大，只有那些有大量存货的公司才会使用这种方法</w:t>
      </w:r>
    </w:p>
    <w:p>
      <w:pPr>
        <w:numPr>
          <w:ilvl w:val="0"/>
          <w:numId w:val="1"/>
        </w:numPr>
      </w:pPr>
      <w:r>
        <w:t>现金流量表仅仅代表现金的流入和流出</w:t>
      </w:r>
    </w:p>
    <w:p>
      <w:pPr>
        <w:numPr>
          <w:ilvl w:val="0"/>
          <w:numId w:val="1"/>
        </w:numPr>
      </w:pPr>
      <w:r>
        <w:t>如果一样东西的增加能延长一项固定资产的寿命或增加其价值、性能，就需要将其资本化</w:t>
      </w:r>
    </w:p>
    <w:p>
      <w:pPr>
        <w:numPr>
          <w:ilvl w:val="0"/>
          <w:numId w:val="1"/>
        </w:numPr>
      </w:pPr>
      <w:r>
        <w:t>对于一项支出，公司如何考虑其应该资本化还是费用化？（1）一般都会将收益时间超过一年的支出作为资本性支出而若其受益期间仅在一年以内，就为费用性支出。（2）成本太低的费用化</w:t>
      </w:r>
    </w:p>
    <w:p>
      <w:pPr>
        <w:numPr>
          <w:ilvl w:val="0"/>
          <w:numId w:val="1"/>
        </w:numPr>
      </w:pPr>
      <w:r>
        <w:t>账面净值=购买价 - 折旧</w:t>
      </w:r>
    </w:p>
    <w:p>
      <w:pPr>
        <w:numPr>
          <w:ilvl w:val="0"/>
          <w:numId w:val="1"/>
        </w:numPr>
      </w:pPr>
      <w:r>
        <w:t>折旧是一项非付现费用</w:t>
      </w:r>
    </w:p>
    <w:p>
      <w:pPr>
        <w:numPr>
          <w:ilvl w:val="0"/>
          <w:numId w:val="1"/>
        </w:numPr>
      </w:pPr>
      <w:r>
        <w:t>一项能够移动的固定资产被称为设备，很多公司都会在资产负债表中将设备与建筑物相区分</w:t>
      </w:r>
    </w:p>
    <w:p>
      <w:pPr>
        <w:numPr>
          <w:ilvl w:val="0"/>
          <w:numId w:val="1"/>
        </w:numPr>
      </w:pPr>
      <w:r>
        <w:t>维持企业正常运行的是现金而非利润</w:t>
      </w:r>
    </w:p>
    <w:p>
      <w:pPr>
        <w:numPr>
          <w:ilvl w:val="0"/>
          <w:numId w:val="1"/>
        </w:numPr>
      </w:pPr>
      <w:r>
        <w:t>加速折旧法，建议使用双倍余额递减法，这样可以减少当前所得税，因为通货膨胀，当前所得税的减少要比未来所得税的减少更好。政府通过鼓励公司买卖资产以刺激经济。</w:t>
      </w:r>
    </w:p>
    <w:p>
      <w:pPr>
        <w:numPr>
          <w:ilvl w:val="0"/>
          <w:numId w:val="1"/>
        </w:numPr>
      </w:pPr>
      <w:r>
        <w:t>固定资产账面净值 = 固定资产原值 - 累计折旧</w:t>
      </w:r>
    </w:p>
    <w:p>
      <w:pPr>
        <w:numPr>
          <w:ilvl w:val="0"/>
          <w:numId w:val="1"/>
        </w:numPr>
      </w:pPr>
      <w:r>
        <w:t>一般来说，资产根据其流动性（资产变现的速度）快慢依次列示于资产负债表中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E858E"/>
    <w:multiLevelType w:val="singleLevel"/>
    <w:tmpl w:val="5F0E85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582D8"/>
    <w:rsid w:val="3E6582D8"/>
    <w:rsid w:val="7FD98F89"/>
    <w:rsid w:val="F5EFD7BA"/>
    <w:rsid w:val="FFD3A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2020-07-15T12:21:00Z</dcterms:created>
  <dc:creator>tongying</dc:creator>
  <cp:lastModifiedBy>tongying</cp:lastModifiedBy>
  <dcterms:modified xsi:type="dcterms:W3CDTF">2020-07-16T00:22:15Z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