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溯知与成熟企业项目差距分析报告</w:t>
      </w:r>
    </w:p>
    <w:p>
      <w:r>
        <w:rPr>
          <w:b/>
          <w:sz w:val="26"/>
        </w:rPr>
        <w:t>面向从本地课程资料问答工具向可运营平台演进的技术评估</w:t>
      </w:r>
    </w:p>
    <w:p>
      <w:pPr>
        <w:spacing w:before="160" w:after="440"/>
      </w:pPr>
      <w:r>
        <w:t>评估对象：exam-rag 溯知    评估日期：2026年9月</w:t>
      </w:r>
    </w:p>
    <w:p>
      <w:r>
        <w:rPr>
          <w:b/>
        </w:rPr>
        <w:t>核心结论：</w:t>
      </w:r>
      <w:r>
        <w:t>该项目已经是一套业务边界明确、核心链路可测试、具备证据治理能力的单机 RAG 产品，明显高于一般演示型项目。当前主要短板不在问答算法本身，而在认证授权、异步任务、数据基础设施、可观测性、持续交付和生产治理。若仅服务个人或可信小团队，现有架构基本适用；若要面向公网、多用户或多实例部署，应先补齐安全和平台基础能力。</w:t>
      </w:r>
    </w:p>
    <w:p>
      <w:pPr>
        <w:pStyle w:val="Heading1"/>
        <w:keepNext/>
      </w:pPr>
      <w:r>
        <w:t>一 评估范围与当前基线</w:t>
      </w:r>
    </w:p>
    <w:p>
      <w:r>
        <w:t>本报告根据当前仓库的代码结构、工程约束、演进文档和默认测试结果形成。评估重点是项目与成熟企业级软件在安全性、可靠性、可扩展性、交付治理和长期维护方面的差距，不评价商业模式或课程内容质量。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531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76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当前基线</w:t>
            </w:r>
          </w:p>
        </w:tc>
        <w:tc>
          <w:tcPr>
            <w:tcW w:type="dxa" w:w="294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产品定位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本地课程资料问答，强调引用、拒答和课程隔离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定位清楚，适合单机和可信环境</w:t>
            </w:r>
          </w:p>
        </w:tc>
      </w:tr>
      <w:tr>
        <w:tc>
          <w:tcPr>
            <w:tcW w:type="dxa" w:w="1531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技术栈</w:t>
            </w:r>
          </w:p>
        </w:tc>
        <w:tc>
          <w:tcPr>
            <w:tcW w:type="dxa" w:w="476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FastAPI、ChromaDB、SQLite、原生前端、OpenAI 兼容模型</w:t>
            </w:r>
          </w:p>
        </w:tc>
        <w:tc>
          <w:tcPr>
            <w:tcW w:type="dxa" w:w="294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依赖简单，但不适合直接横向扩展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核心能力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混合检索、精排、证据时效、Agent、题库与组卷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业务完整度较高</w:t>
            </w:r>
          </w:p>
        </w:tc>
      </w:tr>
      <w:tr>
        <w:tc>
          <w:tcPr>
            <w:tcW w:type="dxa" w:w="1531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测试状态</w:t>
            </w:r>
          </w:p>
        </w:tc>
        <w:tc>
          <w:tcPr>
            <w:tcW w:type="dxa" w:w="476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默认测试 197 项通过，1 项跳过；集成测试需显式运行</w:t>
            </w:r>
          </w:p>
        </w:tc>
        <w:tc>
          <w:tcPr>
            <w:tcW w:type="dxa" w:w="294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核心逻辑可靠，但缺持续质量门禁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部署边界</w:t>
            </w:r>
          </w:p>
        </w:tc>
        <w:tc>
          <w:tcPr>
            <w:tcW w:type="dxa" w:w="476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默认监听本机，无用户认证；course_id 只做数据过滤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不能直接暴露到公网或不可信网络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二 差距总览与优先级</w:t>
      </w:r>
    </w:p>
    <w:p>
      <w:r>
        <w:t>差距按上线风险划分为三个层级。P0 表示正式对外服务前必须解决；P1 表示进入稳定运营后应尽快建设；P2 表示用户量、团队规模或功能复杂度上升后会明显影响维护效率。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850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665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差距</w:t>
            </w:r>
          </w:p>
        </w:tc>
        <w:tc>
          <w:tcPr>
            <w:tcW w:type="dxa" w:w="362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主要风险</w:t>
            </w:r>
          </w:p>
        </w:tc>
        <w:tc>
          <w:tcPr>
            <w:tcW w:type="dxa" w:w="209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建议时点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认证授权与管理接口保护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越权访问、删除资料、泄露配置或密钥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任何公网或多人部署前</w:t>
            </w:r>
          </w:p>
        </w:tc>
      </w:tr>
      <w:tr>
        <w:tc>
          <w:tcPr>
            <w:tcW w:type="dxa" w:w="850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266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同步入库缺少任务系统</w:t>
            </w:r>
          </w:p>
        </w:tc>
        <w:tc>
          <w:tcPr>
            <w:tcW w:type="dxa" w:w="362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请求阻塞、重启丢任务、大文件拖垮 Web 进程</w:t>
            </w:r>
          </w:p>
        </w:tc>
        <w:tc>
          <w:tcPr>
            <w:tcW w:type="dxa" w:w="209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资料量和并发增长前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本地 SQLite 与 Chroma 单点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并发瓶颈、难横向扩展、备份恢复能力弱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多实例部署前</w:t>
            </w:r>
          </w:p>
        </w:tc>
      </w:tr>
      <w:tr>
        <w:tc>
          <w:tcPr>
            <w:tcW w:type="dxa" w:w="850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P0</w:t>
            </w:r>
          </w:p>
        </w:tc>
        <w:tc>
          <w:tcPr>
            <w:tcW w:type="dxa" w:w="266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缺少数据库迁移机制</w:t>
            </w:r>
          </w:p>
        </w:tc>
        <w:tc>
          <w:tcPr>
            <w:tcW w:type="dxa" w:w="362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升级不可审计、回滚困难、不同环境结构漂移</w:t>
            </w:r>
          </w:p>
        </w:tc>
        <w:tc>
          <w:tcPr>
            <w:tcW w:type="dxa" w:w="209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首次正式生产部署前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没有 CI 和质量门禁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回归只能依赖人工，本地通过不代表可发布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建立团队协作时</w:t>
            </w:r>
          </w:p>
        </w:tc>
      </w:tr>
      <w:tr>
        <w:tc>
          <w:tcPr>
            <w:tcW w:type="dxa" w:w="850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266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生产可观测性不足</w:t>
            </w:r>
          </w:p>
        </w:tc>
        <w:tc>
          <w:tcPr>
            <w:tcW w:type="dxa" w:w="362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故障定位慢，无法衡量质量、成本与容量</w:t>
            </w:r>
          </w:p>
        </w:tc>
        <w:tc>
          <w:tcPr>
            <w:tcW w:type="dxa" w:w="209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进入持续运营前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外部依赖治理不统一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LLM、OCR、解析器波动放大为系统故障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调用量上升前</w:t>
            </w:r>
          </w:p>
        </w:tc>
      </w:tr>
      <w:tr>
        <w:tc>
          <w:tcPr>
            <w:tcW w:type="dxa" w:w="850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P1</w:t>
            </w:r>
          </w:p>
        </w:tc>
        <w:tc>
          <w:tcPr>
            <w:tcW w:type="dxa" w:w="266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集成和端到端测试不足</w:t>
            </w:r>
          </w:p>
        </w:tc>
        <w:tc>
          <w:tcPr>
            <w:tcW w:type="dxa" w:w="362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真实存储、浏览器、迁移和并发问题晚暴露</w:t>
            </w:r>
          </w:p>
        </w:tc>
        <w:tc>
          <w:tcPr>
            <w:tcW w:type="dxa" w:w="209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持续发布前</w:t>
            </w:r>
          </w:p>
        </w:tc>
      </w:tr>
      <w:tr>
        <w:tc>
          <w:tcPr>
            <w:tcW w:type="dxa" w:w="8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解析模块内部过于集中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修改影响面扩大，新解析器接入成本上升</w:t>
            </w:r>
          </w:p>
        </w:tc>
        <w:tc>
          <w:tcPr>
            <w:tcW w:type="dxa" w:w="20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解析能力继续扩展时</w:t>
            </w:r>
          </w:p>
        </w:tc>
      </w:tr>
      <w:tr>
        <w:tc>
          <w:tcPr>
            <w:tcW w:type="dxa" w:w="850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P2</w:t>
            </w:r>
          </w:p>
        </w:tc>
        <w:tc>
          <w:tcPr>
            <w:tcW w:type="dxa" w:w="266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前端工程化能力有限</w:t>
            </w:r>
          </w:p>
        </w:tc>
        <w:tc>
          <w:tcPr>
            <w:tcW w:type="dxa" w:w="362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状态、契约和复用逐渐失控</w:t>
            </w:r>
          </w:p>
        </w:tc>
        <w:tc>
          <w:tcPr>
            <w:tcW w:type="dxa" w:w="209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页面交互继续增长时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三 P0 差距 正式对外服务前必须补齐</w:t>
      </w:r>
    </w:p>
    <w:p>
      <w:pPr>
        <w:pStyle w:val="Heading2"/>
        <w:keepNext/>
      </w:pPr>
      <w:r>
        <w:t>3.1 认证和授权尚未建立</w:t>
      </w:r>
    </w:p>
    <w:p>
      <w:r>
        <w:t>当前 get_current_user 仍是占位实现，course_id 只用于课程数据过滤，不代表用户有权访问该课程。上传、删除、配置修改和模型提供商管理等高风险接口缺少身份与权限约束；同时 CORS 允许任意来源。</w:t>
      </w:r>
    </w:p>
    <w:p>
      <w:pPr>
        <w:pStyle w:val="ListBullet"/>
        <w:spacing w:after="60"/>
      </w:pPr>
      <w:r>
        <w:t>风险：攻击者可伪造 course_id 读取或操作其他课程数据。</w:t>
      </w:r>
    </w:p>
    <w:p>
      <w:pPr>
        <w:pStyle w:val="ListBullet"/>
        <w:spacing w:after="60"/>
      </w:pPr>
      <w:r>
        <w:t>风险：配置和 LLM 提供商管理接口可能暴露密钥相关信息或改变系统行为。</w:t>
      </w:r>
    </w:p>
    <w:p>
      <w:pPr>
        <w:pStyle w:val="ListBullet"/>
        <w:spacing w:after="60"/>
      </w:pPr>
      <w:r>
        <w:t>建议：引入统一身份认证，并在服务层入口执行课程级授权；管理接口单独设置角色权限。</w:t>
      </w:r>
    </w:p>
    <w:p>
      <w:pPr>
        <w:pStyle w:val="ListBullet"/>
        <w:spacing w:after="60"/>
      </w:pPr>
      <w:r>
        <w:t>建议：默认拒绝跨域，只允许明确配置的可信来源；记录敏感操作审计日志。</w:t>
      </w:r>
    </w:p>
    <w:p>
      <w:pPr>
        <w:pStyle w:val="Heading2"/>
        <w:keepNext/>
      </w:pPr>
      <w:r>
        <w:t>3.2 入库仍是同步重任务</w:t>
      </w:r>
    </w:p>
    <w:p>
      <w:r>
        <w:t>PDF 解析、OCR、公式识别、视觉摘要和向量化都可能持续较长时间。当前请求直接驱动入库，缺少持久化队列、任务租约、重试、取消、并发配额和服务重启后的恢复机制。</w:t>
      </w:r>
    </w:p>
    <w:p>
      <w:pPr>
        <w:pStyle w:val="ListBullet"/>
        <w:spacing w:after="60"/>
      </w:pPr>
      <w:r>
        <w:t>建议流程：上传文件 → 创建任务 → 队列分发 → Worker 分阶段执行 → 持久化进度和错误。</w:t>
      </w:r>
    </w:p>
    <w:p>
      <w:pPr>
        <w:pStyle w:val="ListBullet"/>
        <w:spacing w:after="60"/>
      </w:pPr>
      <w:r>
        <w:t>每个阶段应具备幂等性，支持有限重试，并能区分可重试错误与永久失败。</w:t>
      </w:r>
    </w:p>
    <w:p>
      <w:pPr>
        <w:pStyle w:val="ListBullet"/>
        <w:spacing w:after="60"/>
      </w:pPr>
      <w:r>
        <w:t>Web 进程只负责接收请求和查询任务状态，不承担长时间模型推理或外部命令执行。</w:t>
      </w:r>
    </w:p>
    <w:p>
      <w:pPr>
        <w:pStyle w:val="Heading2"/>
        <w:keepNext/>
      </w:pPr>
      <w:r>
        <w:t>3.3 数据基础设施不支持成熟的多实例运行</w:t>
      </w:r>
    </w:p>
    <w:p>
      <w:r>
        <w:t>SQLite、Chroma PersistentClient、本地原文件和本地 JSON 注册表共同构成单机状态。该组合便于安装，但在多进程写入、横向扩展、共享存储、备份恢复、灾难切换和跨节点缓存失效方面存在天然限制。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57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当前设施</w:t>
            </w:r>
          </w:p>
        </w:tc>
        <w:tc>
          <w:tcPr>
            <w:tcW w:type="dxa" w:w="3515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适用范围</w:t>
            </w:r>
          </w:p>
        </w:tc>
        <w:tc>
          <w:tcPr>
            <w:tcW w:type="dxa" w:w="3969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企业化方向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SQLite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单机和低并发元数据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PostgreSQL，明确事务、索引和连接池策略</w:t>
            </w:r>
          </w:p>
        </w:tc>
      </w:tr>
      <w:tr>
        <w:tc>
          <w:tcPr>
            <w:tcW w:type="dxa" w:w="1757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Chroma 本地库</w:t>
            </w:r>
          </w:p>
        </w:tc>
        <w:tc>
          <w:tcPr>
            <w:tcW w:type="dxa" w:w="351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中小规模本地向量检索</w:t>
            </w:r>
          </w:p>
        </w:tc>
        <w:tc>
          <w:tcPr>
            <w:tcW w:type="dxa" w:w="396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pgvector 或独立向量服务，按容量与检索要求选型</w:t>
            </w:r>
          </w:p>
        </w:tc>
      </w:tr>
      <w:tr>
        <w:tc>
          <w:tcPr>
            <w:tcW w:type="dxa" w:w="175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本地文件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单节点资料和解析资产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对象存储，配合内容哈希、版本和生命周期策略</w:t>
            </w:r>
          </w:p>
        </w:tc>
      </w:tr>
      <w:tr>
        <w:tc>
          <w:tcPr>
            <w:tcW w:type="dxa" w:w="1757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本地 JSON 配置</w:t>
            </w:r>
          </w:p>
        </w:tc>
        <w:tc>
          <w:tcPr>
            <w:tcW w:type="dxa" w:w="3515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单进程模型注册</w:t>
            </w:r>
          </w:p>
        </w:tc>
        <w:tc>
          <w:tcPr>
            <w:tcW w:type="dxa" w:w="396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集中配置与密钥管理，提供审计和版本控制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缺少版本化数据库迁移</w:t>
      </w:r>
    </w:p>
    <w:p>
      <w:r>
        <w:t>当前存储类在初始化时建表或补列，适合本地应用快速演进，但无法满足生产环境对变更顺序、审计、回滚、灰度兼容和大表迁移的要求。建议引入正式迁移工具，所有 schema 变更形成不可变迁移记录，并在 CI 中验证空库升级、历史版本升级和重复执行。</w:t>
      </w:r>
    </w:p>
    <w:p>
      <w:pPr>
        <w:pStyle w:val="Heading1"/>
        <w:keepNext/>
      </w:pPr>
      <w:r>
        <w:t>四 P1 差距 稳定运营能力</w:t>
      </w:r>
    </w:p>
    <w:p>
      <w:pPr>
        <w:pStyle w:val="Heading2"/>
        <w:keepNext/>
      </w:pPr>
      <w:r>
        <w:t>4.1 持续集成和发布门禁缺失</w:t>
      </w:r>
    </w:p>
    <w:p>
      <w:r>
        <w:t>仓库尚未形成自动 CI 流程，也没有统一的 lint、类型检查、覆盖率门槛、依赖安全扫描和构建产物验证。默认测试能够通过，说明现有逻辑基础较好，但质量依赖开发者主动执行，无法证明每次提交均满足发布条件。</w:t>
      </w:r>
    </w:p>
    <w:p>
      <w:pPr>
        <w:pStyle w:val="ListBullet"/>
        <w:spacing w:after="60"/>
      </w:pPr>
      <w:r>
        <w:t>最低门禁：单元测试、关键集成测试、Ruff、类型检查、依赖漏洞扫描和构建验证。</w:t>
      </w:r>
    </w:p>
    <w:p>
      <w:pPr>
        <w:pStyle w:val="ListBullet"/>
        <w:spacing w:after="60"/>
      </w:pPr>
      <w:r>
        <w:t>发布阶段：生成版本化产物，记录依赖锁、配置变更和数据库迁移，保留可回滚版本。</w:t>
      </w:r>
    </w:p>
    <w:p>
      <w:pPr>
        <w:pStyle w:val="ListBullet"/>
        <w:spacing w:after="60"/>
      </w:pPr>
      <w:r>
        <w:t>RAG 质量：把 Recall@K、MRR、引用正确率和拒答准确率纳入独立评估任务。</w:t>
      </w:r>
    </w:p>
    <w:p>
      <w:pPr>
        <w:pStyle w:val="Heading2"/>
        <w:keepNext/>
      </w:pPr>
      <w:r>
        <w:t>4.2 可观测性不足</w:t>
      </w:r>
    </w:p>
    <w:p>
      <w:r>
        <w:t>当前已有标准日志和日志轮转，但成熟运营还需要结构化事件、请求关联 ID、指标、追踪、告警和服务等级目标。否则无法快速回答哪门课失败、哪份资料解析异常、哪个模型变慢、一次回答花费多少以及拒答率是否突增。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观测对象</w:t>
            </w:r>
          </w:p>
        </w:tc>
        <w:tc>
          <w:tcPr>
            <w:tcW w:type="dxa" w:w="6973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建议指标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HTTP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请求量、状态码、P50/P95/P99 延迟、活跃请求数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入库</w:t>
            </w:r>
          </w:p>
        </w:tc>
        <w:tc>
          <w:tcPr>
            <w:tcW w:type="dxa" w:w="6973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各阶段耗时、失败率、重试次数、队列等待时间、文档页数与 chunk 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检索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命中率、最高分分布、拒答率、rerank 耗时、跨课隔离负例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LLM</w:t>
            </w:r>
          </w:p>
        </w:tc>
        <w:tc>
          <w:tcPr>
            <w:tcW w:type="dxa" w:w="6973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provider、模型、token、费用、超时率、工具调用轮数和降级次数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基础设施</w:t>
            </w:r>
          </w:p>
        </w:tc>
        <w:tc>
          <w:tcPr>
            <w:tcW w:type="dxa" w:w="697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数据库连接、磁盘容量、向量规模、Worker 容量和对象存储错误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外部依赖的韧性治理未统一</w:t>
      </w:r>
    </w:p>
    <w:p>
      <w:r>
        <w:t>项目依赖 LLM、Embedding、MinerU、OCR、LibreOffice 和视觉模型等多个不稳定外部能力。虽然部分调用已有超时和回退，但仍缺统一的重试退避、熔断、并发限制、配额、成本预算、幂等和错误分类规范。建议建立统一客户端层，并对不同依赖分别定义超时预算和降级策略，避免一个解析器或模型故障拖垮整个服务。</w:t>
      </w:r>
    </w:p>
    <w:p>
      <w:pPr>
        <w:pStyle w:val="Heading2"/>
        <w:keepNext/>
      </w:pPr>
      <w:r>
        <w:t>4.4 测试仍偏向单机逻辑验证</w:t>
      </w:r>
    </w:p>
    <w:p>
      <w:r>
        <w:t>现有 pytest 已覆盖问答、入库、解析、检索隔离、Agent 和题库，是项目的重要优势。企业级交付仍需补充真实数据库、真实向量库、浏览器、迁移、并发、服务重启和权限越权场景。集成测试不应长期只依赖开发者手动执行。</w:t>
      </w:r>
    </w:p>
    <w:p>
      <w:pPr>
        <w:pStyle w:val="ListBullet"/>
        <w:spacing w:after="60"/>
      </w:pPr>
      <w:r>
        <w:t>增加 PostgreSQL 和目标向量库的容器化集成测试。</w:t>
      </w:r>
    </w:p>
    <w:p>
      <w:pPr>
        <w:pStyle w:val="ListBullet"/>
        <w:spacing w:after="60"/>
      </w:pPr>
      <w:r>
        <w:t>增加浏览器端到端测试，覆盖上传、问答、引用跳转、设置和题库。</w:t>
      </w:r>
    </w:p>
    <w:p>
      <w:pPr>
        <w:pStyle w:val="ListBullet"/>
        <w:spacing w:after="60"/>
      </w:pPr>
      <w:r>
        <w:t>增加大文件、畸形文件、并发上传、服务中断和任务恢复测试。</w:t>
      </w:r>
    </w:p>
    <w:p>
      <w:pPr>
        <w:pStyle w:val="ListBullet"/>
        <w:spacing w:after="60"/>
      </w:pPr>
      <w:r>
        <w:t>增加认证、课程越权、路径处理、提示注入和管理接口安全测试。</w:t>
      </w:r>
    </w:p>
    <w:p>
      <w:pPr>
        <w:pStyle w:val="Heading1"/>
        <w:keepNext/>
      </w:pPr>
      <w:r>
        <w:t>五 P2 差距 规模增长后的维护压力</w:t>
      </w:r>
    </w:p>
    <w:p>
      <w:pPr>
        <w:pStyle w:val="Heading2"/>
        <w:keepNext/>
      </w:pPr>
      <w:r>
        <w:t>5.1 解析模块内部职责过于集中</w:t>
      </w:r>
    </w:p>
    <w:p>
      <w:r>
        <w:t>parsing.py 同时负责格式路由、外部命令、PDF 质量判断、MinerU 适配、OCR、公式识别、Office 转换、视觉模型调用和解析资产持久化。其对外 parse_file 接口足够小，是一个有价值的深模块；问题在于内部 locality 不足，不同变化原因集中在同一文件。</w:t>
      </w:r>
    </w:p>
    <w:p>
      <w:r>
        <w:t>建议保持 parse_file(path) → ParsedDocument 的外部接口不变，仅拆分内部适配器，例如 pdf/mineru_adapter、pdf/pymupdf_adapter、office/docx_adapter、office/pptx_adapter、enrichment/formula 和 enrichment/vision。这样调用方不需要学习更多接口，维护者可以在局部修改和测试。</w:t>
      </w:r>
    </w:p>
    <w:p>
      <w:pPr>
        <w:pStyle w:val="Heading2"/>
        <w:keepNext/>
      </w:pPr>
      <w:r>
        <w:t>5.2 存储替换 seam 尚未由第二个实现验证</w:t>
      </w:r>
    </w:p>
    <w:p>
      <w:r>
        <w:t>业务代码已经把数据库访问集中到 storage 目录，这是正确方向；但依赖注入和类型仍直接引用具体的 ChromaVectorStore、SQLiteDocStore 等类。建议在真正引入 PostgreSQL 或其他向量存储时提取稳定 Protocol，并用第二个 adapter 验证接口。不要仅为假设性扩展提前制造大量抽象。</w:t>
      </w:r>
    </w:p>
    <w:p>
      <w:pPr>
        <w:pStyle w:val="Heading2"/>
        <w:keepNext/>
      </w:pPr>
      <w:r>
        <w:t>5.3 前端工程化能力会随产品复杂度下降</w:t>
      </w:r>
    </w:p>
    <w:p>
      <w:r>
        <w:t>原生 HTML、CSS 和 JavaScript 让当前项目部署简单，但随着流式问答、Agent 轨迹、题库、设置和文档治理继续增长，页面状态、请求模型、DOM 操作和公共交互容易重复。短期可先建立模块边界、统一请求客户端、错误处理和浏览器测试；当复杂交互明显增加后，再评估引入带类型系统的前端工程，而不是立即全面重写。</w:t>
      </w:r>
    </w:p>
    <w:p>
      <w:pPr>
        <w:pStyle w:val="Heading1"/>
        <w:keepNext/>
      </w:pPr>
      <w:r>
        <w:t>六 已具备的成熟基础</w:t>
      </w:r>
    </w:p>
    <w:p>
      <w:r>
        <w:t>差距分析不意味着现有设计需要推倒重来。项目已经具备多项值得保留的基础，这些能力应成为后续企业化改造的稳定核心。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3402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已有基础</w:t>
            </w:r>
          </w:p>
        </w:tc>
        <w:tc>
          <w:tcPr>
            <w:tcW w:type="dxa" w:w="5839"/>
            <w:vAlign w:val="center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价值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证据阈值和强制拒答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把模型生成限制在有效资料之上，降低无依据回答</w:t>
            </w:r>
          </w:p>
        </w:tc>
      </w:tr>
      <w:tr>
        <w:tc>
          <w:tcPr>
            <w:tcW w:type="dxa" w:w="340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course_id 全链路隔离</w:t>
            </w:r>
          </w:p>
        </w:tc>
        <w:tc>
          <w:tcPr>
            <w:tcW w:type="dxa" w:w="583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为后续课程授权提供明确的数据范围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入库与查询流水线分离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解析、检索和生成可以独立演进</w:t>
            </w:r>
          </w:p>
        </w:tc>
      </w:tr>
      <w:tr>
        <w:tc>
          <w:tcPr>
            <w:tcW w:type="dxa" w:w="340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存储访问集中</w:t>
            </w:r>
          </w:p>
        </w:tc>
        <w:tc>
          <w:tcPr>
            <w:tcW w:type="dxa" w:w="583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未来替换数据库时影响面相对可控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文档影子入库后切换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新版失败不会破坏当前有效版本</w:t>
            </w:r>
          </w:p>
        </w:tc>
      </w:tr>
      <w:tr>
        <w:tc>
          <w:tcPr>
            <w:tcW w:type="dxa" w:w="340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Agent 复用主链路</w:t>
            </w:r>
          </w:p>
        </w:tc>
        <w:tc>
          <w:tcPr>
            <w:tcW w:type="dxa" w:w="583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避免出现不可审计的第二套检索与生成逻辑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证据时效与权威治理</w:t>
            </w:r>
          </w:p>
        </w:tc>
        <w:tc>
          <w:tcPr>
            <w:tcW w:type="dxa" w:w="583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比只按相似度排序更接近真实业务要求</w:t>
            </w:r>
          </w:p>
        </w:tc>
      </w:tr>
      <w:tr>
        <w:tc>
          <w:tcPr>
            <w:tcW w:type="dxa" w:w="3402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sz w:val="17"/>
              </w:rPr>
              <w:t>核心链路测试</w:t>
            </w:r>
          </w:p>
        </w:tc>
        <w:tc>
          <w:tcPr>
            <w:tcW w:type="dxa" w:w="5839"/>
            <w:vAlign w:val="center"/>
            <w:shd w:fill="F3F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>
              <w:rPr>
                <w:sz w:val="17"/>
              </w:rPr>
              <w:t>为后续重构提供基本安全网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七 建议的企业化实施路线</w:t>
      </w:r>
    </w:p>
    <w:p>
      <w:pPr>
        <w:pStyle w:val="Heading2"/>
        <w:keepNext/>
      </w:pPr>
      <w:r>
        <w:t>阶段一 安全可控</w:t>
      </w:r>
    </w:p>
    <w:p>
      <w:pPr>
        <w:pStyle w:val="ListNumber"/>
        <w:spacing w:after="80"/>
      </w:pPr>
      <w:r>
        <w:t>建立用户身份、角色和课程级授权模型，保护管理接口并收紧 CORS。</w:t>
      </w:r>
    </w:p>
    <w:p>
      <w:pPr>
        <w:pStyle w:val="ListNumber"/>
        <w:spacing w:after="80"/>
      </w:pPr>
      <w:r>
        <w:t>增加敏感操作审计，接入集中密钥管理，禁止通过普通配置接口返回秘密值。</w:t>
      </w:r>
    </w:p>
    <w:p>
      <w:pPr>
        <w:pStyle w:val="ListNumber"/>
        <w:spacing w:after="80"/>
      </w:pPr>
      <w:r>
        <w:t>建立最小 CI 门禁，确保每次变更自动执行测试、静态检查和依赖扫描。</w:t>
      </w:r>
    </w:p>
    <w:p>
      <w:pPr>
        <w:pStyle w:val="Heading2"/>
        <w:keepNext/>
      </w:pPr>
      <w:r>
        <w:t>阶段二 可靠运行</w:t>
      </w:r>
    </w:p>
    <w:p>
      <w:pPr>
        <w:pStyle w:val="ListNumber"/>
        <w:spacing w:after="80"/>
      </w:pPr>
      <w:r>
        <w:t>把入库迁移为持久化任务和独立 Worker，补齐幂等、重试、取消和恢复。</w:t>
      </w:r>
    </w:p>
    <w:p>
      <w:pPr>
        <w:pStyle w:val="ListNumber"/>
        <w:spacing w:after="80"/>
      </w:pPr>
      <w:r>
        <w:t>引入 PostgreSQL、对象存储和版本化数据库迁移；根据检索规模选择 pgvector 或独立向量服务。</w:t>
      </w:r>
    </w:p>
    <w:p>
      <w:pPr>
        <w:pStyle w:val="ListNumber"/>
        <w:spacing w:after="80"/>
      </w:pPr>
      <w:r>
        <w:t>建立结构化日志、请求关联、核心指标、告警和 LLM 成本观测。</w:t>
      </w:r>
    </w:p>
    <w:p>
      <w:pPr>
        <w:pStyle w:val="Heading2"/>
        <w:keepNext/>
      </w:pPr>
      <w:r>
        <w:t>阶段三 持续交付</w:t>
      </w:r>
    </w:p>
    <w:p>
      <w:pPr>
        <w:pStyle w:val="ListNumber"/>
        <w:spacing w:after="80"/>
      </w:pPr>
      <w:r>
        <w:t>增加真实存储集成测试、浏览器端到端测试、迁移测试和故障恢复测试。</w:t>
      </w:r>
    </w:p>
    <w:p>
      <w:pPr>
        <w:pStyle w:val="ListNumber"/>
        <w:spacing w:after="80"/>
      </w:pPr>
      <w:r>
        <w:t>建立版本化发布、灰度、回滚和配置兼容策略。</w:t>
      </w:r>
    </w:p>
    <w:p>
      <w:pPr>
        <w:pStyle w:val="ListNumber"/>
        <w:spacing w:after="80"/>
      </w:pPr>
      <w:r>
        <w:t>把检索效果与拒答质量纳入持续评估，避免功能升级造成静默质量退化。</w:t>
      </w:r>
    </w:p>
    <w:p>
      <w:pPr>
        <w:pStyle w:val="Heading2"/>
        <w:keepNext/>
      </w:pPr>
      <w:r>
        <w:t>阶段四 规模化优化</w:t>
      </w:r>
    </w:p>
    <w:p>
      <w:pPr>
        <w:pStyle w:val="ListNumber"/>
        <w:spacing w:after="80"/>
      </w:pPr>
      <w:r>
        <w:t>在需求驱动下拆分解析模块内部适配器，保持外部接口稳定。</w:t>
      </w:r>
    </w:p>
    <w:p>
      <w:pPr>
        <w:pStyle w:val="ListNumber"/>
        <w:spacing w:after="80"/>
      </w:pPr>
      <w:r>
        <w:t>使用第二套存储 adapter 验证并固化存储接口，而不是提前过度抽象。</w:t>
      </w:r>
    </w:p>
    <w:p>
      <w:pPr>
        <w:pStyle w:val="ListNumber"/>
        <w:spacing w:after="80"/>
      </w:pPr>
      <w:r>
        <w:t>根据实际页面复杂度逐步提升前端类型安全、状态管理和可测试性。</w:t>
      </w:r>
    </w:p>
    <w:p>
      <w:pPr>
        <w:pStyle w:val="Heading1"/>
        <w:keepNext/>
      </w:pPr>
      <w:r>
        <w:t>八 验收建议</w:t>
      </w:r>
    </w:p>
    <w:p>
      <w:r>
        <w:t>当以下条件满足时，可以认为项目从本地工具进入了可受控运营的平台阶段：</w:t>
      </w:r>
    </w:p>
    <w:p>
      <w:pPr>
        <w:pStyle w:val="ListBullet"/>
        <w:spacing w:after="60"/>
      </w:pPr>
      <w:r>
        <w:t>任何资料、问答、题库和配置操作都经过身份和课程授权校验。</w:t>
      </w:r>
    </w:p>
    <w:p>
      <w:pPr>
        <w:pStyle w:val="ListBullet"/>
        <w:spacing w:after="60"/>
      </w:pPr>
      <w:r>
        <w:t>大文件入库不会占用 Web 请求进程，服务重启后任务可继续或安全重试。</w:t>
      </w:r>
    </w:p>
    <w:p>
      <w:pPr>
        <w:pStyle w:val="ListBullet"/>
        <w:spacing w:after="60"/>
      </w:pPr>
      <w:r>
        <w:t>数据库和原始资料有自动备份、恢复演练和明确保留策略。</w:t>
      </w:r>
    </w:p>
    <w:p>
      <w:pPr>
        <w:pStyle w:val="ListBullet"/>
        <w:spacing w:after="60"/>
      </w:pPr>
      <w:r>
        <w:t>每次提交自动通过测试、静态检查、迁移验证和安全扫描。</w:t>
      </w:r>
    </w:p>
    <w:p>
      <w:pPr>
        <w:pStyle w:val="ListBullet"/>
        <w:spacing w:after="60"/>
      </w:pPr>
      <w:r>
        <w:t>可以通过指标和追踪定位一次回答或入库在各阶段的耗时、错误和成本。</w:t>
      </w:r>
    </w:p>
    <w:p>
      <w:pPr>
        <w:pStyle w:val="ListBullet"/>
        <w:spacing w:after="60"/>
      </w:pPr>
      <w:r>
        <w:t>生产发布具备版本、灰度、回滚和配置兼容说明。</w:t>
      </w:r>
    </w:p>
    <w:p>
      <w:pPr>
        <w:pStyle w:val="ListBullet"/>
        <w:spacing w:after="60"/>
      </w:pPr>
      <w:r>
        <w:t>检索质量、引用正确率和拒答准确率有可重复评估基线。</w:t>
      </w:r>
    </w:p>
    <w:p>
      <w:pPr>
        <w:pStyle w:val="Heading1"/>
        <w:keepNext/>
      </w:pPr>
      <w:r>
        <w:t>九 最终判断</w:t>
      </w:r>
    </w:p>
    <w:p>
      <w:r>
        <w:t>溯知当前不是简单的 RAG 演示，而是一套架构意识较强、业务规则清楚、核心能力较完整的单机产品。其与成熟企业项目的主要差距集中在平台治理，而非核心问答功能。后续最优策略不是继续堆叠模型和 Agent 能力，而是优先建设认证授权、异步任务、可靠存储、迁移、可观测性和持续交付。完成这些基础工作后，现有检索、证据治理、文档版本和题库能力才能在多用户和生产环境中稳定发挥价值。</w:t>
      </w:r>
    </w:p>
    <w:p>
      <w:pPr>
        <w:pStyle w:val="Heading1"/>
        <w:keepNext/>
      </w:pPr>
      <w:r>
        <w:t>附录 评估依据</w:t>
      </w:r>
    </w:p>
    <w:p>
      <w:r>
        <w:t>本次判断主要依据仓库中的实际实现和工程约束，重点核对了以下内容。该附录用于说明结论来源，不替代后续正式的安全测试、容量测试和生产演练。</w:t>
      </w:r>
    </w:p>
    <w:p>
      <w:pPr>
        <w:pStyle w:val="ListBullet"/>
        <w:spacing w:after="60"/>
      </w:pPr>
      <w:r>
        <w:t>应用和依赖注入：src/main.py、src/dependencies.py、src/apis/router.py。</w:t>
      </w:r>
    </w:p>
    <w:p>
      <w:pPr>
        <w:pStyle w:val="ListBullet"/>
        <w:spacing w:after="60"/>
      </w:pPr>
      <w:r>
        <w:t>核心流水线：src/services/ingestion.py、parsing.py、query.py、retrieval.py、generation.py。</w:t>
      </w:r>
    </w:p>
    <w:p>
      <w:pPr>
        <w:pStyle w:val="ListBullet"/>
        <w:spacing w:after="60"/>
      </w:pPr>
      <w:r>
        <w:t>持久化：src/services/storage 下的向量、文档、目录、会话和题库存储实现。</w:t>
      </w:r>
    </w:p>
    <w:p>
      <w:pPr>
        <w:pStyle w:val="ListBullet"/>
        <w:spacing w:after="60"/>
      </w:pPr>
      <w:r>
        <w:t>扩展能力：src/services/agent、src/services/question_bank.py、src/services/document_updates.py。</w:t>
      </w:r>
    </w:p>
    <w:p>
      <w:pPr>
        <w:pStyle w:val="ListBullet"/>
        <w:spacing w:after="60"/>
      </w:pPr>
      <w:r>
        <w:t>工程规则：AGENTS.md、docs/02-模块架构.md、docs/03-工程规范.md、docs/04-后续演进规范.md。</w:t>
      </w:r>
    </w:p>
    <w:p>
      <w:pPr>
        <w:pStyle w:val="ListBullet"/>
        <w:spacing w:after="60"/>
      </w:pPr>
      <w:r>
        <w:t>验证结果：默认 pytest 执行结果为 197 passed、1 skipped、22 deselected；另有第三方依赖弃用警告。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溯知项目企业级差距分析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