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93203">
      <w:pPr>
        <w:jc w:val="left"/>
      </w:pPr>
      <w:r>
        <w:t>June 25, 2026</w:t>
      </w:r>
    </w:p>
    <w:p w14:paraId="4C96EC7C"/>
    <w:p w14:paraId="573B81DB">
      <w:r>
        <w:t>The Editors</w:t>
      </w:r>
      <w:r>
        <w:br w:type="textWrapping"/>
      </w:r>
      <w:r>
        <w:t>Social Science &amp; Medicine</w:t>
      </w:r>
      <w:r>
        <w:br w:type="textWrapping"/>
      </w:r>
      <w:r>
        <w:t>Health Policy Office</w:t>
      </w:r>
    </w:p>
    <w:p w14:paraId="028E9D4C"/>
    <w:p w14:paraId="288F5DB1">
      <w:r>
        <w:t>Dear Editors,</w:t>
      </w:r>
    </w:p>
    <w:p w14:paraId="6D46E376">
      <w:r>
        <w:rPr>
          <w:i w:val="0"/>
        </w:rPr>
        <w:t xml:space="preserve">We submit our manuscript entitled </w:t>
      </w:r>
      <w:r>
        <w:rPr>
          <w:i/>
        </w:rPr>
        <w:t>"Institutional coupling as a framework for understanding drug price regulation effects on health worker remuneration: descriptive evidence from China's health industry wage decline and three-country comparison"</w:t>
      </w:r>
      <w:r>
        <w:rPr>
          <w:i w:val="0"/>
        </w:rPr>
        <w:t xml:space="preserve"> for consideration in </w:t>
      </w:r>
      <w:r>
        <w:rPr>
          <w:i/>
        </w:rPr>
        <w:t>Social Science &amp; Medicine</w:t>
      </w:r>
      <w:r>
        <w:rPr>
          <w:i w:val="0"/>
        </w:rPr>
        <w:t xml:space="preserve"> (Health Policy Office).</w:t>
      </w:r>
    </w:p>
    <w:p w14:paraId="2ECA0BDD">
      <w:r>
        <w:t>We report a descriptive finding that, to our knowledge, has not been previously documented: China's health industry experienced an absolute nominal wage decline in 2024, confirmed in five provinces (Guangdong, Jiangsu, Shandong, Henan, Sichuan; mean −1.8%), while all-industry averages rose or remained flat. This finding is confirmed by official provincial statistical bureau data.</w:t>
      </w:r>
    </w:p>
    <w:p w14:paraId="26387D77">
      <w:r>
        <w:t>Rather than claiming to have identified the causal mechanism, we propose the Institutional Transmission Model (ITM) as a theoretical framework for interpreting these patterns. The ITM framework suggests that drug price regulation may affect health worker remuneration when compensation is structurally coupled to institutional drug revenue—a hypothesis consistent with three-country comparison (South Korea: decoupled, remuneration +22%; United Kingdom: partially decoupled, −9%; China: coupled, −5.2%).</w:t>
      </w:r>
    </w:p>
    <w:p w14:paraId="379C7DAE">
      <w:r>
        <w:t>We believe this work is well suited to Social Science &amp; Medicine for three reasons. First, the ITM framework connects to established traditions in health economics (Robinson on provider payment incentives; Eggleston and Hsieh on China's transitional payment environment) while extending theory to the dynamic case of policy shocks. Second, the descriptive evidence—confirmed across five provinces and triangulated across multiple analytical approaches—provides a foundation for hypothesis generation rather than definitive causal claims, which we believe is appropriate for observational ecological data. Third, the policy hypotheses we outline are relevant to the global expansion of drug price regulation, particularly in low- and middle-income countries adopting volume-based procurement programmes (Vietnam, Thailand, Indonesia, Brazil).</w:t>
      </w:r>
    </w:p>
    <w:p w14:paraId="4BB03415">
      <w:r>
        <w:t>We have taken care to distinguish what our data can and cannot support. We do not claim to have established causality. We report all analyses conducted, including those with null or inconclusive results. We have followed the STROBE reporting guideline (checklist attached). The study was not pre-registered; all analyses are exploratory. All data are from publicly available sources, and all analysis code is openly available at https://github.com/tongyuanzhongzhi/vbp-itm-china.</w:t>
      </w:r>
    </w:p>
    <w:p w14:paraId="178721A8">
      <w:r>
        <w:t>The manuscript has not been published previously and is not under consideration elsewhere. All authors have approved the submitted version. Zhensheng Dai (corresponding author) affirms that the manuscript is an honest, accurate, and transparent account of the study being reported.</w:t>
      </w:r>
    </w:p>
    <w:p w14:paraId="3B7970F4"/>
    <w:p w14:paraId="49698075">
      <w:r>
        <w:t>Thank you for your consideration.</w:t>
      </w:r>
    </w:p>
    <w:p w14:paraId="3C5D1859"/>
    <w:p w14:paraId="5FEEF6EF">
      <w:r>
        <w:t>Sincerely,</w:t>
      </w:r>
    </w:p>
    <w:p w14:paraId="4DCD7EB3"/>
    <w:p w14:paraId="12C2326C">
      <w:r>
        <w:rPr>
          <w:b/>
        </w:rPr>
        <w:t>Zhensheng Dai, MD</w:t>
      </w:r>
      <w:r>
        <w:rPr>
          <w:rFonts w:hint="eastAsia" w:eastAsia="宋体"/>
          <w:b/>
          <w:lang w:val="en-US" w:eastAsia="zh-CN"/>
        </w:rPr>
        <w:t>/PhD</w:t>
      </w:r>
      <w:r>
        <w:br w:type="textWrapping"/>
      </w:r>
      <w:r>
        <w:t>Department of Orthopedics, Shanghai Pudong Hospital</w:t>
      </w:r>
      <w:r>
        <w:rPr>
          <w:rFonts w:hint="default"/>
          <w:lang w:val="en-US"/>
        </w:rPr>
        <w:t xml:space="preserve">, </w:t>
      </w:r>
      <w:r>
        <w:t>Fudan University Pudong Medical Center</w:t>
      </w:r>
      <w:r>
        <w:rPr>
          <w:rFonts w:hint="default"/>
          <w:lang w:val="en-US"/>
        </w:rPr>
        <w:t xml:space="preserve">. </w:t>
      </w:r>
      <w:r>
        <w:t>Shanghai, China</w:t>
      </w:r>
      <w:r>
        <w:br w:type="textWrapping"/>
      </w:r>
      <w:r>
        <w:t xml:space="preserve">Email: </w:t>
      </w:r>
      <w:r>
        <w:rPr>
          <w:rFonts w:hint="eastAsia" w:eastAsia="宋体"/>
          <w:lang w:val="en-US" w:eastAsia="zh-CN"/>
        </w:rPr>
        <w:t>20505</w:t>
      </w:r>
      <w:r>
        <w:t>@</w:t>
      </w:r>
      <w:r>
        <w:rPr>
          <w:rFonts w:hint="eastAsia" w:eastAsia="宋体"/>
          <w:lang w:val="en-US" w:eastAsia="zh-CN"/>
        </w:rPr>
        <w:t>sh</w:t>
      </w:r>
      <w:r>
        <w:rPr>
          <w:rFonts w:hint="default" w:eastAsia="宋体"/>
          <w:lang w:val="en-US" w:eastAsia="zh-CN"/>
        </w:rPr>
        <w:t>pdh.org</w:t>
      </w:r>
      <w:r>
        <w:br w:type="textWrapping"/>
      </w:r>
      <w:r>
        <w:t>ORCID: 0009-0009-7476-8163</w:t>
      </w:r>
    </w:p>
    <w:p w14:paraId="06C55D00">
      <w:bookmarkStart w:id="0" w:name="_GoBack"/>
      <w:bookmarkEnd w:id="0"/>
    </w:p>
    <w:p w14:paraId="26E7F5FB">
      <w:r>
        <w:rPr>
          <w:i/>
        </w:rPr>
        <w:t>On behalf of all authors:</w:t>
      </w:r>
    </w:p>
    <w:p w14:paraId="05E73019">
      <w:r>
        <w:t>Yueling Jin</w:t>
      </w:r>
      <w:r>
        <w:br w:type="textWrapping"/>
      </w:r>
      <w:r>
        <w:t>Shanghai Science and Technology Museum, Shanghai, China</w:t>
      </w:r>
    </w:p>
    <w:p w14:paraId="4DA0062F"/>
    <w:p w14:paraId="3F8AF316">
      <w:r>
        <w:rPr>
          <w:b/>
        </w:rPr>
        <w:t>Zhensheng Dai</w:t>
      </w:r>
      <w:r>
        <w:t xml:space="preserve"> (first and corresponding author)</w:t>
      </w:r>
      <w:r>
        <w:br w:type="textWrapping"/>
      </w:r>
      <w:r>
        <w:t>Shanghai Pudong Hospital, Fudan University Pudong Medical Center, Shanghai, China</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FDB88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WPS_1780034221</cp:lastModifiedBy>
  <dcterms:modified xsi:type="dcterms:W3CDTF">2026-06-25T12:27:57Z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2052-12.1.26015.26015</vt:lpwstr>
  </property>
  <property fmtid="{D5CDD505-2E9C-101B-9397-08002B2CF9AE}" pid="3" name="ICV">
    <vt:lpwstr>252652B138F3A10C4DAE3C6A48694A52_42</vt:lpwstr>
  </property>
</Properties>
</file>