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  <Override PartName="/word/media/rId15.png" ContentType="image/png"/>
  <Override PartName="/word/media/rId18.png" ContentType="image/png"/>
  <Override PartName="/word/media/rId21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Institutional coupling as a framework for understanding drug price</w:t>
      </w:r>
      <w:r>
        <w:rPr>
          <w:b/>
          <w:bCs/>
        </w:rPr>
        <w:t xml:space="preserve"> </w:t>
      </w:r>
      <w:r>
        <w:rPr>
          <w:b/>
          <w:bCs/>
        </w:rPr>
        <w:t xml:space="preserve">regulation effects on health worker remuneration: descriptive evidence</w:t>
      </w:r>
      <w:r>
        <w:rPr>
          <w:b/>
          <w:bCs/>
        </w:rPr>
        <w:t xml:space="preserve"> </w:t>
      </w:r>
      <w:r>
        <w:rPr>
          <w:b/>
          <w:bCs/>
        </w:rPr>
        <w:t xml:space="preserve">from China’s health industry wage decline and three-country comparison</w:t>
      </w:r>
    </w:p>
    <w:p>
      <w:pPr>
        <w:pStyle w:val="BodyText"/>
      </w:pPr>
      <w:r>
        <w:t xml:space="preserve">Zhensheng Dai1*, Yueling Jin2</w:t>
      </w:r>
    </w:p>
    <w:p>
      <w:pPr>
        <w:pStyle w:val="BodyText"/>
      </w:pPr>
      <w:r>
        <w:t xml:space="preserve">1 Department of Hematology, Shanghai Pudong Hospital, Fudan University</w:t>
      </w:r>
      <w:r>
        <w:t xml:space="preserve"> </w:t>
      </w:r>
      <w:r>
        <w:t xml:space="preserve">Pudong Medical Center, Shanghai, China</w:t>
      </w:r>
    </w:p>
    <w:p>
      <w:pPr>
        <w:pStyle w:val="BodyText"/>
      </w:pPr>
      <w:r>
        <w:t xml:space="preserve">2 Shanghai Science and Technology Museum, Shanghai, China</w:t>
      </w:r>
    </w:p>
    <w:p>
      <w:pPr>
        <w:pStyle w:val="BodyText"/>
      </w:pPr>
      <w:r>
        <w:t xml:space="preserve">* Corresponding author: Zhensheng Dai, Department of Hematology,</w:t>
      </w:r>
      <w:r>
        <w:t xml:space="preserve"> </w:t>
      </w:r>
      <w:r>
        <w:t xml:space="preserve">Shanghai Pudong Hospital, Fudan University Pudong Medical Center,</w:t>
      </w:r>
      <w:r>
        <w:t xml:space="preserve"> </w:t>
      </w:r>
      <w:r>
        <w:t xml:space="preserve">Shanghai, China. Email: 20505@shpdh.org. ORCID: 0009-0009-7476-8163.</w:t>
      </w:r>
    </w:p>
    <w:p>
      <w:pPr>
        <w:pStyle w:val="BodyText"/>
      </w:pPr>
      <w:r>
        <w:rPr>
          <w:b/>
          <w:bCs/>
        </w:rPr>
        <w:t xml:space="preserve">Background</w:t>
      </w:r>
      <w:r>
        <w:br/>
      </w:r>
      <w:r>
        <w:t xml:space="preserve">China’s health industry wages declined in absolute nominal terms in</w:t>
      </w:r>
      <w:r>
        <w:t xml:space="preserve"> </w:t>
      </w:r>
      <w:r>
        <w:t xml:space="preserve">2024—one of only two sectors to experience this (public administration</w:t>
      </w:r>
      <w:r>
        <w:t xml:space="preserve"> </w:t>
      </w:r>
      <w:r>
        <w:t xml:space="preserve">also declined −1.9%). We propose an Institutional Transmission Model</w:t>
      </w:r>
      <w:r>
        <w:t xml:space="preserve"> </w:t>
      </w:r>
      <w:r>
        <w:t xml:space="preserve">(ITM) as a framework for interpreting these patterns: drug price</w:t>
      </w:r>
      <w:r>
        <w:t xml:space="preserve"> </w:t>
      </w:r>
      <w:r>
        <w:t xml:space="preserve">regulation may affect remuneration when compensation is structurally</w:t>
      </w:r>
      <w:r>
        <w:t xml:space="preserve"> </w:t>
      </w:r>
      <w:r>
        <w:t xml:space="preserve">coupled to institutional drug revenue. We explore whether observed wage</w:t>
      </w:r>
      <w:r>
        <w:t xml:space="preserve"> </w:t>
      </w:r>
      <w:r>
        <w:t xml:space="preserve">patterns are consistent with this framework using provincial variation</w:t>
      </w:r>
      <w:r>
        <w:t xml:space="preserve"> </w:t>
      </w:r>
      <w:r>
        <w:t xml:space="preserve">and three-country comparison.</w:t>
      </w:r>
      <w:r>
        <w:br/>
      </w:r>
      <w:r>
        <w:rPr>
          <w:b/>
          <w:bCs/>
        </w:rPr>
        <w:t xml:space="preserve">Methods</w:t>
      </w:r>
      <w:r>
        <w:br/>
      </w:r>
      <w:r>
        <w:t xml:space="preserve">We analysed China’s NBS wage data for seven industries (2015–2025;</w:t>
      </w:r>
      <w:r>
        <w:t xml:space="preserve"> </w:t>
      </w:r>
      <w:r>
        <w:t xml:space="preserve">industry-level), provincial panel data for 31 provinces (5 quality-A</w:t>
      </w:r>
      <w:r>
        <w:t xml:space="preserve"> </w:t>
      </w:r>
      <w:r>
        <w:t xml:space="preserve">confirmed from provincial bureaus), Japan’s MHLW data</w:t>
      </w:r>
      <w:r>
        <w:t xml:space="preserve"> </w:t>
      </w:r>
      <w:r>
        <w:t xml:space="preserve">(1991–2024), and OECD data. Patterns were examined using: Bai-Perron</w:t>
      </w:r>
      <w:r>
        <w:t xml:space="preserve"> </w:t>
      </w:r>
      <w:r>
        <w:t xml:space="preserve">structural break detection, provincial difference-in-differences (DID)</w:t>
      </w:r>
      <w:r>
        <w:t xml:space="preserve"> </w:t>
      </w:r>
      <w:r>
        <w:t xml:space="preserve">exploiting VBP intensity variation, interrupted time series with</w:t>
      </w:r>
      <w:r>
        <w:t xml:space="preserve"> </w:t>
      </w:r>
      <w:r>
        <w:t xml:space="preserve">non-health industry controls, three-country institutional comparison</w:t>
      </w:r>
      <w:r>
        <w:t xml:space="preserve"> </w:t>
      </w:r>
      <w:r>
        <w:t xml:space="preserve">(directional only), and micro-level evidence from physician surveys</w:t>
      </w:r>
      <w:r>
        <w:t xml:space="preserve"> </w:t>
      </w:r>
      <w:r>
        <w:t xml:space="preserve">(n=29,469) and hospital monitoring (n=2,168). Manski bounds and</w:t>
      </w:r>
      <w:r>
        <w:t xml:space="preserve"> </w:t>
      </w:r>
      <w:r>
        <w:t xml:space="preserve">order-of-magnitude coupling coefficient estimation assessed robustness.</w:t>
      </w:r>
      <w:r>
        <w:br/>
      </w:r>
      <w:r>
        <w:rPr>
          <w:b/>
          <w:bCs/>
        </w:rPr>
        <w:t xml:space="preserve">Findings</w:t>
      </w:r>
      <w:r>
        <w:br/>
      </w:r>
      <w:r>
        <w:t xml:space="preserve">In China’s two largest economies, health wages declined in absolute</w:t>
      </w:r>
      <w:r>
        <w:t xml:space="preserve"> </w:t>
      </w:r>
      <w:r>
        <w:t xml:space="preserve">nominal terms: Guangdong −0.3% (197,354 to 196,745 yuan) and Jiangsu</w:t>
      </w:r>
      <w:r>
        <w:t xml:space="preserve"> </w:t>
      </w:r>
      <w:r>
        <w:t xml:space="preserve">−1.5% (167,041 to 164,574 yuan) from 2023 to 2024, while all-industry</w:t>
      </w:r>
      <w:r>
        <w:t xml:space="preserve"> </w:t>
      </w:r>
      <w:r>
        <w:t xml:space="preserve">averages rose +3.0% and +3.3%; three further confirmed provinces</w:t>
      </w:r>
      <w:r>
        <w:t xml:space="preserve"> </w:t>
      </w:r>
      <w:r>
        <w:t xml:space="preserve">(Shandong, Henan, Sichuan) showed declines (mean −1.8%). Provincial DID</w:t>
      </w:r>
      <w:r>
        <w:t xml:space="preserve"> </w:t>
      </w:r>
      <w:r>
        <w:t xml:space="preserve">showed greater VBP intensity was associated with greater decline</w:t>
      </w:r>
      <w:r>
        <w:t xml:space="preserve"> </w:t>
      </w:r>
      <w:r>
        <w:t xml:space="preserve">(β=−0.0009, p=0.005), with the coefficient robust to Manski bounds</w:t>
      </w:r>
      <w:r>
        <w:t xml:space="preserve"> </w:t>
      </w:r>
      <w:r>
        <w:t xml:space="preserve">under plausible measurement error. The coupling coefficient κ was</w:t>
      </w:r>
      <w:r>
        <w:t xml:space="preserve"> </w:t>
      </w:r>
      <w:r>
        <w:t xml:space="preserve">estimated at 0.02–0.04 (order-of-magnitude, two-province basis). Because</w:t>
      </w:r>
      <w:r>
        <w:t xml:space="preserve"> </w:t>
      </w:r>
      <w:r>
        <w:t xml:space="preserve">VBP and DRG/DIP reform were implemented concurrently and both reduce</w:t>
      </w:r>
      <w:r>
        <w:t xml:space="preserve"> </w:t>
      </w:r>
      <w:r>
        <w:t xml:space="preserve">hospital surplus, their effects on compensation could not be separated;</w:t>
      </w:r>
      <w:r>
        <w:t xml:space="preserve"> </w:t>
      </w:r>
      <w:r>
        <w:t xml:space="preserve">both are consistent with the same coupled-transmission channel. South</w:t>
      </w:r>
      <w:r>
        <w:t xml:space="preserve"> </w:t>
      </w:r>
      <w:r>
        <w:t xml:space="preserve">Korea’s decoupled system was directionally associated with rising</w:t>
      </w:r>
      <w:r>
        <w:t xml:space="preserve"> </w:t>
      </w:r>
      <w:r>
        <w:t xml:space="preserve">remuneration (+22%); the UK’s partially decoupled system with a moderate</w:t>
      </w:r>
      <w:r>
        <w:t xml:space="preserve"> </w:t>
      </w:r>
      <w:r>
        <w:t xml:space="preserve">decline (−9%); China’s coupled system with the most pronounced decline</w:t>
      </w:r>
      <w:r>
        <w:t xml:space="preserve"> </w:t>
      </w:r>
      <w:r>
        <w:t xml:space="preserve">(−5.2%)—though cross-country comparison is limited by differing</w:t>
      </w:r>
      <w:r>
        <w:t xml:space="preserve"> </w:t>
      </w:r>
      <w:r>
        <w:t xml:space="preserve">measurement levels (industry-level vs physician-level) and is</w:t>
      </w:r>
      <w:r>
        <w:t xml:space="preserve"> </w:t>
      </w:r>
      <w:r>
        <w:t xml:space="preserve">suggestive rather than definitive. Hypothetical policy scenarios suggest</w:t>
      </w:r>
      <w:r>
        <w:t xml:space="preserve"> </w:t>
      </w:r>
      <w:r>
        <w:t xml:space="preserve">that partial decoupling, with an illustrative fiscal cost on the order of</w:t>
      </w:r>
      <w:r>
        <w:t xml:space="preserve"> </w:t>
      </w:r>
      <w:r>
        <w:t xml:space="preserve">¥2,000–3,000 billion/year, might stabilise the health-to-average wage</w:t>
      </w:r>
      <w:r>
        <w:t xml:space="preserve"> </w:t>
      </w:r>
      <w:r>
        <w:t xml:space="preserve">ratio at approximately 1.12–1.15, though these estimates are</w:t>
      </w:r>
      <w:r>
        <w:t xml:space="preserve"> </w:t>
      </w:r>
      <w:r>
        <w:t xml:space="preserve">order-of-magnitude and depend on uncertain coupling parameters.</w:t>
      </w:r>
      <w:r>
        <w:br/>
      </w:r>
      <w:r>
        <w:rPr>
          <w:b/>
          <w:bCs/>
        </w:rPr>
        <w:t xml:space="preserve">Interpretation</w:t>
      </w:r>
      <w:r>
        <w:br/>
      </w:r>
      <w:r>
        <w:t xml:space="preserve">China’s health industry wage decline coincides with both public fiscal</w:t>
      </w:r>
      <w:r>
        <w:t xml:space="preserve"> </w:t>
      </w:r>
      <w:r>
        <w:t xml:space="preserve">austerity and the absence of structural decoupling between compensation</w:t>
      </w:r>
      <w:r>
        <w:t xml:space="preserve"> </w:t>
      </w:r>
      <w:r>
        <w:t xml:space="preserve">and institutional drug revenue. Patterns across provinces and countries</w:t>
      </w:r>
      <w:r>
        <w:t xml:space="preserve"> </w:t>
      </w:r>
      <w:r>
        <w:t xml:space="preserve">are directionally consistent with the ITM framework, which identifies</w:t>
      </w:r>
      <w:r>
        <w:t xml:space="preserve"> </w:t>
      </w:r>
      <w:r>
        <w:t xml:space="preserve">compensation insulation as a potentially important moderator; the</w:t>
      </w:r>
      <w:r>
        <w:t xml:space="preserve"> </w:t>
      </w:r>
      <w:r>
        <w:t xml:space="preserve">evidence is descriptive and associational and cannot establish</w:t>
      </w:r>
      <w:r>
        <w:t xml:space="preserve"> </w:t>
      </w:r>
      <w:r>
        <w:t xml:space="preserve">causality. Whether decoupling, salary floors, or institutional voice</w:t>
      </w:r>
      <w:r>
        <w:t xml:space="preserve"> </w:t>
      </w:r>
      <w:r>
        <w:t xml:space="preserve">channels would avert a workforce crisis remains an open question</w:t>
      </w:r>
      <w:r>
        <w:t xml:space="preserve"> </w:t>
      </w:r>
      <w:r>
        <w:t xml:space="preserve">requiring prospective evaluation.</w:t>
      </w:r>
      <w:r>
        <w:br/>
      </w:r>
      <w:r>
        <w:br/>
      </w:r>
      <w:r>
        <w:rPr>
          <w:b/>
          <w:bCs/>
        </w:rPr>
        <w:t xml:space="preserve">Keywords:</w:t>
      </w:r>
      <w:r>
        <w:t xml:space="preserve"> </w:t>
      </w:r>
      <w:r>
        <w:t xml:space="preserve">volume-based procurement; drug price regulation; health</w:t>
      </w:r>
      <w:r>
        <w:t xml:space="preserve"> </w:t>
      </w:r>
      <w:r>
        <w:t xml:space="preserve">workforce; physician remuneration; institutional coupling; China; South</w:t>
      </w:r>
      <w:r>
        <w:t xml:space="preserve"> </w:t>
      </w:r>
      <w:r>
        <w:t xml:space="preserve">Korea; United Kingdom; wage decline; health policy</w:t>
      </w:r>
    </w:p>
    <w:p>
      <w:pPr>
        <w:pStyle w:val="BodyText"/>
      </w:pPr>
      <w:r>
        <w:t xml:space="preserve">China’s healthcare system faces a paradox. The volume-based procurement</w:t>
      </w:r>
      <w:r>
        <w:t xml:space="preserve"> </w:t>
      </w:r>
      <w:r>
        <w:t xml:space="preserve">(VBP) policy, launched nationally in March 2019, has been reported to</w:t>
      </w:r>
      <w:r>
        <w:t xml:space="preserve"> </w:t>
      </w:r>
      <w:r>
        <w:t xml:space="preserve">have saved over ¥500 billion in drug costs</w:t>
      </w:r>
      <w:r>
        <w:rPr>
          <w:vertAlign w:val="superscript"/>
        </w:rPr>
        <w:t xml:space="preserve">1</w:t>
      </w:r>
      <w:r>
        <w:t xml:space="preserve"> </w:t>
      </w:r>
      <w:r>
        <w:t xml:space="preserve">and has expanded patient</w:t>
      </w:r>
      <w:r>
        <w:t xml:space="preserve"> </w:t>
      </w:r>
      <w:r>
        <w:t xml:space="preserve">access to essential medicines. Yet the health industry became one of</w:t>
      </w:r>
      <w:r>
        <w:t xml:space="preserve"> </w:t>
      </w:r>
      <w:r>
        <w:t xml:space="preserve">only two sectors to experience a nominal wage decline in 2024 (−0·4%;</w:t>
      </w:r>
      <w:r>
        <w:t xml:space="preserve"> </w:t>
      </w:r>
      <w:r>
        <w:t xml:space="preserve">public administration also declined, −1.9%), and the health-to-average</w:t>
      </w:r>
      <w:r>
        <w:t xml:space="preserve"> </w:t>
      </w:r>
      <w:r>
        <w:t xml:space="preserve">wage ratio fell 6·2 percentage points from 2023 to 2025. This decline</w:t>
      </w:r>
      <w:r>
        <w:t xml:space="preserve"> </w:t>
      </w:r>
      <w:r>
        <w:t xml:space="preserve">has coincided with widespread workforce dissatisfaction and a measurable</w:t>
      </w:r>
      <w:r>
        <w:t xml:space="preserve"> </w:t>
      </w:r>
      <w:r>
        <w:t xml:space="preserve">deterioration in medical school admissions (mean +37·2% rank</w:t>
      </w:r>
      <w:r>
        <w:t xml:space="preserve"> </w:t>
      </w:r>
      <w:r>
        <w:t xml:space="preserve">deterioration across 17 universities in Shandong province). Whether</w:t>
      </w:r>
      <w:r>
        <w:t xml:space="preserve"> </w:t>
      </w:r>
      <w:r>
        <w:t xml:space="preserve">this reflects VBP-specific effects, the concurrent rollout of DRG/DIP</w:t>
      </w:r>
      <w:r>
        <w:t xml:space="preserve"> </w:t>
      </w:r>
      <w:r>
        <w:t xml:space="preserve">payment reform, broader public fiscal austerity, or some combination</w:t>
      </w:r>
      <w:r>
        <w:t xml:space="preserve"> </w:t>
      </w:r>
      <w:r>
        <w:t xml:space="preserve">remains intensely debated.</w:t>
      </w:r>
    </w:p>
    <w:p>
      <w:pPr>
        <w:pStyle w:val="BodyText"/>
      </w:pPr>
      <w:r>
        <w:t xml:space="preserve">The debate suffers from a critical theoretical gap. Existing analyses</w:t>
      </w:r>
      <w:r>
        <w:t xml:space="preserve"> </w:t>
      </w:r>
      <w:r>
        <w:t xml:space="preserve">treat drug price regulation as a uniform policy shock</w:t>
      </w:r>
      <w:r>
        <w:rPr>
          <w:vertAlign w:val="superscript"/>
        </w:rPr>
        <w:t xml:space="preserve">2,3</w:t>
      </w:r>
      <w:r>
        <w:t xml:space="preserve"> </w:t>
      </w:r>
      <w:r>
        <w:t xml:space="preserve">but the same</w:t>
      </w:r>
      <w:r>
        <w:t xml:space="preserve"> </w:t>
      </w:r>
      <w:r>
        <w:t xml:space="preserve">policy has been associated with fundamentally different outcomes across</w:t>
      </w:r>
      <w:r>
        <w:t xml:space="preserve"> </w:t>
      </w:r>
      <w:r>
        <w:t xml:space="preserve">countries: South Korea’s physician remuneration rose +22% after</w:t>
      </w:r>
      <w:r>
        <w:t xml:space="preserve"> </w:t>
      </w:r>
      <w:r>
        <w:t xml:space="preserve">implementing drug price negotiation</w:t>
      </w:r>
      <w:r>
        <w:rPr>
          <w:vertAlign w:val="superscript"/>
        </w:rPr>
        <w:t xml:space="preserve">15,38</w:t>
      </w:r>
      <w:r>
        <w:t xml:space="preserve"> </w:t>
      </w:r>
      <w:r>
        <w:t xml:space="preserve">whereas China’s health</w:t>
      </w:r>
      <w:r>
        <w:t xml:space="preserve"> </w:t>
      </w:r>
      <w:r>
        <w:t xml:space="preserve">industry wages fell. This cross-country variation cannot be explained by</w:t>
      </w:r>
      <w:r>
        <w:t xml:space="preserve"> </w:t>
      </w:r>
      <w:r>
        <w:t xml:space="preserve">policy intensity alone—it calls for a theory of institutional</w:t>
      </w:r>
      <w:r>
        <w:t xml:space="preserve"> </w:t>
      </w:r>
      <w:r>
        <w:t xml:space="preserve">transmission. If health worker compensation is structurally coupled to</w:t>
      </w:r>
      <w:r>
        <w:t xml:space="preserve"> </w:t>
      </w:r>
      <w:r>
        <w:t xml:space="preserve">institutional drug revenue (as in China’s performance-based pay system),</w:t>
      </w:r>
      <w:r>
        <w:t xml:space="preserve"> </w:t>
      </w:r>
      <w:r>
        <w:t xml:space="preserve">drug price reductions may transmit to personal income. If compensation</w:t>
      </w:r>
      <w:r>
        <w:t xml:space="preserve"> </w:t>
      </w:r>
      <w:r>
        <w:t xml:space="preserve">is decoupled (as in South Korea’s fee-for-service model), the same</w:t>
      </w:r>
      <w:r>
        <w:t xml:space="preserve"> </w:t>
      </w:r>
      <w:r>
        <w:t xml:space="preserve">policy is expected to be income-neutral for physicians. No existing</w:t>
      </w:r>
      <w:r>
        <w:t xml:space="preserve"> </w:t>
      </w:r>
      <w:r>
        <w:t xml:space="preserve">framework formalises this distinction.</w:t>
      </w:r>
    </w:p>
    <w:p>
      <w:pPr>
        <w:pStyle w:val="BodyText"/>
      </w:pPr>
      <w:r>
        <w:t xml:space="preserve">We propose the Institutional Transmission Model (ITM), which predicts</w:t>
      </w:r>
      <w:r>
        <w:t xml:space="preserve"> </w:t>
      </w:r>
      <w:r>
        <w:t xml:space="preserve">that the association between drug price regulation on health worker</w:t>
      </w:r>
      <w:r>
        <w:t xml:space="preserve"> </w:t>
      </w:r>
      <w:r>
        <w:t xml:space="preserve">remuneration depends on the degree of structural coupling (κ) between</w:t>
      </w:r>
      <w:r>
        <w:t xml:space="preserve"> </w:t>
      </w:r>
      <w:r>
        <w:t xml:space="preserve">compensation and institutional drug revenue, moderated by a decoupling</w:t>
      </w:r>
      <w:r>
        <w:t xml:space="preserve"> </w:t>
      </w:r>
      <w:r>
        <w:t xml:space="preserve">index (D): ΔWageRatio = κ × ΔDrugRevenue × (1 − D) + βausterity ×</w:t>
      </w:r>
      <w:r>
        <w:t xml:space="preserve"> </w:t>
      </w:r>
      <w:r>
        <w:t xml:space="preserve">Austerity + ε. When D→1 (decoupled), VBP has negligible wage effect;</w:t>
      </w:r>
      <w:r>
        <w:t xml:space="preserve"> </w:t>
      </w:r>
      <w:r>
        <w:t xml:space="preserve">when D→0 (coupled), the effect is proportional to both drug revenue loss</w:t>
      </w:r>
      <w:r>
        <w:t xml:space="preserve"> </w:t>
      </w:r>
      <w:r>
        <w:t xml:space="preserve">and the coupling coefficient. Public fiscal austerity operates through a</w:t>
      </w:r>
      <w:r>
        <w:t xml:space="preserve"> </w:t>
      </w:r>
      <w:r>
        <w:t xml:space="preserve">separate pathway (base salary compression) independent of the</w:t>
      </w:r>
      <w:r>
        <w:t xml:space="preserve"> </w:t>
      </w:r>
      <w:r>
        <w:t xml:space="preserve">VBP–revenue–compensation chain. This model generates three observable</w:t>
      </w:r>
      <w:r>
        <w:t xml:space="preserve"> </w:t>
      </w:r>
      <w:r>
        <w:t xml:space="preserve">implications: (1) In decoupled systems, drug price regulation should not</w:t>
      </w:r>
      <w:r>
        <w:t xml:space="preserve"> </w:t>
      </w:r>
      <w:r>
        <w:t xml:space="preserve">reduce remuneration; (2) In coupled systems, the effect should scale</w:t>
      </w:r>
      <w:r>
        <w:t xml:space="preserve"> </w:t>
      </w:r>
      <w:r>
        <w:t xml:space="preserve">with VBP intensity; (3) Austerity effects should be observable across</w:t>
      </w:r>
      <w:r>
        <w:t xml:space="preserve"> </w:t>
      </w:r>
      <w:r>
        <w:t xml:space="preserve">all public-sector industries regardless of VBP.</w:t>
      </w:r>
    </w:p>
    <w:p>
      <w:pPr>
        <w:pStyle w:val="BodyText"/>
      </w:pPr>
      <w:r>
        <w:t xml:space="preserve">The ITM framework connects to a long theoretical tradition in health</w:t>
      </w:r>
      <w:r>
        <w:t xml:space="preserve"> </w:t>
      </w:r>
      <w:r>
        <w:t xml:space="preserve">economics on provider payment incentives. Robinson formalised the</w:t>
      </w:r>
      <w:r>
        <w:t xml:space="preserve"> </w:t>
      </w:r>
      <w:r>
        <w:t xml:space="preserve">trade-offs between fee-for-service, capitation, and salary systems,</w:t>
      </w:r>
      <w:r>
        <w:t xml:space="preserve"> </w:t>
      </w:r>
      <w:r>
        <w:t xml:space="preserve">showing that each creates different incentives for volume, quality, and</w:t>
      </w:r>
      <w:r>
        <w:t xml:space="preserve"> </w:t>
      </w:r>
      <w:r>
        <w:t xml:space="preserve">cost containment.</w:t>
      </w:r>
      <w:r>
        <w:rPr>
          <w:vertAlign w:val="superscript"/>
        </w:rPr>
        <w:t xml:space="preserve">39</w:t>
      </w:r>
      <w:r>
        <w:t xml:space="preserve"> </w:t>
      </w:r>
      <w:r>
        <w:t xml:space="preserve">Eggleston and Hsieh extended this analysis to China’s</w:t>
      </w:r>
      <w:r>
        <w:t xml:space="preserve"> </w:t>
      </w:r>
      <w:r>
        <w:t xml:space="preserve">transitional payment environment</w:t>
      </w:r>
      <w:r>
        <w:rPr>
          <w:vertAlign w:val="superscript"/>
        </w:rPr>
        <w:t xml:space="preserve">40</w:t>
      </w:r>
      <w:r>
        <w:t xml:space="preserve"> </w:t>
      </w:r>
      <w:r>
        <w:t xml:space="preserve">documenting how the performance-based</w:t>
      </w:r>
      <w:r>
        <w:t xml:space="preserve"> </w:t>
      </w:r>
      <w:r>
        <w:t xml:space="preserve">pay system inherited from the planned economy creates strong</w:t>
      </w:r>
      <w:r>
        <w:t xml:space="preserve"> </w:t>
      </w:r>
      <w:r>
        <w:t xml:space="preserve">revenue-maximisation incentives.</w:t>
      </w:r>
      <w:r>
        <w:rPr>
          <w:vertAlign w:val="superscript"/>
        </w:rPr>
        <w:t xml:space="preserve">41</w:t>
      </w:r>
      <w:r>
        <w:t xml:space="preserve"> </w:t>
      </w:r>
      <w:r>
        <w:t xml:space="preserve">The critical insight from this</w:t>
      </w:r>
      <w:r>
        <w:t xml:space="preserve"> </w:t>
      </w:r>
      <w:r>
        <w:t xml:space="preserve">literature is that payment systems differ not only in the incentives</w:t>
      </w:r>
      <w:r>
        <w:t xml:space="preserve"> </w:t>
      </w:r>
      <w:r>
        <w:t xml:space="preserve">they create, but in their vulnerability to exogenous policy shocks: a</w:t>
      </w:r>
      <w:r>
        <w:t xml:space="preserve"> </w:t>
      </w:r>
      <w:r>
        <w:t xml:space="preserve">fee-for-service system with decoupled physician compensation is</w:t>
      </w:r>
      <w:r>
        <w:t xml:space="preserve"> </w:t>
      </w:r>
      <w:r>
        <w:t xml:space="preserve">insulated from drug price changes, whereas a revenue-sharing performance</w:t>
      </w:r>
      <w:r>
        <w:t xml:space="preserve"> </w:t>
      </w:r>
      <w:r>
        <w:t xml:space="preserve">system is not. Our ITM formalises this insight by introducing the</w:t>
      </w:r>
      <w:r>
        <w:t xml:space="preserve"> </w:t>
      </w:r>
      <w:r>
        <w:t xml:space="preserve">coupling coefficient κ and decoupling index D as measurable parameters</w:t>
      </w:r>
      <w:r>
        <w:t xml:space="preserve"> </w:t>
      </w:r>
      <w:r>
        <w:t xml:space="preserve">that predict cross-institutional variation in shock transmission.</w:t>
      </w:r>
    </w:p>
    <w:p>
      <w:pPr>
        <w:pStyle w:val="BodyText"/>
      </w:pPr>
      <w:r>
        <w:t xml:space="preserve">However, existing provider payment theory focuses on incentive design</w:t>
      </w:r>
      <w:r>
        <w:t xml:space="preserve"> </w:t>
      </w:r>
      <w:r>
        <w:t xml:space="preserve">for the status quo—how to align physician behaviour with social</w:t>
      </w:r>
      <w:r>
        <w:t xml:space="preserve"> </w:t>
      </w:r>
      <w:r>
        <w:t xml:space="preserve">objectives under a given payment system. It does not address what</w:t>
      </w:r>
      <w:r>
        <w:t xml:space="preserve"> </w:t>
      </w:r>
      <w:r>
        <w:t xml:space="preserve">happens when a major exogenous shock (such as drug price regulation)</w:t>
      </w:r>
      <w:r>
        <w:t xml:space="preserve"> </w:t>
      </w:r>
      <w:r>
        <w:t xml:space="preserve">hits the revenue base of a coupled system. Our contribution is to extend</w:t>
      </w:r>
      <w:r>
        <w:t xml:space="preserve"> </w:t>
      </w:r>
      <w:r>
        <w:t xml:space="preserve">the theory to the dynamic case: when institutional revenue declines, the</w:t>
      </w:r>
      <w:r>
        <w:t xml:space="preserve"> </w:t>
      </w:r>
      <w:r>
        <w:t xml:space="preserve">payment system's coupling coefficient determines whether this decline</w:t>
      </w:r>
      <w:r>
        <w:t xml:space="preserve"> </w:t>
      </w:r>
      <w:r>
        <w:t xml:space="preserve">transmits to personal income. This extension generates the three</w:t>
      </w:r>
      <w:r>
        <w:t xml:space="preserve"> </w:t>
      </w:r>
      <w:r>
        <w:t xml:space="preserve">testable predictions outlined above, which have not been previously</w:t>
      </w:r>
      <w:r>
        <w:t xml:space="preserve"> </w:t>
      </w:r>
      <w:r>
        <w:t xml:space="preserve">tested in drug price regulation.</w:t>
      </w:r>
    </w:p>
    <w:p>
      <w:pPr>
        <w:pStyle w:val="BodyText"/>
      </w:pPr>
      <w:r>
        <w:t xml:space="preserve">Japan's experience provides a within-Asia historical analog. Beginning</w:t>
      </w:r>
      <w:r>
        <w:t xml:space="preserve"> </w:t>
      </w:r>
      <w:r>
        <w:t xml:space="preserve">in 1991, Japan implemented Yakka Kaisei (drug price revisions), yet</w:t>
      </w:r>
      <w:r>
        <w:t xml:space="preserve"> </w:t>
      </w:r>
      <w:r>
        <w:t xml:space="preserve">health industry wages grew steadily for two decades.</w:t>
      </w:r>
      <w:r>
        <w:rPr>
          <w:vertAlign w:val="superscript"/>
        </w:rPr>
        <w:t xml:space="preserve">5,7</w:t>
      </w:r>
      <w:r>
        <w:t xml:space="preserve"> </w:t>
      </w:r>
      <w:r>
        <w:t xml:space="preserve">The key</w:t>
      </w:r>
      <w:r>
        <w:t xml:space="preserve"> </w:t>
      </w:r>
      <w:r>
        <w:t xml:space="preserve">institutional difference is that Japanese physician compensation was</w:t>
      </w:r>
      <w:r>
        <w:t xml:space="preserve"> </w:t>
      </w:r>
      <w:r>
        <w:t xml:space="preserve">never structurally coupled to drug margins through performance-based</w:t>
      </w:r>
      <w:r>
        <w:t xml:space="preserve"> </w:t>
      </w:r>
      <w:r>
        <w:t xml:space="preserve">pay</w:t>
      </w:r>
      <w:r>
        <w:rPr>
          <w:vertAlign w:val="superscript"/>
        </w:rPr>
        <w:t xml:space="preserve">5</w:t>
      </w:r>
      <w:r>
        <w:t xml:space="preserve"> </w:t>
      </w:r>
      <w:r>
        <w:t xml:space="preserve">providing natural variation in the coupling coefficient across</w:t>
      </w:r>
      <w:r>
        <w:t xml:space="preserve"> </w:t>
      </w:r>
      <w:r>
        <w:t xml:space="preserve">time and institutional settings.</w:t>
      </w:r>
    </w:p>
    <w:p>
      <w:pPr>
        <w:pStyle w:val="BodyText"/>
      </w:pPr>
      <w:r>
        <w:t xml:space="preserve">We aimed to: (1) quantify the trajectory of health industry wages</w:t>
      </w:r>
      <w:r>
        <w:t xml:space="preserve"> </w:t>
      </w:r>
      <w:r>
        <w:t xml:space="preserve">(noting that our data capture industry-level rather than</w:t>
      </w:r>
      <w:r>
        <w:t xml:space="preserve"> </w:t>
      </w:r>
      <w:r>
        <w:t xml:space="preserve">physician-specific remuneration); (2) explore whether observed patterns</w:t>
      </w:r>
      <w:r>
        <w:t xml:space="preserve"> </w:t>
      </w:r>
      <w:r>
        <w:t xml:space="preserve">are consistent with the ITM framework using provincial</w:t>
      </w:r>
      <w:r>
        <w:t xml:space="preserve"> </w:t>
      </w:r>
      <w:r>
        <w:t xml:space="preserve">difference-in-differences exploiting VBP intensity variation, structural</w:t>
      </w:r>
      <w:r>
        <w:t xml:space="preserve"> </w:t>
      </w:r>
      <w:r>
        <w:t xml:space="preserve">break detection to identify regime shifts, and three-country</w:t>
      </w:r>
      <w:r>
        <w:t xml:space="preserve"> </w:t>
      </w:r>
      <w:r>
        <w:t xml:space="preserve">institutional comparison (South Korea, United Kingdom, China); and (3)</w:t>
      </w:r>
      <w:r>
        <w:t xml:space="preserve"> </w:t>
      </w:r>
      <w:r>
        <w:t xml:space="preserve">assess the downstream consequence for physician workforce supply. Beyond</w:t>
      </w:r>
      <w:r>
        <w:t xml:space="preserve"> </w:t>
      </w:r>
      <w:r>
        <w:t xml:space="preserve">China, the ITM framework has implications for the growing number of low-</w:t>
      </w:r>
      <w:r>
        <w:t xml:space="preserve"> </w:t>
      </w:r>
      <w:r>
        <w:t xml:space="preserve">and middle-income countries adopting drug price negotiation programmes:</w:t>
      </w:r>
      <w:r>
        <w:t xml:space="preserve"> </w:t>
      </w:r>
      <w:r>
        <w:t xml:space="preserve">Vietnam launched its national drug price negotiation in 2023, Thailand</w:t>
      </w:r>
      <w:r>
        <w:t xml:space="preserve"> </w:t>
      </w:r>
      <w:r>
        <w:t xml:space="preserve">has expanded its compulsory licensing and price negotiation system,</w:t>
      </w:r>
      <w:r>
        <w:t xml:space="preserve"> </w:t>
      </w:r>
      <w:r>
        <w:t xml:space="preserve">Indonesia implemented pharmaceutical price controls in 2024, and</w:t>
      </w:r>
      <w:r>
        <w:t xml:space="preserve"> </w:t>
      </w:r>
      <w:r>
        <w:t xml:space="preserve">Brazil's long-standing drug price regulation system (CMED) continues to</w:t>
      </w:r>
      <w:r>
        <w:t xml:space="preserve"> </w:t>
      </w:r>
      <w:r>
        <w:t xml:space="preserve">evolve. In each of these settings, the degree of institutional coupling</w:t>
      </w:r>
      <w:r>
        <w:t xml:space="preserve"> </w:t>
      </w:r>
      <w:r>
        <w:t xml:space="preserve">between drug revenue and health worker compensation may determine</w:t>
      </w:r>
      <w:r>
        <w:t xml:space="preserve"> </w:t>
      </w:r>
      <w:r>
        <w:t xml:space="preserve">whether price regulation protects or harms the health workforce.</w:t>
      </w:r>
    </w:p>
    <w:p>
      <w:pPr>
        <w:pStyle w:val="BodyText"/>
      </w:pPr>
      <w:r>
        <w:rPr>
          <w:b/>
          <w:bCs/>
        </w:rPr>
        <w:t xml:space="preserve">Data sources</w:t>
      </w:r>
    </w:p>
    <w:p>
      <w:pPr>
        <w:pStyle w:val="BodyText"/>
      </w:pPr>
      <w:r>
        <w:t xml:space="preserve">We compiled seven categories of data (appendix p 1). (1) China national</w:t>
      </w:r>
      <w:r>
        <w:t xml:space="preserve"> </w:t>
      </w:r>
      <w:r>
        <w:t xml:space="preserve">time series: annual average wages for seven industries (note: these are</w:t>
      </w:r>
      <w:r>
        <w:t xml:space="preserve"> </w:t>
      </w:r>
      <w:r>
        <w:t xml:space="preserve">industry-level aggregates encompassing all workers in each sector, not</w:t>
      </w:r>
      <w:r>
        <w:t xml:space="preserve"> </w:t>
      </w:r>
      <w:r>
        <w:t xml:space="preserve">physician-specific salaries) and all industries (urban non-private</w:t>
      </w:r>
      <w:r>
        <w:t xml:space="preserve"> </w:t>
      </w:r>
      <w:r>
        <w:t xml:space="preserve">units), 2015–2025, from the National Bureau of Statistics (NBS).</w:t>
      </w:r>
      <w:r>
        <w:rPr>
          <w:vertAlign w:val="superscript"/>
        </w:rPr>
        <w:t xml:space="preserve">4,12,13</w:t>
      </w:r>
      <w:r>
        <w:t xml:space="preserve"> </w:t>
      </w:r>
      <w:r>
        <w:t xml:space="preserve">Health-industry wage values for 2015–2025 are confirmed from NBS annual</w:t>
      </w:r>
      <w:r>
        <w:t xml:space="preserve"> </w:t>
      </w:r>
      <w:r>
        <w:t xml:space="preserve">releases (2015–2016 and 2025 independently web-verified against NBS</w:t>
      </w:r>
      <w:r>
        <w:t xml:space="preserve"> </w:t>
      </w:r>
      <w:r>
        <w:t xml:space="preserve">releases; 2017–2018 cross-validated against the 2019 confirmed value and</w:t>
      </w:r>
      <w:r>
        <w:t xml:space="preserve"> </w:t>
      </w:r>
      <w:r>
        <w:t xml:space="preserve">reported growth rates). (2) China provincial panel: health</w:t>
      </w:r>
      <w:r>
        <w:t xml:space="preserve"> </w:t>
      </w:r>
      <w:r>
        <w:t xml:space="preserve">industry wages and provincial average wages for 31 provinces (2015–2025);</w:t>
      </w:r>
      <w:r>
        <w:t xml:space="preserve"> </w:t>
      </w:r>
      <w:r>
        <w:t xml:space="preserve">five provinces have quality-A data confirmed directly from provincial</w:t>
      </w:r>
      <w:r>
        <w:t xml:space="preserve"> </w:t>
      </w:r>
      <w:r>
        <w:t xml:space="preserve">statistical bureau official tables (Guangdong, Jiangsu, Shandong, Henan,</w:t>
      </w:r>
      <w:r>
        <w:t xml:space="preserve"> </w:t>
      </w:r>
      <w:r>
        <w:t xml:space="preserve">Sichuan)</w:t>
      </w:r>
      <w:r>
        <w:rPr>
          <w:vertAlign w:val="superscript"/>
        </w:rPr>
        <w:t xml:space="preserve">33–37</w:t>
      </w:r>
      <w:r>
        <w:t xml:space="preserve"> </w:t>
      </w:r>
      <w:r>
        <w:t xml:space="preserve">and the remaining 26 provinces are estimated from NBS national</w:t>
      </w:r>
      <w:r>
        <w:t xml:space="preserve"> </w:t>
      </w:r>
      <w:r>
        <w:t xml:space="preserve">data using regional coefficients calibrated against available provincial</w:t>
      </w:r>
      <w:r>
        <w:t xml:space="preserve"> </w:t>
      </w:r>
      <w:r>
        <w:t xml:space="preserve">yearbook data. (3) Medical school admission data: rank changes for 17</w:t>
      </w:r>
      <w:r>
        <w:t xml:space="preserve"> </w:t>
      </w:r>
      <w:r>
        <w:t xml:space="preserve">universities in Shandong (2024→2025) and five-province summary data</w:t>
      </w:r>
      <w:r>
        <w:rPr>
          <w:vertAlign w:val="superscript"/>
        </w:rPr>
        <w:t xml:space="preserve">14</w:t>
      </w:r>
      <w:r>
        <w:t xml:space="preserve"> </w:t>
      </w:r>
      <w:r>
        <w:t xml:space="preserve">(4) Japan time series: wages for the medical and welfare industry and</w:t>
      </w:r>
      <w:r>
        <w:t xml:space="preserve"> </w:t>
      </w:r>
      <w:r>
        <w:t xml:space="preserve">all industries, 1991–2024, from the Ministry of Health, Labour and</w:t>
      </w:r>
      <w:r>
        <w:t xml:space="preserve"> </w:t>
      </w:r>
      <w:r>
        <w:t xml:space="preserve">Welfare (MHLW). R4–R6 (2022–2024) data were confirmed from official</w:t>
      </w:r>
      <w:r>
        <w:t xml:space="preserve"> </w:t>
      </w:r>
      <w:r>
        <w:t xml:space="preserve">MHLW Excel files; pre-2022 data were compiled from secondary</w:t>
      </w:r>
      <w:r>
        <w:t xml:space="preserve"> </w:t>
      </w:r>
      <w:r>
        <w:t xml:space="preserve">sources.</w:t>
      </w:r>
      <w:r>
        <w:rPr>
          <w:vertAlign w:val="superscript"/>
        </w:rPr>
        <w:t xml:space="preserve">5–7</w:t>
      </w:r>
      <w:r>
        <w:t xml:space="preserve"> </w:t>
      </w:r>
      <w:r>
        <w:t xml:space="preserve">(5) International comparison: physician remuneration data</w:t>
      </w:r>
      <w:r>
        <w:t xml:space="preserve"> </w:t>
      </w:r>
      <w:r>
        <w:t xml:space="preserve">from seven OECD countries (note: China’s ratio is industry-level, not</w:t>
      </w:r>
      <w:r>
        <w:t xml:space="preserve"> </w:t>
      </w:r>
      <w:r>
        <w:t xml:space="preserve">physician-specific, and is not directly comparable with OECD</w:t>
      </w:r>
      <w:r>
        <w:t xml:space="preserve"> </w:t>
      </w:r>
      <w:r>
        <w:t xml:space="preserve">physician-level ratios).</w:t>
      </w:r>
      <w:r>
        <w:rPr>
          <w:vertAlign w:val="superscript"/>
        </w:rPr>
        <w:t xml:space="preserve">15–18</w:t>
      </w:r>
      <w:r>
        <w:t xml:space="preserve"> </w:t>
      </w:r>
      <w:r>
        <w:t xml:space="preserve">(6) VBP policy intensity: cumulative</w:t>
      </w:r>
      <w:r>
        <w:t xml:space="preserve"> </w:t>
      </w:r>
      <w:r>
        <w:t xml:space="preserve">drugs covered by national VBP rounds, with provincial variation</w:t>
      </w:r>
      <w:r>
        <w:t xml:space="preserve"> </w:t>
      </w:r>
      <w:r>
        <w:t xml:space="preserve">reflecting staggered participation in R1 (4+7 pilot, 9 provinces) versus</w:t>
      </w:r>
      <w:r>
        <w:t xml:space="preserve"> </w:t>
      </w:r>
      <w:r>
        <w:t xml:space="preserve">R2 (expanded, 25 provinces). (7) VBP policy timeline for lag correlation</w:t>
      </w:r>
      <w:r>
        <w:t xml:space="preserve"> </w:t>
      </w:r>
      <w:r>
        <w:t xml:space="preserve">analysis.</w:t>
      </w:r>
    </w:p>
    <w:p>
      <w:pPr>
        <w:pStyle w:val="BodyText"/>
      </w:pPr>
      <w:r>
        <w:rPr>
          <w:b/>
          <w:bCs/>
        </w:rPr>
        <w:t xml:space="preserve">Institutional Transmission Model (ITM)</w:t>
      </w:r>
    </w:p>
    <w:p>
      <w:pPr>
        <w:pStyle w:val="BodyText"/>
      </w:pPr>
      <w:r>
        <w:t xml:space="preserve">We propose a formal Institutional Transmission Model as an organising</w:t>
      </w:r>
      <w:r>
        <w:t xml:space="preserve"> </w:t>
      </w:r>
      <w:r>
        <w:t xml:space="preserve">framework for the analysis. The central proposition is that the</w:t>
      </w:r>
      <w:r>
        <w:t xml:space="preserve"> </w:t>
      </w:r>
      <w:r>
        <w:t xml:space="preserve">association between drug price regulation on health worker remuneration</w:t>
      </w:r>
      <w:r>
        <w:t xml:space="preserve"> </w:t>
      </w:r>
      <w:r>
        <w:t xml:space="preserve">depends on the degree of structural coupling between compensation and</w:t>
      </w:r>
      <w:r>
        <w:t xml:space="preserve"> </w:t>
      </w:r>
      <w:r>
        <w:t xml:space="preserve">institutional drug revenue. Formally: ΔWageRatio = κ × ΔDrugRevenue × (1</w:t>
      </w:r>
      <w:r>
        <w:t xml:space="preserve"> </w:t>
      </w:r>
      <w:r>
        <w:t xml:space="preserve">− D) + βausterity × Austerity + ε, where κ is the coupling coefficient</w:t>
      </w:r>
      <w:r>
        <w:t xml:space="preserve"> </w:t>
      </w:r>
      <w:r>
        <w:t xml:space="preserve">(the share of performance-based pay linked to institutional revenue,</w:t>
      </w:r>
      <w:r>
        <w:t xml:space="preserve"> </w:t>
      </w:r>
      <w:r>
        <w:t xml:space="preserve">ranging from 0 to 1), D is the decoupling index (0 = fully coupled, 1 =</w:t>
      </w:r>
      <w:r>
        <w:t xml:space="preserve"> </w:t>
      </w:r>
      <w:r>
        <w:t xml:space="preserve">fully decoupled), and βausterity captures the public fiscal austerity</w:t>
      </w:r>
      <w:r>
        <w:t xml:space="preserve"> </w:t>
      </w:r>
      <w:r>
        <w:t xml:space="preserve">component common to all public-sector industries.</w:t>
      </w:r>
    </w:p>
    <w:p>
      <w:pPr>
        <w:pStyle w:val="BodyText"/>
      </w:pPr>
      <w:r>
        <w:t xml:space="preserve">The framework suggests three observable implications: (1) In fully</w:t>
      </w:r>
      <w:r>
        <w:t xml:space="preserve"> </w:t>
      </w:r>
      <w:r>
        <w:t xml:space="preserve">decoupled systems (D→1), drug price regulation should have negligible</w:t>
      </w:r>
      <w:r>
        <w:t xml:space="preserve"> </w:t>
      </w:r>
      <w:r>
        <w:t xml:space="preserve">effect on remuneration (κ × ΔDrugRevenue × 0 ≈ 0); (2) In fully coupled</w:t>
      </w:r>
      <w:r>
        <w:t xml:space="preserve"> </w:t>
      </w:r>
      <w:r>
        <w:t xml:space="preserve">systems (D→0), the effect should be proportional to both the magnitude</w:t>
      </w:r>
      <w:r>
        <w:t xml:space="preserve"> </w:t>
      </w:r>
      <w:r>
        <w:t xml:space="preserve">of drug revenue loss and the coupling coefficient; (3) Public fiscal</w:t>
      </w:r>
      <w:r>
        <w:t xml:space="preserve"> </w:t>
      </w:r>
      <w:r>
        <w:t xml:space="preserve">austerity affects remuneration through a separate pathway (base salary</w:t>
      </w:r>
      <w:r>
        <w:t xml:space="preserve"> </w:t>
      </w:r>
      <w:r>
        <w:t xml:space="preserve">compression) independent of the VBP–revenue–compensation chain. These</w:t>
      </w:r>
      <w:r>
        <w:t xml:space="preserve"> </w:t>
      </w:r>
      <w:r>
        <w:t xml:space="preserve">predictions are tested using three-country institutional comparison</w:t>
      </w:r>
      <w:r>
        <w:t xml:space="preserve"> </w:t>
      </w:r>
      <w:r>
        <w:t xml:space="preserve">(South Korea: D≈1; UK: D≈0·5; China: D≈0), provincial DID (exploiting</w:t>
      </w:r>
      <w:r>
        <w:t xml:space="preserve"> </w:t>
      </w:r>
      <w:r>
        <w:t xml:space="preserve">variation in VBP intensity as a proxy for ΔDrugRevenue), and Markov</w:t>
      </w:r>
      <w:r>
        <w:t xml:space="preserve"> </w:t>
      </w:r>
      <w:r>
        <w:t xml:space="preserve">switching models (to identify the austerity regime shift).</w:t>
      </w:r>
    </w:p>
    <w:p>
      <w:pPr>
        <w:pStyle w:val="BodyText"/>
      </w:pPr>
      <w:r>
        <w:drawing>
          <wp:inline>
            <wp:extent cx="62630" cy="45928"/>
            <wp:effectExtent b="0" l="0" r="0" t="0"/>
            <wp:docPr descr="" title="Figure 1: Directed acyclic graph (DAG) of the Institutional Transmission Model. Blue nodes: causal variables; orange nodes: institutional moderators; red nodes: outcomes; grey nodes: confounders. Solid arrows: causal paths; dashed arrows: moderating paths; dotted arrows: confounder paths. The key moderating path runs from Decoupling Index through Coupling κ to Performance Pay, determining whether VBP-induced drug revenue losses transmit to health worker compensation." id="10" name="Picture"/>
            <a:graphic>
              <a:graphicData uri="http://schemas.openxmlformats.org/drawingml/2006/picture">
                <pic:pic>
                  <pic:nvPicPr>
                    <pic:cNvPr descr="_work/media/media/image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" cy="4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1: Directed acyclic graph (DAG) of the Institutional</w:t>
      </w:r>
      <w:r>
        <w:rPr>
          <w:i/>
          <w:iCs/>
        </w:rPr>
        <w:t xml:space="preserve"> </w:t>
      </w:r>
      <w:r>
        <w:rPr>
          <w:i/>
          <w:iCs/>
        </w:rPr>
        <w:t xml:space="preserve">Transmission Model. Blue nodes: causal variables; orange nodes:</w:t>
      </w:r>
      <w:r>
        <w:rPr>
          <w:i/>
          <w:iCs/>
        </w:rPr>
        <w:t xml:space="preserve"> </w:t>
      </w:r>
      <w:r>
        <w:rPr>
          <w:i/>
          <w:iCs/>
        </w:rPr>
        <w:t xml:space="preserve">institutional moderators; red nodes: outcomes; grey nodes: confounders.</w:t>
      </w:r>
      <w:r>
        <w:rPr>
          <w:i/>
          <w:iCs/>
        </w:rPr>
        <w:t xml:space="preserve"> </w:t>
      </w:r>
      <w:r>
        <w:rPr>
          <w:i/>
          <w:iCs/>
        </w:rPr>
        <w:t xml:space="preserve">Solid arrows: causal paths; dashed arrows: moderating paths; dotted</w:t>
      </w:r>
      <w:r>
        <w:rPr>
          <w:i/>
          <w:iCs/>
        </w:rPr>
        <w:t xml:space="preserve"> </w:t>
      </w:r>
      <w:r>
        <w:rPr>
          <w:i/>
          <w:iCs/>
        </w:rPr>
        <w:t xml:space="preserve">arrows: confounder paths. The key moderating path runs from Decoupling</w:t>
      </w:r>
      <w:r>
        <w:rPr>
          <w:i/>
          <w:iCs/>
        </w:rPr>
        <w:t xml:space="preserve"> </w:t>
      </w:r>
      <w:r>
        <w:rPr>
          <w:i/>
          <w:iCs/>
        </w:rPr>
        <w:t xml:space="preserve">Index through Coupling κ to Performance Pay, determining whether</w:t>
      </w:r>
      <w:r>
        <w:rPr>
          <w:i/>
          <w:iCs/>
        </w:rPr>
        <w:t xml:space="preserve"> </w:t>
      </w:r>
      <w:r>
        <w:rPr>
          <w:i/>
          <w:iCs/>
        </w:rPr>
        <w:t xml:space="preserve">VBP-induced drug revenue losses transmit to health worker compensation.</w:t>
      </w:r>
    </w:p>
    <w:p>
      <w:pPr>
        <w:pStyle w:val="BodyText"/>
      </w:pPr>
      <w:r>
        <w:rPr>
          <w:b/>
          <w:bCs/>
        </w:rPr>
        <w:t xml:space="preserve">Micro-level evidence synthesis</w:t>
      </w:r>
    </w:p>
    <w:p>
      <w:pPr>
        <w:pStyle w:val="BodyText"/>
      </w:pPr>
      <w:r>
        <w:t xml:space="preserve">To complement the macro-level statistical analysis with individual-level</w:t>
      </w:r>
      <w:r>
        <w:t xml:space="preserve"> </w:t>
      </w:r>
      <w:r>
        <w:t xml:space="preserve">evidence, we synthesised publicly available survey data on physician</w:t>
      </w:r>
      <w:r>
        <w:t xml:space="preserve"> </w:t>
      </w:r>
      <w:r>
        <w:t xml:space="preserve">income changes and institutional reports on hospital revenue structure.</w:t>
      </w:r>
      <w:r>
        <w:t xml:space="preserve"> </w:t>
      </w:r>
      <w:r>
        <w:t xml:space="preserve">Sources included: (1) the Chinese Medical Doctor Association’s Practice</w:t>
      </w:r>
      <w:r>
        <w:t xml:space="preserve"> </w:t>
      </w:r>
      <w:r>
        <w:t xml:space="preserve">Conditions White Paper (2009, 2011, 2014; n=9,524 physicians across 13</w:t>
      </w:r>
      <w:r>
        <w:t xml:space="preserve"> </w:t>
      </w:r>
      <w:r>
        <w:t xml:space="preserve">provinces)</w:t>
      </w:r>
      <w:r>
        <w:rPr>
          <w:vertAlign w:val="superscript"/>
        </w:rPr>
        <w:t xml:space="preserve">28</w:t>
      </w:r>
      <w:r>
        <w:t xml:space="preserve">; (2) the 2024 China Hospital Human Resources Survey (n=2,009</w:t>
      </w:r>
      <w:r>
        <w:t xml:space="preserve"> </w:t>
      </w:r>
      <w:r>
        <w:t xml:space="preserve">physicians; Dingxiangyuan/CYOL)</w:t>
      </w:r>
      <w:r>
        <w:rPr>
          <w:vertAlign w:val="superscript"/>
        </w:rPr>
        <w:t xml:space="preserve">29</w:t>
      </w:r>
      <w:r>
        <w:t xml:space="preserve">; (3) the 2024 Medical Talent Salary</w:t>
      </w:r>
      <w:r>
        <w:t xml:space="preserve"> </w:t>
      </w:r>
      <w:r>
        <w:t xml:space="preserve">Survey (n=29,469; Huayiwang)</w:t>
      </w:r>
      <w:r>
        <w:rPr>
          <w:vertAlign w:val="superscript"/>
        </w:rPr>
        <w:t xml:space="preserve">5</w:t>
      </w:r>
      <w:r>
        <w:t xml:space="preserve">; (4) the National Health Commission’s</w:t>
      </w:r>
      <w:r>
        <w:t xml:space="preserve"> </w:t>
      </w:r>
      <w:r>
        <w:t xml:space="preserve">annual performance monitoring reports for tertiary public hospitals</w:t>
      </w:r>
      <w:r>
        <w:t xml:space="preserve"> </w:t>
      </w:r>
      <w:r>
        <w:t xml:space="preserve">(2021–2023; n=2,168 hospitals)</w:t>
      </w:r>
      <w:r>
        <w:rPr>
          <w:vertAlign w:val="superscript"/>
        </w:rPr>
        <w:t xml:space="preserve">31,32</w:t>
      </w:r>
      <w:r>
        <w:t xml:space="preserve">; and (5) documented policy statements</w:t>
      </w:r>
      <w:r>
        <w:t xml:space="preserve"> </w:t>
      </w:r>
      <w:r>
        <w:t xml:space="preserve">from the National People's Congress and Chinese People's Political</w:t>
      </w:r>
      <w:r>
        <w:t xml:space="preserve"> </w:t>
      </w:r>
      <w:r>
        <w:t xml:space="preserve">Consultative Conference regarding physician compensation. These sources</w:t>
      </w:r>
      <w:r>
        <w:t xml:space="preserve"> </w:t>
      </w:r>
      <w:r>
        <w:t xml:space="preserve">provide qualitative and quantitative micro-level evidence on the</w:t>
      </w:r>
      <w:r>
        <w:t xml:space="preserve"> </w:t>
      </w:r>
      <w:r>
        <w:t xml:space="preserve">VBP→revenue→compensation transmission chain that cannot be directly</w:t>
      </w:r>
      <w:r>
        <w:t xml:space="preserve"> </w:t>
      </w:r>
      <w:r>
        <w:t xml:space="preserve">tested with aggregate NBS data. Longitudinal physician survey data. Two</w:t>
      </w:r>
      <w:r>
        <w:t xml:space="preserve"> </w:t>
      </w:r>
      <w:r>
        <w:t xml:space="preserve">independent annual surveys of Chinese health workers provide</w:t>
      </w:r>
      <w:r>
        <w:t xml:space="preserve"> </w:t>
      </w:r>
      <w:r>
        <w:t xml:space="preserve">individual-level evidence of accelerating remuneration decline. The</w:t>
      </w:r>
      <w:r>
        <w:t xml:space="preserve"> </w:t>
      </w:r>
      <w:r>
        <w:t xml:space="preserve">Huayiwang Medical Talent Salary Survey (2022–2024) reported that the</w:t>
      </w:r>
      <w:r>
        <w:t xml:space="preserve"> </w:t>
      </w:r>
      <w:r>
        <w:t xml:space="preserve">proportion of health workers experiencing salary cuts rose from 37% in</w:t>
      </w:r>
      <w:r>
        <w:t xml:space="preserve"> </w:t>
      </w:r>
      <w:r>
        <w:t xml:space="preserve">2022 and 2023 to 57.9% in 2024 (n=29,469 in 2024). The Yixuejie China</w:t>
      </w:r>
      <w:r>
        <w:t xml:space="preserve"> </w:t>
      </w:r>
      <w:r>
        <w:t xml:space="preserve">Hospital Human Resources Survey independently reported that 50% of</w:t>
      </w:r>
      <w:r>
        <w:t xml:space="preserve"> </w:t>
      </w:r>
      <w:r>
        <w:t xml:space="preserve">physicians experienced income decline in 2023, rising to 57% in 2024.</w:t>
      </w:r>
      <w:r>
        <w:t xml:space="preserve"> </w:t>
      </w:r>
      <w:r>
        <w:t xml:space="preserve">Both surveys identify performance-based pay reductions as the primary</w:t>
      </w:r>
      <w:r>
        <w:t xml:space="preserve"> </w:t>
      </w:r>
      <w:r>
        <w:t xml:space="preserve">driver of income loss, consistent with the ITM coupling mechanism. While</w:t>
      </w:r>
      <w:r>
        <w:t xml:space="preserve"> </w:t>
      </w:r>
      <w:r>
        <w:t xml:space="preserve">these surveys use convenience sampling and are not nationally</w:t>
      </w:r>
      <w:r>
        <w:t xml:space="preserve"> </w:t>
      </w:r>
      <w:r>
        <w:t xml:space="preserve">representative, the convergence of findings across two independent</w:t>
      </w:r>
      <w:r>
        <w:t xml:space="preserve"> </w:t>
      </w:r>
      <w:r>
        <w:t xml:space="preserve">survey programmes and with the NBS industry-level data strengthens</w:t>
      </w:r>
      <w:r>
        <w:t xml:space="preserve"> </w:t>
      </w:r>
      <w:r>
        <w:t xml:space="preserve">confidence that the observed wage trends reflect genuine</w:t>
      </w:r>
      <w:r>
        <w:t xml:space="preserve"> </w:t>
      </w:r>
      <w:r>
        <w:t xml:space="preserve">individual-level income changes rather than compositional shifts in the</w:t>
      </w:r>
      <w:r>
        <w:t xml:space="preserve"> </w:t>
      </w:r>
      <w:r>
        <w:t xml:space="preserve">health workforce.</w:t>
      </w:r>
    </w:p>
    <w:p>
      <w:pPr>
        <w:pStyle w:val="BodyText"/>
      </w:pPr>
      <w:r>
        <w:rPr>
          <w:b/>
          <w:bCs/>
        </w:rPr>
        <w:t xml:space="preserve">Provincial difference-in-differences</w:t>
      </w:r>
    </w:p>
    <w:p>
      <w:pPr>
        <w:pStyle w:val="BodyText"/>
      </w:pPr>
      <w:r>
        <w:t xml:space="preserve">Because VBP was rolled out nationally by R3 (2020), all 31 provinces</w:t>
      </w:r>
      <w:r>
        <w:t xml:space="preserve"> </w:t>
      </w:r>
      <w:r>
        <w:t xml:space="preserve">were treated, precluding a conventional binary DID. However, VBP</w:t>
      </w:r>
      <w:r>
        <w:t xml:space="preserve"> </w:t>
      </w:r>
      <w:r>
        <w:t xml:space="preserve">intensity varied across provinces: the nine R1 pilot provinces (Beijing,</w:t>
      </w:r>
      <w:r>
        <w:t xml:space="preserve"> </w:t>
      </w:r>
      <w:r>
        <w:t xml:space="preserve">Shanghai, Tianjin, Chongqing, Liaoning, Fujian, Guangdong, Shaanxi,</w:t>
      </w:r>
      <w:r>
        <w:t xml:space="preserve"> </w:t>
      </w:r>
      <w:r>
        <w:t xml:space="preserve">Sichuan) received 50 VBP drugs from 2019, whereas the remaining 22</w:t>
      </w:r>
      <w:r>
        <w:t xml:space="preserve"> </w:t>
      </w:r>
      <w:r>
        <w:t xml:space="preserve">provinces received only 25 drugs (R2 coverage from 2019Q4). This created</w:t>
      </w:r>
      <w:r>
        <w:t xml:space="preserve"> </w:t>
      </w:r>
      <w:r>
        <w:t xml:space="preserve">continuous treatment variation in VBP intensity index (range 0–178)</w:t>
      </w:r>
      <w:r>
        <w:t xml:space="preserve"> </w:t>
      </w:r>
      <w:r>
        <w:t xml:space="preserve">across provinces and years. We estimated two-way fixed effects (TWFE)</w:t>
      </w:r>
      <w:r>
        <w:t xml:space="preserve"> </w:t>
      </w:r>
      <w:r>
        <w:t xml:space="preserve">models: ratio_it = α_i + γ_t + β·VBP_intensity_it + ε_it, with province</w:t>
      </w:r>
      <w:r>
        <w:t xml:space="preserve"> </w:t>
      </w:r>
      <w:r>
        <w:t xml:space="preserve">fixed effects α_i absorbing time-invariant provincial characteristics</w:t>
      </w:r>
      <w:r>
        <w:t xml:space="preserve"> </w:t>
      </w:r>
      <w:r>
        <w:t xml:space="preserve">and year fixed effects γ_t absorbing common time trends. Cluster-robust</w:t>
      </w:r>
      <w:r>
        <w:t xml:space="preserve"> </w:t>
      </w:r>
      <w:r>
        <w:t xml:space="preserve">standard errors (clustered by province) accounted for within-province</w:t>
      </w:r>
      <w:r>
        <w:t xml:space="preserve"> </w:t>
      </w:r>
      <w:r>
        <w:t xml:space="preserve">serial correlation. We also estimated models with region×year fixed</w:t>
      </w:r>
      <w:r>
        <w:t xml:space="preserve"> </w:t>
      </w:r>
      <w:r>
        <w:t xml:space="preserve">effects to control for differential regional trends. As a robustness</w:t>
      </w:r>
      <w:r>
        <w:t xml:space="preserve"> </w:t>
      </w:r>
      <w:r>
        <w:t xml:space="preserve">check, we compared R1 pilot provinces (n=9) versus R2-only provinces</w:t>
      </w:r>
      <w:r>
        <w:t xml:space="preserve"> </w:t>
      </w:r>
      <w:r>
        <w:t xml:space="preserve">(n=22) in a TWFE DID framework. Cross-province regressions of the</w:t>
      </w:r>
      <w:r>
        <w:t xml:space="preserve"> </w:t>
      </w:r>
      <w:r>
        <w:t xml:space="preserve">2019→2024 ratio change on VBP intensity provided supplementary evidence.</w:t>
      </w:r>
      <w:r>
        <w:t xml:space="preserve"> </w:t>
      </w:r>
      <w:r>
        <w:t xml:space="preserve">We note the critical limitation that provincial health wage data are</w:t>
      </w:r>
      <w:r>
        <w:t xml:space="preserve"> </w:t>
      </w:r>
      <w:r>
        <w:t xml:space="preserve">estimated rather than confirmed from primary sources; results should be</w:t>
      </w:r>
      <w:r>
        <w:t xml:space="preserve"> </w:t>
      </w:r>
      <w:r>
        <w:t xml:space="preserve">interpreted as suggestive rather than definitive causal evidence. Wild</w:t>
      </w:r>
      <w:r>
        <w:t xml:space="preserve"> </w:t>
      </w:r>
      <w:r>
        <w:t xml:space="preserve">cluster bootstrap for DID inference. Because our provincial panel</w:t>
      </w:r>
      <w:r>
        <w:t xml:space="preserve"> </w:t>
      </w:r>
      <w:r>
        <w:t xml:space="preserve">contains only 31 clusters, the conventional cluster-robust standard</w:t>
      </w:r>
      <w:r>
        <w:t xml:space="preserve"> </w:t>
      </w:r>
      <w:r>
        <w:t xml:space="preserve">errors may be downward-biased (Cameron &amp; Miller, 2015).</w:t>
      </w:r>
      <w:r>
        <w:rPr>
          <w:vertAlign w:val="superscript"/>
        </w:rPr>
        <w:t xml:space="preserve">46</w:t>
      </w:r>
      <w:r>
        <w:t xml:space="preserve"> </w:t>
      </w:r>
      <w:r>
        <w:t xml:space="preserve">We therefore</w:t>
      </w:r>
      <w:r>
        <w:t xml:space="preserve"> </w:t>
      </w:r>
      <w:r>
        <w:t xml:space="preserve">implemented the wild cluster bootstrap (Rademacher weights, 9,999</w:t>
      </w:r>
      <w:r>
        <w:t xml:space="preserve"> </w:t>
      </w:r>
      <w:r>
        <w:t xml:space="preserve">replications) for the key DID coefficient. The wild bootstrap p-value is</w:t>
      </w:r>
      <w:r>
        <w:t xml:space="preserve"> </w:t>
      </w:r>
      <w:r>
        <w:t xml:space="preserve">reported alongside the conventional cluster-robust p-value.</w:t>
      </w:r>
    </w:p>
    <w:p>
      <w:pPr>
        <w:pStyle w:val="BodyText"/>
      </w:pPr>
      <w:r>
        <w:rPr>
          <w:b/>
          <w:bCs/>
        </w:rPr>
        <w:t xml:space="preserve">Balance test, placebo DID, and Manski bounds</w:t>
      </w:r>
    </w:p>
    <w:p>
      <w:pPr>
        <w:pStyle w:val="BodyText"/>
      </w:pPr>
      <w:r>
        <w:t xml:space="preserve">Because 26 of 31 provincial wage series are estimated rather than</w:t>
      </w:r>
      <w:r>
        <w:t xml:space="preserve"> </w:t>
      </w:r>
      <w:r>
        <w:t xml:space="preserve">confirmed from official sources, we conducted a Manski bounds analysis</w:t>
      </w:r>
      <w:r>
        <w:t xml:space="preserve"> </w:t>
      </w:r>
      <w:r>
        <w:t xml:space="preserve">to assess robustness to systematic measurement error. We perturbed the</w:t>
      </w:r>
      <w:r>
        <w:t xml:space="preserve"> </w:t>
      </w:r>
      <w:r>
        <w:t xml:space="preserve">health-to-average wage ratio in estimated provinces by systematic biases</w:t>
      </w:r>
      <w:r>
        <w:t xml:space="preserve"> </w:t>
      </w:r>
      <w:r>
        <w:t xml:space="preserve">in both directions—upward bias (+0·0001 to +0·0005, representing</w:t>
      </w:r>
      <w:r>
        <w:t xml:space="preserve"> </w:t>
      </w:r>
      <w:r>
        <w:t xml:space="preserve">overestimation of health wages) and downward bias (−0·0001 to −0·0005,</w:t>
      </w:r>
      <w:r>
        <w:t xml:space="preserve"> </w:t>
      </w:r>
      <w:r>
        <w:t xml:space="preserve">representing underestimation)—and re-estimated the DID coefficient. The</w:t>
      </w:r>
      <w:r>
        <w:t xml:space="preserve"> </w:t>
      </w:r>
      <w:r>
        <w:t xml:space="preserve">analysis asks: how much systematic bias would be required to nullify the</w:t>
      </w:r>
      <w:r>
        <w:t xml:space="preserve"> </w:t>
      </w:r>
      <w:r>
        <w:t xml:space="preserve">DID result? We note that the five confirmed provinces are all among the</w:t>
      </w:r>
      <w:r>
        <w:t xml:space="preserve"> </w:t>
      </w:r>
      <w:r>
        <w:t xml:space="preserve">larger provincial economies, so their larger observed declines could</w:t>
      </w:r>
      <w:r>
        <w:t xml:space="preserve"> </w:t>
      </w:r>
      <w:r>
        <w:t xml:space="preserve">reflect genuine economic heterogeneity rather than providing a basis to</w:t>
      </w:r>
      <w:r>
        <w:t xml:space="preserve"> </w:t>
      </w:r>
      <w:r>
        <w:t xml:space="preserve">infer the direction of measurement-error bias in estimated provinces;</w:t>
      </w:r>
      <w:r>
        <w:t xml:space="preserve"> </w:t>
      </w:r>
      <w:r>
        <w:t xml:space="preserve">the Manski analysis is therefore used only to characterise robustness to</w:t>
      </w:r>
      <w:r>
        <w:t xml:space="preserve"> </w:t>
      </w:r>
      <w:r>
        <w:t xml:space="preserve">plausible bias, not to bound the true effect.</w:t>
      </w:r>
    </w:p>
    <w:p>
      <w:pPr>
        <w:pStyle w:val="BodyText"/>
      </w:pPr>
      <w:r>
        <w:t xml:space="preserve">We assessed pre-treatment balance between R1 pilot and R2 expanded</w:t>
      </w:r>
      <w:r>
        <w:t xml:space="preserve"> </w:t>
      </w:r>
      <w:r>
        <w:t xml:space="preserve">provinces by comparing mean health-to-average wage ratios, health</w:t>
      </w:r>
      <w:r>
        <w:t xml:space="preserve"> </w:t>
      </w:r>
      <w:r>
        <w:t xml:space="preserve">salaries, and growth rates during 2015–2018 using two-sample t-tests.</w:t>
      </w:r>
      <w:r>
        <w:t xml:space="preserve"> </w:t>
      </w:r>
      <w:r>
        <w:t xml:space="preserve">As a placebo test at the national level, we estimated industry-specific</w:t>
      </w:r>
      <w:r>
        <w:t xml:space="preserve"> </w:t>
      </w:r>
      <w:r>
        <w:t xml:space="preserve">interactions (industry × VBP intensity) in a seven-industry panel with</w:t>
      </w:r>
      <w:r>
        <w:t xml:space="preserve"> </w:t>
      </w:r>
      <w:r>
        <w:t xml:space="preserve">industry and year fixed effects; if VBP specifically affects health, the</w:t>
      </w:r>
      <w:r>
        <w:t xml:space="preserve"> </w:t>
      </w:r>
      <w:r>
        <w:t xml:space="preserve">health × VBP interaction should differ from those of non-health</w:t>
      </w:r>
      <w:r>
        <w:t xml:space="preserve"> </w:t>
      </w:r>
      <w:r>
        <w:t xml:space="preserve">industries.</w:t>
      </w:r>
    </w:p>
    <w:p>
      <w:pPr>
        <w:pStyle w:val="BodyText"/>
      </w:pPr>
      <w:r>
        <w:rPr>
          <w:b/>
          <w:bCs/>
        </w:rPr>
        <w:t xml:space="preserve">Structural break detection (primary analysis)</w:t>
      </w:r>
    </w:p>
    <w:p>
      <w:pPr>
        <w:pStyle w:val="BodyText"/>
      </w:pPr>
      <w:r>
        <w:t xml:space="preserve">We applied the Bai-Perron (1998, 2003) multiple structural break test</w:t>
      </w:r>
      <w:r>
        <w:rPr>
          <w:vertAlign w:val="superscript"/>
        </w:rPr>
        <w:t xml:space="preserve">44,45</w:t>
      </w:r>
      <w:r>
        <w:t xml:space="preserve"> </w:t>
      </w:r>
      <w:r>
        <w:t xml:space="preserve">to the annual change in the health-to-average wage ratio (2016–2025).</w:t>
      </w:r>
      <w:r>
        <w:t xml:space="preserve"> </w:t>
      </w:r>
      <w:r>
        <w:t xml:space="preserve">The test sequentially estimates break points by minimising the sum of</w:t>
      </w:r>
      <w:r>
        <w:t xml:space="preserve"> </w:t>
      </w:r>
      <w:r>
        <w:t xml:space="preserve">squared residuals, with the optimal number of breaks selected by the</w:t>
      </w:r>
      <w:r>
        <w:t xml:space="preserve"> </w:t>
      </w:r>
      <w:r>
        <w:t xml:space="preserve">Bayesian Information Criterion (BIC).</w:t>
      </w:r>
      <w:r>
        <w:rPr>
          <w:vertAlign w:val="superscript"/>
        </w:rPr>
        <w:t xml:space="preserve">25</w:t>
      </w:r>
      <w:r>
        <w:t xml:space="preserve"> </w:t>
      </w:r>
      <w:r>
        <w:t xml:space="preserve">We specified a minimum segment</w:t>
      </w:r>
      <w:r>
        <w:t xml:space="preserve"> </w:t>
      </w:r>
      <w:r>
        <w:t xml:space="preserve">length of 3 years and tested up to 2 breaks. As a robustness check, we</w:t>
      </w:r>
      <w:r>
        <w:t xml:space="preserve"> </w:t>
      </w:r>
      <w:r>
        <w:t xml:space="preserve">applied the test to each of the six non-health industries. The</w:t>
      </w:r>
      <w:r>
        <w:t xml:space="preserve"> </w:t>
      </w:r>
      <w:r>
        <w:t xml:space="preserve">Bai-Perron test is the primary structural-break analysis; a two-state</w:t>
      </w:r>
      <w:r>
        <w:t xml:space="preserve"> </w:t>
      </w:r>
      <w:r>
        <w:t xml:space="preserve">Markov switching model</w:t>
      </w:r>
      <w:r>
        <w:rPr>
          <w:vertAlign w:val="superscript"/>
        </w:rPr>
        <w:t xml:space="preserve">8,19</w:t>
      </w:r>
      <w:r>
        <w:t xml:space="preserve"> </w:t>
      </w:r>
      <w:r>
        <w:t xml:space="preserve">and a cusp catastrophe model</w:t>
      </w:r>
      <w:r>
        <w:rPr>
          <w:vertAlign w:val="superscript"/>
        </w:rPr>
        <w:t xml:space="preserve">9–11,20</w:t>
      </w:r>
      <w:r>
        <w:t xml:space="preserve"> </w:t>
      </w:r>
      <w:r>
        <w:t xml:space="preserve">were</w:t>
      </w:r>
      <w:r>
        <w:t xml:space="preserve"> </w:t>
      </w:r>
      <w:r>
        <w:t xml:space="preserve">fitted as heuristic supplementary comparators (full specifications and</w:t>
      </w:r>
      <w:r>
        <w:t xml:space="preserve"> </w:t>
      </w:r>
      <w:r>
        <w:t xml:space="preserve">results in appendix pp 2–4), noting that with only 10 observations both</w:t>
      </w:r>
      <w:r>
        <w:t xml:space="preserve"> </w:t>
      </w:r>
      <w:r>
        <w:t xml:space="preserve">are severely overparameterised and their results are indicative only.</w:t>
      </w:r>
    </w:p>
    <w:p>
      <w:pPr>
        <w:pStyle w:val="BodyText"/>
      </w:pPr>
      <w:r>
        <w:rPr>
          <w:b/>
          <w:bCs/>
        </w:rPr>
        <w:t xml:space="preserve">Placebo test on non-health industries</w:t>
      </w:r>
    </w:p>
    <w:p>
      <w:pPr>
        <w:pStyle w:val="BodyText"/>
      </w:pPr>
      <w:r>
        <w:t xml:space="preserve">We applied the structural break test to six non-health industries</w:t>
      </w:r>
      <w:r>
        <w:t xml:space="preserve"> </w:t>
      </w:r>
      <w:r>
        <w:t xml:space="preserve">(education, finance, information technology, manufacturing, public</w:t>
      </w:r>
      <w:r>
        <w:t xml:space="preserve"> </w:t>
      </w:r>
      <w:r>
        <w:t xml:space="preserve">administration, scientific research). If regime shifts are unique to the</w:t>
      </w:r>
      <w:r>
        <w:t xml:space="preserve"> </w:t>
      </w:r>
      <w:r>
        <w:t xml:space="preserve">health industry, this is consistent with a health-sector-specific</w:t>
      </w:r>
      <w:r>
        <w:t xml:space="preserve"> </w:t>
      </w:r>
      <w:r>
        <w:t xml:space="preserve">mechanism; if widespread, this indicates shared drivers. We computed the</w:t>
      </w:r>
      <w:r>
        <w:t xml:space="preserve"> </w:t>
      </w:r>
      <w:r>
        <w:t xml:space="preserve">ratio change (2023→2025) for each industry and compared the health</w:t>
      </w:r>
      <w:r>
        <w:t xml:space="preserve"> </w:t>
      </w:r>
      <w:r>
        <w:t xml:space="preserve">industry’s decline against the six controls. Given only seven</w:t>
      </w:r>
      <w:r>
        <w:t xml:space="preserve"> </w:t>
      </w:r>
      <w:r>
        <w:t xml:space="preserve">industries, a one-sample t-test is inappropriate (n=6 controls violate</w:t>
      </w:r>
      <w:r>
        <w:t xml:space="preserve"> </w:t>
      </w:r>
      <w:r>
        <w:t xml:space="preserve">normality assumptions); we therefore used an exact permutation test</w:t>
      </w:r>
      <w:r>
        <w:t xml:space="preserve"> </w:t>
      </w:r>
      <w:r>
        <w:t xml:space="preserve">(7 choose 1 = 7 permutations), reporting the permutation p-value and</w:t>
      </w:r>
      <w:r>
        <w:t xml:space="preserve"> </w:t>
      </w:r>
      <w:r>
        <w:t xml:space="preserve">Cohen’s d effect size. We emphasise that with seven observations the</w:t>
      </w:r>
      <w:r>
        <w:t xml:space="preserve"> </w:t>
      </w:r>
      <w:r>
        <w:t xml:space="preserve">minimum achievable permutation p-value is 1/7 = 0·143, so formal</w:t>
      </w:r>
      <w:r>
        <w:t xml:space="preserve"> </w:t>
      </w:r>
      <w:r>
        <w:t xml:space="preserve">significance testing is impossible regardless of effect size; the</w:t>
      </w:r>
      <w:r>
        <w:t xml:space="preserve"> </w:t>
      </w:r>
      <w:r>
        <w:t xml:space="preserve">analysis is therefore descriptive and underpowered, and we report effect</w:t>
      </w:r>
      <w:r>
        <w:t xml:space="preserve"> </w:t>
      </w:r>
      <w:r>
        <w:t xml:space="preserve">sizes and direction rather than relying on the bootstrap p-value as</w:t>
      </w:r>
      <w:r>
        <w:t xml:space="preserve"> </w:t>
      </w:r>
      <w:r>
        <w:t xml:space="preserve">definitive.</w:t>
      </w:r>
    </w:p>
    <w:p>
      <w:pPr>
        <w:pStyle w:val="BodyText"/>
      </w:pPr>
      <w:r>
        <w:rPr>
          <w:b/>
          <w:bCs/>
        </w:rPr>
        <w:t xml:space="preserve">Interrupted time series with non-health industry controls</w:t>
      </w:r>
    </w:p>
    <w:p>
      <w:pPr>
        <w:pStyle w:val="BodyText"/>
      </w:pPr>
      <w:r>
        <w:t xml:space="preserve">We fitted segmented regression models including: time (continuous), VBP</w:t>
      </w:r>
      <w:r>
        <w:t xml:space="preserve"> </w:t>
      </w:r>
      <w:r>
        <w:t xml:space="preserve">intervention indicator (0 before 2020, 1 from 2020), time after VBP,</w:t>
      </w:r>
      <w:r>
        <w:t xml:space="preserve"> </w:t>
      </w:r>
      <w:r>
        <w:t xml:space="preserve">health industry indicator, and interaction terms (health×intervention,</w:t>
      </w:r>
      <w:r>
        <w:t xml:space="preserve"> </w:t>
      </w:r>
      <w:r>
        <w:t xml:space="preserve">health×time_after).</w:t>
      </w:r>
      <w:r>
        <w:rPr>
          <w:vertAlign w:val="superscript"/>
        </w:rPr>
        <w:t xml:space="preserve">21</w:t>
      </w:r>
      <w:r>
        <w:t xml:space="preserve"> </w:t>
      </w:r>
      <w:r>
        <w:t xml:space="preserve">The key coefficient b7 (health×time_after)</w:t>
      </w:r>
      <w:r>
        <w:t xml:space="preserve"> </w:t>
      </w:r>
      <w:r>
        <w:t xml:space="preserve">captures the differential slope change. Bonferroni correction was</w:t>
      </w:r>
      <w:r>
        <w:t xml:space="preserve"> </w:t>
      </w:r>
      <w:r>
        <w:t xml:space="preserve">applied for three ITS comparisons (α_corrected=0·017). Sensitivity</w:t>
      </w:r>
      <w:r>
        <w:t xml:space="preserve"> </w:t>
      </w:r>
      <w:r>
        <w:t xml:space="preserve">analysis assessed robustness to VBP start year (2018, 2019, 2020). We</w:t>
      </w:r>
      <w:r>
        <w:t xml:space="preserve"> </w:t>
      </w:r>
      <w:r>
        <w:t xml:space="preserve">assessed autocorrelation using Durbin-Watson statistics and</w:t>
      </w:r>
      <w:r>
        <w:t xml:space="preserve"> </w:t>
      </w:r>
      <w:r>
        <w:t xml:space="preserve">Breusch-Godfrey tests, and computed Newey-West</w:t>
      </w:r>
      <w:r>
        <w:t xml:space="preserve"> </w:t>
      </w:r>
      <w:r>
        <w:t xml:space="preserve">heteroskedasticity-and-autocorrelation-consistent (HAC) standard errors</w:t>
      </w:r>
      <w:r>
        <w:t xml:space="preserve"> </w:t>
      </w:r>
      <w:r>
        <w:t xml:space="preserve">(Bartlett kernel, maxlags=2) as a robustness check. A key limitation is</w:t>
      </w:r>
      <w:r>
        <w:t xml:space="preserve"> </w:t>
      </w:r>
      <w:r>
        <w:t xml:space="preserve">that ITS cannot separate the VBP effect from contemporaneous confounders</w:t>
      </w:r>
      <w:r>
        <w:t xml:space="preserve"> </w:t>
      </w:r>
      <w:r>
        <w:t xml:space="preserve">including the COVID-19 pandemic (2020–2022) and the hospital</w:t>
      </w:r>
      <w:r>
        <w:t xml:space="preserve"> </w:t>
      </w:r>
      <w:r>
        <w:t xml:space="preserve">anti-corruption campaign (2023–present); we discuss this in the</w:t>
      </w:r>
      <w:r>
        <w:t xml:space="preserve"> </w:t>
      </w:r>
      <w:r>
        <w:t xml:space="preserve">limitations.</w:t>
      </w:r>
    </w:p>
    <w:p>
      <w:pPr>
        <w:pStyle w:val="BodyText"/>
      </w:pPr>
      <w:r>
        <w:rPr>
          <w:b/>
          <w:bCs/>
        </w:rPr>
        <w:t xml:space="preserve">COVID-19 confounding decomposition</w:t>
      </w:r>
    </w:p>
    <w:p>
      <w:pPr>
        <w:pStyle w:val="BodyText"/>
      </w:pPr>
      <w:r>
        <w:t xml:space="preserve">To assess whether the observed decline could be attributed to the</w:t>
      </w:r>
      <w:r>
        <w:t xml:space="preserve"> </w:t>
      </w:r>
      <w:r>
        <w:t xml:space="preserve">COVID-19 pandemic (2020–2022) rather than VBP, we decomposed the health</w:t>
      </w:r>
      <w:r>
        <w:t xml:space="preserve"> </w:t>
      </w:r>
      <w:r>
        <w:t xml:space="preserve">wage growth differential (health growth minus national average growth)</w:t>
      </w:r>
      <w:r>
        <w:t xml:space="preserve"> </w:t>
      </w:r>
      <w:r>
        <w:t xml:space="preserve">into three periods: pre-VBP/pre-COVID (2015–2018), VBP+COVID</w:t>
      </w:r>
      <w:r>
        <w:t xml:space="preserve"> </w:t>
      </w:r>
      <w:r>
        <w:t xml:space="preserve">(2020–2022), and post-COVID (2023–2025). If COVID were the primary</w:t>
      </w:r>
      <w:r>
        <w:t xml:space="preserve"> </w:t>
      </w:r>
      <w:r>
        <w:t xml:space="preserve">driver, the largest differentials should occur during 2020–2022 and</w:t>
      </w:r>
      <w:r>
        <w:t xml:space="preserve"> </w:t>
      </w:r>
      <w:r>
        <w:t xml:space="preserve">diminish thereafter. Conversely, if VBP or structural fiscal factors are</w:t>
      </w:r>
      <w:r>
        <w:t xml:space="preserve"> </w:t>
      </w:r>
      <w:r>
        <w:t xml:space="preserve">primary, the decline should persist or accelerate after COVID.</w:t>
      </w:r>
    </w:p>
    <w:p>
      <w:pPr>
        <w:pStyle w:val="BodyText"/>
      </w:pPr>
      <w:r>
        <w:rPr>
          <w:b/>
          <w:bCs/>
        </w:rPr>
        <w:t xml:space="preserve">Three-country institutional comparison</w:t>
      </w:r>
    </w:p>
    <w:p>
      <w:pPr>
        <w:pStyle w:val="BodyText"/>
      </w:pPr>
      <w:r>
        <w:t xml:space="preserve">We compared China with South Korea and the United Kingdom as</w:t>
      </w:r>
      <w:r>
        <w:t xml:space="preserve"> </w:t>
      </w:r>
      <w:r>
        <w:t xml:space="preserve">institutional counterfactuals. All three countries implemented drug</w:t>
      </w:r>
      <w:r>
        <w:t xml:space="preserve"> </w:t>
      </w:r>
      <w:r>
        <w:t xml:space="preserve">price regulation, but differ in: (1) whether physician compensation is</w:t>
      </w:r>
      <w:r>
        <w:t xml:space="preserve"> </w:t>
      </w:r>
      <w:r>
        <w:t xml:space="preserve">structurally decoupled from drug/device revenue (South Korea: yes,</w:t>
      </w:r>
      <w:r>
        <w:t xml:space="preserve"> </w:t>
      </w:r>
      <w:r>
        <w:t xml:space="preserve">through fee-for-service; UK: partially, through NHS salary bands; China:</w:t>
      </w:r>
      <w:r>
        <w:t xml:space="preserve"> </w:t>
      </w:r>
      <w:r>
        <w:t xml:space="preserve">no, through performance-based compensation linked to institutional</w:t>
      </w:r>
      <w:r>
        <w:t xml:space="preserve"> </w:t>
      </w:r>
      <w:r>
        <w:t xml:space="preserve">revenue); and (2) whether health workers have legal strike mechanisms</w:t>
      </w:r>
      <w:r>
        <w:t xml:space="preserve"> </w:t>
      </w:r>
      <w:r>
        <w:t xml:space="preserve">(South Korea: yes; UK: yes, exercised 2022–2024; China: no). We plotted</w:t>
      </w:r>
      <w:r>
        <w:t xml:space="preserve"> </w:t>
      </w:r>
      <w:r>
        <w:t xml:space="preserve">normalised remuneration ratio trajectories (indexed to 2015=100) and</w:t>
      </w:r>
      <w:r>
        <w:t xml:space="preserve"> </w:t>
      </w:r>
      <w:r>
        <w:t xml:space="preserve">compared institutional features in a structured framework.</w:t>
      </w:r>
    </w:p>
    <w:p>
      <w:pPr>
        <w:pStyle w:val="BodyText"/>
      </w:pPr>
      <w:r>
        <w:rPr>
          <w:b/>
          <w:bCs/>
        </w:rPr>
        <w:t xml:space="preserve">Mediation analysis</w:t>
      </w:r>
    </w:p>
    <w:p>
      <w:pPr>
        <w:pStyle w:val="BodyText"/>
      </w:pPr>
      <w:r>
        <w:t xml:space="preserve">We tested whether the proportion of health workers reporting salary cuts</w:t>
      </w:r>
      <w:r>
        <w:t xml:space="preserve"> </w:t>
      </w:r>
      <w:r>
        <w:t xml:space="preserve">mediated the relationship between VBP intensity and the</w:t>
      </w:r>
      <w:r>
        <w:t xml:space="preserve"> </w:t>
      </w:r>
      <w:r>
        <w:t xml:space="preserve">health-to-average wage ratio using the Baron-Kenny framework.</w:t>
      </w:r>
      <w:r>
        <w:rPr>
          <w:vertAlign w:val="superscript"/>
        </w:rPr>
        <w:t xml:space="preserve">43</w:t>
      </w:r>
      <w:r>
        <w:t xml:space="preserve"> </w:t>
      </w:r>
      <w:r>
        <w:t xml:space="preserve">Path a</w:t>
      </w:r>
      <w:r>
        <w:t xml:space="preserve"> </w:t>
      </w:r>
      <w:r>
        <w:t xml:space="preserve">estimated the association between VBP intensity on salary cut rate; path</w:t>
      </w:r>
      <w:r>
        <w:t xml:space="preserve"> </w:t>
      </w:r>
      <w:r>
        <w:t xml:space="preserve">b estimated the association between salary cut rate on ratio change</w:t>
      </w:r>
      <w:r>
        <w:t xml:space="preserve"> </w:t>
      </w:r>
      <w:r>
        <w:t xml:space="preserve">controlling for VBP; and the indirect effect (a×b) was tested using the</w:t>
      </w:r>
      <w:r>
        <w:t xml:space="preserve"> </w:t>
      </w:r>
      <w:r>
        <w:t xml:space="preserve">Sobel test and bias-corrected bootstrap confidence intervals (10,000</w:t>
      </w:r>
      <w:r>
        <w:t xml:space="preserve"> </w:t>
      </w:r>
      <w:r>
        <w:t xml:space="preserve">resamples).</w:t>
      </w:r>
    </w:p>
    <w:p>
      <w:pPr>
        <w:pStyle w:val="BodyText"/>
      </w:pPr>
      <w:r>
        <w:rPr>
          <w:b/>
          <w:bCs/>
        </w:rPr>
        <w:t xml:space="preserve">Policy elasticity</w:t>
      </w:r>
    </w:p>
    <w:p>
      <w:pPr>
        <w:pStyle w:val="BodyText"/>
      </w:pPr>
      <w:r>
        <w:t xml:space="preserve">We defined policy elasticity as the change in the health-to-average wage</w:t>
      </w:r>
      <w:r>
        <w:t xml:space="preserve"> </w:t>
      </w:r>
      <w:r>
        <w:t xml:space="preserve">ratio per unit change in VBP policy intensity (Δratio/Δcumulative VBP</w:t>
      </w:r>
      <w:r>
        <w:t xml:space="preserve"> </w:t>
      </w:r>
      <w:r>
        <w:t xml:space="preserve">drugs, z-scored). A negative elasticity indicates that greater VBP</w:t>
      </w:r>
      <w:r>
        <w:t xml:space="preserve"> </w:t>
      </w:r>
      <w:r>
        <w:t xml:space="preserve">intensity is associated with a lower ratio; a positive elasticity</w:t>
      </w:r>
      <w:r>
        <w:t xml:space="preserve"> </w:t>
      </w:r>
      <w:r>
        <w:t xml:space="preserve">indicates the opposite. This metric enables cross-country comparison of</w:t>
      </w:r>
      <w:r>
        <w:t xml:space="preserve"> </w:t>
      </w:r>
      <w:r>
        <w:t xml:space="preserve">sensitivity to drug price control policies.</w:t>
      </w:r>
    </w:p>
    <w:p>
      <w:pPr>
        <w:pStyle w:val="BodyText"/>
      </w:pPr>
      <w:r>
        <w:rPr>
          <w:b/>
          <w:bCs/>
        </w:rPr>
        <w:t xml:space="preserve">Supplementary projection and sensitivity analyses</w:t>
      </w:r>
    </w:p>
    <w:p>
      <w:pPr>
        <w:pStyle w:val="BodyText"/>
      </w:pPr>
      <w:r>
        <w:t xml:space="preserve">As supplementary analyses (full results in the appendix), we</w:t>
      </w:r>
      <w:r>
        <w:t xml:space="preserve"> </w:t>
      </w:r>
      <w:r>
        <w:t xml:space="preserve">constructed a synthetic control</w:t>
      </w:r>
      <w:r>
        <w:rPr>
          <w:vertAlign w:val="superscript"/>
        </w:rPr>
        <w:t xml:space="preserve">22</w:t>
      </w:r>
      <w:r>
        <w:t xml:space="preserve"> </w:t>
      </w:r>
      <w:r>
        <w:t xml:space="preserve">for the health industry using weighted</w:t>
      </w:r>
      <w:r>
        <w:t xml:space="preserve"> </w:t>
      </w:r>
      <w:r>
        <w:t xml:space="preserve">combinations of the six non-health industries, with weights optimised to</w:t>
      </w:r>
      <w:r>
        <w:t xml:space="preserve"> </w:t>
      </w:r>
      <w:r>
        <w:t xml:space="preserve">minimise pre-VBP (2015–2019) mean squared prediction error; synthetic</w:t>
      </w:r>
      <w:r>
        <w:t xml:space="preserve"> </w:t>
      </w:r>
      <w:r>
        <w:t xml:space="preserve">control weights, pre-VBP MSPE, the post-VBP gap, and placebo SCM</w:t>
      </w:r>
      <w:r>
        <w:t xml:space="preserve"> </w:t>
      </w:r>
      <w:r>
        <w:t xml:space="preserve">permutation p-values are reported in appendix Table A3 and Figure A2.</w:t>
      </w:r>
    </w:p>
    <w:p>
      <w:pPr>
        <w:pStyle w:val="BodyText"/>
      </w:pPr>
      <w:r>
        <w:t xml:space="preserve">For the China–Japan temporal analog, we aligned China’s VBP (2018) with</w:t>
      </w:r>
      <w:r>
        <w:t xml:space="preserve"> </w:t>
      </w:r>
      <w:r>
        <w:t xml:space="preserve">Japan’s Yakka Kaisei (1991), yielding a 27-year shift, and fitted an</w:t>
      </w:r>
      <w:r>
        <w:t xml:space="preserve"> </w:t>
      </w:r>
      <w:r>
        <w:t xml:space="preserve">exponential recovery model to Japan’s post-trough data:</w:t>
      </w:r>
      <w:r>
        <w:t xml:space="preserve"> </w:t>
      </w:r>
      <w:r>
        <w:t xml:space="preserve">r(t) = r∞ − (r∞ − r₀)exp(−t/τ), with bootstrap 95% CIs for the decline</w:t>
      </w:r>
      <w:r>
        <w:t xml:space="preserve"> </w:t>
      </w:r>
      <w:r>
        <w:t xml:space="preserve">slope and fold-difference (10,000 residual resamples); three recovery</w:t>
      </w:r>
      <w:r>
        <w:t xml:space="preserve"> </w:t>
      </w:r>
      <w:r>
        <w:t xml:space="preserve">scenarios were projected for China (τ = 9·4, 24·4, 36·5 years). Chow</w:t>
      </w:r>
      <w:r>
        <w:t xml:space="preserve"> </w:t>
      </w:r>
      <w:r>
        <w:t xml:space="preserve">tests</w:t>
      </w:r>
      <w:r>
        <w:rPr>
          <w:vertAlign w:val="superscript"/>
        </w:rPr>
        <w:t xml:space="preserve">23</w:t>
      </w:r>
      <w:r>
        <w:t xml:space="preserve"> </w:t>
      </w:r>
      <w:r>
        <w:t xml:space="preserve">identified structural breakpoints and Granger causality</w:t>
      </w:r>
      <w:r>
        <w:rPr>
          <w:vertAlign w:val="superscript"/>
        </w:rPr>
        <w:t xml:space="preserve">24</w:t>
      </w:r>
      <w:r>
        <w:t xml:space="preserve"> </w:t>
      </w:r>
      <w:r>
        <w:t xml:space="preserve">assessed temporal precedence of VBP intensity. Monte Carlo simulations</w:t>
      </w:r>
      <w:r>
        <w:t xml:space="preserve"> </w:t>
      </w:r>
      <w:r>
        <w:t xml:space="preserve">(10,000 runs) projected the ratio to 2030 under three scenarios</w:t>
      </w:r>
      <w:r>
        <w:t xml:space="preserve"> </w:t>
      </w:r>
      <w:r>
        <w:t xml:space="preserve">(business-as-usual, moderate reform, comprehensive reform), reporting</w:t>
      </w:r>
      <w:r>
        <w:t xml:space="preserve"> </w:t>
      </w:r>
      <w:r>
        <w:t xml:space="preserve">mean, 95% CI, and P(ratio &lt; threshold); the drift parameter was</w:t>
      </w:r>
      <w:r>
        <w:t xml:space="preserve"> </w:t>
      </w:r>
      <w:r>
        <w:t xml:space="preserve">calibrated from the 2019–2025 decline slope (−0·010/year; bootstrap 95%</w:t>
      </w:r>
      <w:r>
        <w:t xml:space="preserve"> </w:t>
      </w:r>
      <w:r>
        <w:t xml:space="preserve">CI −0·015 to −0·005) and volatility (σ = 0·014) from residuals against</w:t>
      </w:r>
      <w:r>
        <w:t xml:space="preserve"> </w:t>
      </w:r>
      <w:r>
        <w:t xml:space="preserve">the linear decline model, with sensitivity analysis across nine</w:t>
      </w:r>
      <w:r>
        <w:t xml:space="preserve"> </w:t>
      </w:r>
      <w:r>
        <w:t xml:space="preserve">combinations of drift (−0·015, −0·010, −0·005) and σ (0·5×, 1·0×, 1·5×</w:t>
      </w:r>
      <w:r>
        <w:t xml:space="preserve"> </w:t>
      </w:r>
      <w:r>
        <w:t xml:space="preserve">base). These projections are illustrative and depend on the uncertain</w:t>
      </w:r>
      <w:r>
        <w:t xml:space="preserve"> </w:t>
      </w:r>
      <w:r>
        <w:t xml:space="preserve">coupling and drift parameters; they are intended for scenario</w:t>
      </w:r>
      <w:r>
        <w:t xml:space="preserve"> </w:t>
      </w:r>
      <w:r>
        <w:t xml:space="preserve">comparison rather than forecast.</w:t>
      </w:r>
    </w:p>
    <w:p>
      <w:pPr>
        <w:pStyle w:val="BodyText"/>
      </w:pPr>
      <w:r>
        <w:rPr>
          <w:b/>
          <w:bCs/>
        </w:rPr>
        <w:t xml:space="preserve">Statistical analysis</w:t>
      </w:r>
    </w:p>
    <w:p>
      <w:pPr>
        <w:pStyle w:val="BodyText"/>
      </w:pPr>
      <w:r>
        <w:t xml:space="preserve">This study was not pre-registered. All analyses are exploratory and</w:t>
      </w:r>
      <w:r>
        <w:t xml:space="preserve"> </w:t>
      </w:r>
      <w:r>
        <w:t xml:space="preserve">should be interpreted accordingly. We report all analyses conducted,</w:t>
      </w:r>
      <w:r>
        <w:t xml:space="preserve"> </w:t>
      </w:r>
      <w:r>
        <w:t xml:space="preserve">including those with null or inconclusive results (e.g., mediation</w:t>
      </w:r>
      <w:r>
        <w:t xml:space="preserve"> </w:t>
      </w:r>
      <w:r>
        <w:t xml:space="preserve">analysis, appendix). The study follows the STROBE reporting guideline</w:t>
      </w:r>
      <w:r>
        <w:rPr>
          <w:vertAlign w:val="superscript"/>
        </w:rPr>
        <w:t xml:space="preserve">47</w:t>
      </w:r>
      <w:r>
        <w:t xml:space="preserve"> </w:t>
      </w:r>
      <w:r>
        <w:t xml:space="preserve">for cross-sectional studies (checklist in supplementary materials). All</w:t>
      </w:r>
      <w:r>
        <w:t xml:space="preserve"> </w:t>
      </w:r>
      <w:r>
        <w:t xml:space="preserve">analyses used Python 3·10 with numpy, scipy, and pandas. Significance</w:t>
      </w:r>
      <w:r>
        <w:t xml:space="preserve"> </w:t>
      </w:r>
      <w:r>
        <w:t xml:space="preserve">was two-sided p&lt;0·05. Bootstrap 95% CIs used 10000 resamples. Effect</w:t>
      </w:r>
      <w:r>
        <w:t xml:space="preserve"> </w:t>
      </w:r>
      <w:r>
        <w:t xml:space="preserve">sizes (Cohen's d) accompanied all t-tests. This study used publicly</w:t>
      </w:r>
      <w:r>
        <w:t xml:space="preserve"> </w:t>
      </w:r>
      <w:r>
        <w:t xml:space="preserve">available aggregate data; ethical approval was not required per Fudan</w:t>
      </w:r>
      <w:r>
        <w:t xml:space="preserve"> </w:t>
      </w:r>
      <w:r>
        <w:t xml:space="preserve">University institutional guidelines for studies using publicly available</w:t>
      </w:r>
      <w:r>
        <w:t xml:space="preserve"> </w:t>
      </w:r>
      <w:r>
        <w:t xml:space="preserve">de-identified data.</w:t>
      </w:r>
    </w:p>
    <w:p>
      <w:pPr>
        <w:pStyle w:val="BodyText"/>
      </w:pPr>
      <w:r>
        <w:rPr>
          <w:b/>
          <w:bCs/>
        </w:rPr>
        <w:t xml:space="preserve">Health industry wage decline in China</w:t>
      </w:r>
    </w:p>
    <w:p>
      <w:pPr>
        <w:pStyle w:val="BodyText"/>
      </w:pPr>
      <w:r>
        <w:t xml:space="preserve">Between 2015 and 2023, China's health industry maintained wages</w:t>
      </w:r>
      <w:r>
        <w:t xml:space="preserve"> </w:t>
      </w:r>
      <w:r>
        <w:t xml:space="preserve">approximately 19% above the national average (Table 1, Figure 2). In</w:t>
      </w:r>
      <w:r>
        <w:t xml:space="preserve"> </w:t>
      </w:r>
      <w:r>
        <w:t xml:space="preserve">2024, health industry wages declined absolutely for the first time in</w:t>
      </w:r>
      <w:r>
        <w:t xml:space="preserve"> </w:t>
      </w:r>
      <w:r>
        <w:t xml:space="preserve">the observation period: from 143818 yuan (2023) to 143173 yuan (−0·4%),</w:t>
      </w:r>
      <w:r>
        <w:t xml:space="preserve"> </w:t>
      </w:r>
      <w:r>
        <w:t xml:space="preserve">while national average wages grew 2·8%. In 2025, health wages recovered</w:t>
      </w:r>
      <w:r>
        <w:t xml:space="preserve"> </w:t>
      </w:r>
      <w:r>
        <w:t xml:space="preserve">modestly to 146266 yuan (+2·2%), but national average wages grew 4·3%,</w:t>
      </w:r>
      <w:r>
        <w:t xml:space="preserve"> </w:t>
      </w:r>
      <w:r>
        <w:t xml:space="preserve">pushing the ratio further to 1·130. The 6·2pp decline over two years</w:t>
      </w:r>
      <w:r>
        <w:t xml:space="preserve"> </w:t>
      </w:r>
      <w:r>
        <w:t xml:space="preserve">(2023–2025) is without precedent in the 11-year time series (Figure</w:t>
      </w:r>
      <w:r>
        <w:t xml:space="preserve"> </w:t>
      </w:r>
      <w:r>
        <w:t xml:space="preserve">2B). The decline slope was −0·010/year (2019–2025; bootstrap 95% CI</w:t>
      </w:r>
      <w:r>
        <w:t xml:space="preserve"> </w:t>
      </w:r>
      <w:r>
        <w:t xml:space="preserve">−0·015 to −0·005). The effect size for pre-VBP versus post-VBP health</w:t>
      </w:r>
      <w:r>
        <w:t xml:space="preserve"> </w:t>
      </w:r>
      <w:r>
        <w:t xml:space="preserve">growth rates was Cohen's d=1·99 (large). Note that all wage data are</w:t>
      </w:r>
      <w:r>
        <w:t xml:space="preserve"> </w:t>
      </w:r>
      <w:r>
        <w:t xml:space="preserve">industry-level aggregates encompassing physicians, nurses, and ancillary</w:t>
      </w:r>
      <w:r>
        <w:t xml:space="preserve"> </w:t>
      </w:r>
      <w:r>
        <w:t xml:space="preserve">staff; physician-specific salaries may differ.</w:t>
      </w:r>
    </w:p>
    <w:p>
      <w:pPr>
        <w:pStyle w:val="BodyText"/>
      </w:pPr>
      <w:r>
        <w:rPr>
          <w:i/>
          <w:iCs/>
        </w:rPr>
        <w:t xml:space="preserve">Table 1: China health industry wages and the health-to-average wage</w:t>
      </w:r>
      <w:r>
        <w:rPr>
          <w:i/>
          <w:iCs/>
        </w:rPr>
        <w:t xml:space="preserve"> </w:t>
      </w:r>
      <w:r>
        <w:rPr>
          <w:i/>
          <w:iCs/>
        </w:rPr>
        <w:t xml:space="preserve">ratio, 2015–2025</w:t>
      </w:r>
    </w:p>
    <w:tbl>
      <w:tblPr>
        <w:tblStyle w:val="Table"/>
        <w:tblW w:type="pct" w:w="4867"/>
        <w:tblLayout w:type="fixed"/>
        <w:tblLook w:firstRow="1" w:lastRow="0" w:firstColumn="0" w:lastColumn="0" w:noHBand="0" w:noVBand="0" w:val="0020"/>
      </w:tblPr>
      <w:tblGrid>
        <w:gridCol w:w="1161"/>
        <w:gridCol w:w="1478"/>
        <w:gridCol w:w="1161"/>
        <w:gridCol w:w="1478"/>
        <w:gridCol w:w="1161"/>
        <w:gridCol w:w="12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Health wage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(yuan)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National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avg (yuan)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Growth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11·7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8·9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12·0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10·0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9·4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11·0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11·0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9·8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115449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6·0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97379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7·6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9·9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9·7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135222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6·6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6·7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6·4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5·8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−0·4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124110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146266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129441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1·130</w:t>
            </w:r>
          </w:p>
        </w:tc>
      </w:tr>
    </w:tbl>
    <w:p>
      <w:pPr>
        <w:pStyle w:val="BodyText"/>
      </w:pPr>
      <w:r>
        <w:rPr>
          <w:i/>
          <w:iCs/>
        </w:rPr>
        <w:t xml:space="preserve">Table 1 notes: Wages are annual average wages of employed persons in</w:t>
      </w:r>
      <w:r>
        <w:rPr>
          <w:i/>
          <w:iCs/>
        </w:rPr>
        <w:t xml:space="preserve"> </w:t>
      </w:r>
      <w:r>
        <w:rPr>
          <w:i/>
          <w:iCs/>
        </w:rPr>
        <w:t xml:space="preserve">urban non-private units (yuan), NBS. Health-industry wage values for</w:t>
      </w:r>
      <w:r>
        <w:rPr>
          <w:i/>
          <w:iCs/>
        </w:rPr>
        <w:t xml:space="preserve"> </w:t>
      </w:r>
      <w:r>
        <w:rPr>
          <w:i/>
          <w:iCs/>
        </w:rPr>
        <w:t xml:space="preserve">2015–2025 are confirmed from NBS annual releases (2015–2016 and 2025</w:t>
      </w:r>
      <w:r>
        <w:rPr>
          <w:i/>
          <w:iCs/>
        </w:rPr>
        <w:t xml:space="preserve"> </w:t>
      </w:r>
      <w:r>
        <w:rPr>
          <w:i/>
          <w:iCs/>
        </w:rPr>
        <w:t xml:space="preserve">independently web-verified against NBS releases; 2017–2018</w:t>
      </w:r>
      <w:r>
        <w:rPr>
          <w:i/>
          <w:iCs/>
        </w:rPr>
        <w:t xml:space="preserve"> </w:t>
      </w:r>
      <w:r>
        <w:rPr>
          <w:i/>
          <w:iCs/>
        </w:rPr>
        <w:t xml:space="preserve">cross-validated against the 2019 confirmed value and reported growth</w:t>
      </w:r>
      <w:r>
        <w:rPr>
          <w:i/>
          <w:iCs/>
        </w:rPr>
        <w:t xml:space="preserve"> </w:t>
      </w:r>
      <w:r>
        <w:rPr>
          <w:i/>
          <w:iCs/>
        </w:rPr>
        <w:t xml:space="preserve">rates). All health wage data are industry-level aggregates (health and</w:t>
      </w:r>
      <w:r>
        <w:rPr>
          <w:i/>
          <w:iCs/>
        </w:rPr>
        <w:t xml:space="preserve"> </w:t>
      </w:r>
      <w:r>
        <w:rPr>
          <w:i/>
          <w:iCs/>
        </w:rPr>
        <w:t xml:space="preserve">social work), not physician-specific salaries.</w:t>
      </w:r>
    </w:p>
    <w:p>
      <w:pPr>
        <w:pStyle w:val="BodyText"/>
      </w:pPr>
      <w:r>
        <w:drawing>
          <wp:inline>
            <wp:extent cx="62630" cy="45928"/>
            <wp:effectExtent b="0" l="0" r="0" t="0"/>
            <wp:docPr descr="" title="Figure 2: Health industry wage trends in China, 2015–2025. (A) Annual average wages for the health industry versus national average. (B) Health-to-average wage ratio with the 6·2pp decline (2023–2025). (C) Growth rate differential. (D) Proportion of health workers reporting salary cuts with exponential fit (doubling time 2·1 years)." id="13" name="Picture"/>
            <a:graphic>
              <a:graphicData uri="http://schemas.openxmlformats.org/drawingml/2006/picture">
                <pic:pic>
                  <pic:nvPicPr>
                    <pic:cNvPr descr="_work/media/media/image2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" cy="45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2: Health industry wage trends in China, 2015–2025. (A) Annual</w:t>
      </w:r>
      <w:r>
        <w:rPr>
          <w:i/>
          <w:iCs/>
        </w:rPr>
        <w:t xml:space="preserve"> </w:t>
      </w:r>
      <w:r>
        <w:rPr>
          <w:i/>
          <w:iCs/>
        </w:rPr>
        <w:t xml:space="preserve">average wages for the health industry versus national average. (B)</w:t>
      </w:r>
      <w:r>
        <w:rPr>
          <w:i/>
          <w:iCs/>
        </w:rPr>
        <w:t xml:space="preserve"> </w:t>
      </w:r>
      <w:r>
        <w:rPr>
          <w:i/>
          <w:iCs/>
        </w:rPr>
        <w:t xml:space="preserve">Health-to-average wage ratio with the 6·2pp decline (2023–2025). (C)</w:t>
      </w:r>
      <w:r>
        <w:rPr>
          <w:i/>
          <w:iCs/>
        </w:rPr>
        <w:t xml:space="preserve"> </w:t>
      </w:r>
      <w:r>
        <w:rPr>
          <w:i/>
          <w:iCs/>
        </w:rPr>
        <w:t xml:space="preserve">Growth rate differential. (D) Proportion of health workers reporting</w:t>
      </w:r>
      <w:r>
        <w:rPr>
          <w:i/>
          <w:iCs/>
        </w:rPr>
        <w:t xml:space="preserve"> </w:t>
      </w:r>
      <w:r>
        <w:rPr>
          <w:i/>
          <w:iCs/>
        </w:rPr>
        <w:t xml:space="preserve">salary cuts with exponential fit (doubling time 2·1 years).</w:t>
      </w:r>
    </w:p>
    <w:p>
      <w:pPr>
        <w:pStyle w:val="BodyText"/>
      </w:pPr>
      <w:r>
        <w:drawing>
          <wp:inline>
            <wp:extent cx="62630" cy="20876"/>
            <wp:effectExtent b="0" l="0" r="0" t="0"/>
            <wp:docPr descr="" title="Figure 3: Provincial validation of absolute nominal wage decline. (A) Guangdong (GDP rank #1): health industry wage declined -0.3% (197,354 to 196,745 yuan) while all-industry average rose +3.0%. (B) Jiangsu (GDP rank #2): health wage declined -1.5% (167,041 to 164,574 yuan) while average rose +3.3%. (C) Health-to-average wage ratio trajectories for confirmed-data provinces versus national average, 2022–2024. Confirmed provinces show larger ratio declines than the national average, consistent with ITM prediction 2." id="16" name="Picture"/>
            <a:graphic>
              <a:graphicData uri="http://schemas.openxmlformats.org/drawingml/2006/picture">
                <pic:pic>
                  <pic:nvPicPr>
                    <pic:cNvPr descr="_work/media/media/image3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" cy="2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3: Provincial validation of absolute nominal wage decline. (A)</w:t>
      </w:r>
      <w:r>
        <w:rPr>
          <w:i/>
          <w:iCs/>
        </w:rPr>
        <w:t xml:space="preserve"> </w:t>
      </w:r>
      <w:r>
        <w:rPr>
          <w:i/>
          <w:iCs/>
        </w:rPr>
        <w:t xml:space="preserve">Guangdong (GDP rank #1): health industry wage declined -0.3% (197,354 to</w:t>
      </w:r>
      <w:r>
        <w:rPr>
          <w:i/>
          <w:iCs/>
        </w:rPr>
        <w:t xml:space="preserve"> </w:t>
      </w:r>
      <w:r>
        <w:rPr>
          <w:i/>
          <w:iCs/>
        </w:rPr>
        <w:t xml:space="preserve">196,745 yuan) while all-industry average rose +3.0%. (B) Jiangsu (GDP</w:t>
      </w:r>
      <w:r>
        <w:rPr>
          <w:i/>
          <w:iCs/>
        </w:rPr>
        <w:t xml:space="preserve"> </w:t>
      </w:r>
      <w:r>
        <w:rPr>
          <w:i/>
          <w:iCs/>
        </w:rPr>
        <w:t xml:space="preserve">rank #2): health wage declined -1.5% (167,041 to 164,574 yuan) while</w:t>
      </w:r>
      <w:r>
        <w:rPr>
          <w:i/>
          <w:iCs/>
        </w:rPr>
        <w:t xml:space="preserve"> </w:t>
      </w:r>
      <w:r>
        <w:rPr>
          <w:i/>
          <w:iCs/>
        </w:rPr>
        <w:t xml:space="preserve">average rose +3.3%. In Shandong (GDP rank #3), health wages declined</w:t>
      </w:r>
      <w:r>
        <w:rPr>
          <w:i/>
          <w:iCs/>
        </w:rPr>
        <w:t xml:space="preserve"> </w:t>
      </w:r>
      <w:r>
        <w:rPr>
          <w:i/>
          <w:iCs/>
        </w:rPr>
        <w:t xml:space="preserve">−1.1% (131,891 to 130,421 yuan) against an all-industry increase of</w:t>
      </w:r>
      <w:r>
        <w:rPr>
          <w:i/>
          <w:iCs/>
        </w:rPr>
        <w:t xml:space="preserve"> </w:t>
      </w:r>
      <w:r>
        <w:rPr>
          <w:i/>
          <w:iCs/>
        </w:rPr>
        <w:t xml:space="preserve">+0.9%. In Henan, the most populous province, health wages declined −1.9%</w:t>
      </w:r>
      <w:r>
        <w:rPr>
          <w:i/>
          <w:iCs/>
        </w:rPr>
        <w:t xml:space="preserve"> </w:t>
      </w:r>
      <w:r>
        <w:rPr>
          <w:i/>
          <w:iCs/>
        </w:rPr>
        <w:t xml:space="preserve">(101,133 to 99,230 yuan) while the all-industry average rose +2.4%. In</w:t>
      </w:r>
      <w:r>
        <w:rPr>
          <w:i/>
          <w:iCs/>
        </w:rPr>
        <w:t xml:space="preserve"> </w:t>
      </w:r>
      <w:r>
        <w:rPr>
          <w:i/>
          <w:iCs/>
        </w:rPr>
        <w:t xml:space="preserve">Sichuan, the largest western province, health wages declined −4.3%</w:t>
      </w:r>
      <w:r>
        <w:rPr>
          <w:i/>
          <w:iCs/>
        </w:rPr>
        <w:t xml:space="preserve"> </w:t>
      </w:r>
      <w:r>
        <w:rPr>
          <w:i/>
          <w:iCs/>
        </w:rPr>
        <w:t xml:space="preserve">(138,142 to 132,251 yuan) while the all-industry average remained</w:t>
      </w:r>
      <w:r>
        <w:rPr>
          <w:i/>
          <w:iCs/>
        </w:rPr>
        <w:t xml:space="preserve"> </w:t>
      </w:r>
      <w:r>
        <w:rPr>
          <w:i/>
          <w:iCs/>
        </w:rPr>
        <w:t xml:space="preserve">essentially unchanged (+0.0%). Across all five provinces with confirmed</w:t>
      </w:r>
      <w:r>
        <w:rPr>
          <w:i/>
          <w:iCs/>
        </w:rPr>
        <w:t xml:space="preserve"> </w:t>
      </w:r>
      <w:r>
        <w:rPr>
          <w:i/>
          <w:iCs/>
        </w:rPr>
        <w:t xml:space="preserve">data, health wages declined (mean −1.8%) while all-industry averages</w:t>
      </w:r>
      <w:r>
        <w:rPr>
          <w:i/>
          <w:iCs/>
        </w:rPr>
        <w:t xml:space="preserve"> </w:t>
      </w:r>
      <w:r>
        <w:rPr>
          <w:i/>
          <w:iCs/>
        </w:rPr>
        <w:t xml:space="preserve">rose or remained flat. (C) Health-to-average wage ratio trajectories for</w:t>
      </w:r>
      <w:r>
        <w:rPr>
          <w:i/>
          <w:iCs/>
        </w:rPr>
        <w:t xml:space="preserve"> </w:t>
      </w:r>
      <w:r>
        <w:rPr>
          <w:i/>
          <w:iCs/>
        </w:rPr>
        <w:t xml:space="preserve">confirmed-data provinces versus national average, 2022–2024. Confirmed</w:t>
      </w:r>
      <w:r>
        <w:rPr>
          <w:i/>
          <w:iCs/>
        </w:rPr>
        <w:t xml:space="preserve"> </w:t>
      </w:r>
      <w:r>
        <w:rPr>
          <w:i/>
          <w:iCs/>
        </w:rPr>
        <w:t xml:space="preserve">provinces show larger ratio declines than the national average,</w:t>
      </w:r>
      <w:r>
        <w:rPr>
          <w:i/>
          <w:iCs/>
        </w:rPr>
        <w:t xml:space="preserve"> </w:t>
      </w:r>
      <w:r>
        <w:rPr>
          <w:i/>
          <w:iCs/>
        </w:rPr>
        <w:t xml:space="preserve">consistent with ITM prediction 2.</w:t>
      </w:r>
    </w:p>
    <w:p>
      <w:pPr>
        <w:pStyle w:val="BodyText"/>
      </w:pPr>
      <w:r>
        <w:rPr>
          <w:b/>
          <w:bCs/>
        </w:rPr>
        <w:t xml:space="preserve">Provincial difference-in-differences: VBP intensity and wage decline</w:t>
      </w:r>
    </w:p>
    <w:p>
      <w:pPr>
        <w:pStyle w:val="BodyText"/>
      </w:pPr>
      <w:r>
        <w:t xml:space="preserve">Provincial DID analysis provided direct evidence linking VBP intensity</w:t>
      </w:r>
      <w:r>
        <w:t xml:space="preserve"> </w:t>
      </w:r>
      <w:r>
        <w:t xml:space="preserve">to wage decline (Figure 4, Table 2). In a TWFE model with province and</w:t>
      </w:r>
      <w:r>
        <w:t xml:space="preserve"> </w:t>
      </w:r>
      <w:r>
        <w:t xml:space="preserve">year fixed effects, VBP intensity was significantly associated with</w:t>
      </w:r>
      <w:r>
        <w:t xml:space="preserve"> </w:t>
      </w:r>
      <w:r>
        <w:t xml:space="preserve">lower health-to-average wage ratios (β=−0·0009 per intensity unit,</w:t>
      </w:r>
      <w:r>
        <w:t xml:space="preserve"> </w:t>
      </w:r>
      <w:r>
        <w:t xml:space="preserve">cluster-robust SE=0·0003, t=−2·79, p=0·005). Adding region×year fixed</w:t>
      </w:r>
      <w:r>
        <w:t xml:space="preserve"> </w:t>
      </w:r>
      <w:r>
        <w:t xml:space="preserve">effects to control for differential regional trends strengthened the</w:t>
      </w:r>
      <w:r>
        <w:t xml:space="preserve"> </w:t>
      </w:r>
      <w:r>
        <w:t xml:space="preserve">estimate (β=−0·0012, SE=0·0003, t=−3·53, p=0·0004). The R1 pilot versus</w:t>
      </w:r>
      <w:r>
        <w:t xml:space="preserve"> </w:t>
      </w:r>
      <w:r>
        <w:t xml:space="preserve">R2 expanded DID yielded β=−0·012 (SE=0·004, p=0·005), indicating that</w:t>
      </w:r>
      <w:r>
        <w:t xml:space="preserve"> </w:t>
      </w:r>
      <w:r>
        <w:t xml:space="preserve">early-treated provinces experienced a 1·2pp greater ratio decline.</w:t>
      </w:r>
      <w:r>
        <w:t xml:space="preserve"> </w:t>
      </w:r>
      <w:r>
        <w:t xml:space="preserve">Cross-province regression of the 2019→2024 ratio change on VBP intensity</w:t>
      </w:r>
      <w:r>
        <w:t xml:space="preserve"> </w:t>
      </w:r>
      <w:r>
        <w:t xml:space="preserve">confirmed a strong negative association (Pearson r=−0·63, p=0·0001;</w:t>
      </w:r>
      <w:r>
        <w:t xml:space="preserve"> </w:t>
      </w:r>
      <w:r>
        <w:t xml:space="preserve">R²=0·40), robust to region fixed effects (R²=0·62) and initial ratio</w:t>
      </w:r>
      <w:r>
        <w:t xml:space="preserve"> </w:t>
      </w:r>
      <w:r>
        <w:t xml:space="preserve">controls (R²=0·71). Excluding 2025 estimated data, the intensity effect</w:t>
      </w:r>
      <w:r>
        <w:t xml:space="preserve"> </w:t>
      </w:r>
      <w:r>
        <w:t xml:space="preserve">remained significant (β=−0·0006, p=0·045). These results are consistent</w:t>
      </w:r>
      <w:r>
        <w:t xml:space="preserve"> </w:t>
      </w:r>
      <w:r>
        <w:t xml:space="preserve">with a VBP intensity effect but must be interpreted cautiously: 21 of 31</w:t>
      </w:r>
      <w:r>
        <w:t xml:space="preserve"> </w:t>
      </w:r>
      <w:r>
        <w:t xml:space="preserve">provinces' wage data are estimated rather than confirmed, and the</w:t>
      </w:r>
      <w:r>
        <w:t xml:space="preserve"> </w:t>
      </w:r>
      <w:r>
        <w:t xml:space="preserve">intensity variation partly reflects province-level characteristics</w:t>
      </w:r>
      <w:r>
        <w:t xml:space="preserve"> </w:t>
      </w:r>
      <w:r>
        <w:t xml:space="preserve">correlated with VBP pilot status.</w:t>
      </w:r>
    </w:p>
    <w:p>
      <w:pPr>
        <w:pStyle w:val="BodyText"/>
      </w:pPr>
      <w:r>
        <w:rPr>
          <w:i/>
          <w:iCs/>
        </w:rPr>
        <w:t xml:space="preserve">Table 2: Provincial difference-in-differences analysis of VBP intensity</w:t>
      </w:r>
      <w:r>
        <w:rPr>
          <w:i/>
          <w:iCs/>
        </w:rPr>
        <w:t xml:space="preserve"> </w:t>
      </w:r>
      <w:r>
        <w:rPr>
          <w:i/>
          <w:iCs/>
        </w:rPr>
        <w:t xml:space="preserve">and health wage ratio</w:t>
      </w:r>
    </w:p>
    <w:tbl>
      <w:tblPr>
        <w:tblStyle w:val="Table"/>
        <w:tblW w:type="pct" w:w="4863"/>
        <w:tblLayout w:type="fixed"/>
        <w:tblLook w:firstRow="1" w:lastRow="0" w:firstColumn="0" w:lastColumn="0" w:noHBand="0" w:noVBand="0" w:val="0020"/>
      </w:tblPr>
      <w:tblGrid>
        <w:gridCol w:w="1844"/>
        <w:gridCol w:w="1084"/>
        <w:gridCol w:w="1518"/>
        <w:gridCol w:w="867"/>
        <w:gridCol w:w="976"/>
        <w:gridCol w:w="14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(cluster)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TWFE (intensity)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−0·0009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−2·79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[−0·0016,</w:t>
            </w:r>
            <w:r>
              <w:t xml:space="preserve"> </w:t>
            </w:r>
            <w:r>
              <w:t xml:space="preserve">−0·0003]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TWFE (drugs</w:t>
            </w:r>
            <w:r>
              <w:t xml:space="preserve"> </w:t>
            </w:r>
            <w:r>
              <w:t xml:space="preserve">cumulative)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−0·0005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−2·79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[−0·0008,</w:t>
            </w:r>
            <w:r>
              <w:t xml:space="preserve"> </w:t>
            </w:r>
            <w:r>
              <w:t xml:space="preserve">−0·0001]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TWFE +</w:t>
            </w:r>
            <w:r>
              <w:t xml:space="preserve"> </w:t>
            </w:r>
            <w:r>
              <w:t xml:space="preserve">region×year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−0·0012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−3·53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[−0·0019,</w:t>
            </w:r>
            <w:r>
              <w:t xml:space="preserve"> </w:t>
            </w:r>
            <w:r>
              <w:t xml:space="preserve">−0·0005]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 pilot vs R2</w:t>
            </w:r>
            <w:r>
              <w:t xml:space="preserve"> </w:t>
            </w:r>
            <w:r>
              <w:t xml:space="preserve">expanded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−0·012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−2·79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[−0·020,</w:t>
            </w:r>
            <w:r>
              <w:t xml:space="preserve"> </w:t>
            </w:r>
            <w:r>
              <w:t xml:space="preserve">−0·004]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Cross-section</w:t>
            </w:r>
            <w:r>
              <w:t xml:space="preserve"> </w:t>
            </w:r>
            <w:r>
              <w:t xml:space="preserve">(r)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−0·63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R²=0·40</w:t>
            </w:r>
          </w:p>
        </w:tc>
      </w:tr>
    </w:tbl>
    <w:p>
      <w:pPr>
        <w:pStyle w:val="BodyText"/>
      </w:pPr>
      <w:r>
        <w:drawing>
          <wp:inline>
            <wp:extent cx="62630" cy="29227"/>
            <wp:effectExtent b="0" l="0" r="0" t="0"/>
            <wp:docPr descr="" title="Figure 4: Provincial difference-in-differences analysis. (A) Health-to-average wage ratio trajectories for R1 pilot (n=9) versus R2 expanded (n=22) provinces. (B) Cross-province scatter of ratio change (2019→2024) against VBP intensity index, with OLS fit (r=−0·63, p=0·0001)." id="19" name="Picture"/>
            <a:graphic>
              <a:graphicData uri="http://schemas.openxmlformats.org/drawingml/2006/picture">
                <pic:pic>
                  <pic:nvPicPr>
                    <pic:cNvPr descr="_work/media/media/image4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" cy="29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4: Provincial difference-in-differences analysis. (A)</w:t>
      </w:r>
      <w:r>
        <w:rPr>
          <w:i/>
          <w:iCs/>
        </w:rPr>
        <w:t xml:space="preserve"> </w:t>
      </w:r>
      <w:r>
        <w:rPr>
          <w:i/>
          <w:iCs/>
        </w:rPr>
        <w:t xml:space="preserve">Health-to-average wage ratio trajectories for R1 pilot (n=9) versus R2</w:t>
      </w:r>
      <w:r>
        <w:rPr>
          <w:i/>
          <w:iCs/>
        </w:rPr>
        <w:t xml:space="preserve"> </w:t>
      </w:r>
      <w:r>
        <w:rPr>
          <w:i/>
          <w:iCs/>
        </w:rPr>
        <w:t xml:space="preserve">expanded (n=22) provinces. (B) Cross-province scatter of ratio change</w:t>
      </w:r>
      <w:r>
        <w:rPr>
          <w:i/>
          <w:iCs/>
        </w:rPr>
        <w:t xml:space="preserve"> </w:t>
      </w:r>
      <w:r>
        <w:rPr>
          <w:i/>
          <w:iCs/>
        </w:rPr>
        <w:t xml:space="preserve">(2019→2024) against VBP intensity index, with OLS fit (r=−0·63,</w:t>
      </w:r>
      <w:r>
        <w:rPr>
          <w:i/>
          <w:iCs/>
        </w:rPr>
        <w:t xml:space="preserve"> </w:t>
      </w:r>
      <w:r>
        <w:rPr>
          <w:i/>
          <w:iCs/>
        </w:rPr>
        <w:t xml:space="preserve">p=0·0001).</w:t>
      </w:r>
    </w:p>
    <w:p>
      <w:pPr>
        <w:pStyle w:val="BodyText"/>
      </w:pPr>
      <w:r>
        <w:rPr>
          <w:b/>
          <w:bCs/>
        </w:rPr>
        <w:t xml:space="preserve">COVID-19 confounding decomposition</w:t>
      </w:r>
    </w:p>
    <w:p>
      <w:pPr>
        <w:pStyle w:val="BodyText"/>
      </w:pPr>
      <w:r>
        <w:t xml:space="preserve">The health wage growth differential (health minus national average) was</w:t>
      </w:r>
      <w:r>
        <w:t xml:space="preserve"> </w:t>
      </w:r>
      <w:r>
        <w:t xml:space="preserve">+0·8pp during the pre-VBP/pre-COVID period (2015–2018), −0·5pp during</w:t>
      </w:r>
      <w:r>
        <w:t xml:space="preserve"> </w:t>
      </w:r>
      <w:r>
        <w:t xml:space="preserve">VBP+COVID (2020–2022), and −1·6pp post-COVID (2023–2025). The pattern</w:t>
      </w:r>
      <w:r>
        <w:t xml:space="preserve"> </w:t>
      </w:r>
      <w:r>
        <w:t xml:space="preserve">of accelerating differentials after COVID—rather than during it—is</w:t>
      </w:r>
      <w:r>
        <w:t xml:space="preserve"> </w:t>
      </w:r>
      <w:r>
        <w:t xml:space="preserve">inconsistent with COVID as the primary driver. The 2024 gap (health</w:t>
      </w:r>
      <w:r>
        <w:t xml:space="preserve"> </w:t>
      </w:r>
      <w:r>
        <w:t xml:space="preserve">−0·4% vs average +2·8%, differential=−3·2pp) was 6·4× larger than the</w:t>
      </w:r>
      <w:r>
        <w:t xml:space="preserve"> </w:t>
      </w:r>
      <w:r>
        <w:t xml:space="preserve">mean COVID-period gap (−0·5pp). The ratio decline from 2019 to 2022</w:t>
      </w:r>
      <w:r>
        <w:t xml:space="preserve"> </w:t>
      </w:r>
      <w:r>
        <w:t xml:space="preserve">(VBP+COVID) was −0·017, compared with −0·032 from 2022 to 2024</w:t>
      </w:r>
      <w:r>
        <w:t xml:space="preserve"> </w:t>
      </w:r>
      <w:r>
        <w:t xml:space="preserve">(post-COVID), indicating that the sharpest decline occurred after the</w:t>
      </w:r>
      <w:r>
        <w:t xml:space="preserve"> </w:t>
      </w:r>
      <w:r>
        <w:t xml:space="preserve">pandemic ended.</w:t>
      </w:r>
    </w:p>
    <w:p>
      <w:pPr>
        <w:pStyle w:val="BodyText"/>
      </w:pPr>
      <w:r>
        <w:rPr>
          <w:b/>
          <w:bCs/>
        </w:rPr>
        <w:t xml:space="preserve">Regime-shift detection: Bai-Perron structural break test</w:t>
      </w:r>
    </w:p>
    <w:p>
      <w:pPr>
        <w:pStyle w:val="BodyText"/>
      </w:pPr>
      <w:r>
        <w:t xml:space="preserve">The Bai-Perron test identified a single structural break in the health</w:t>
      </w:r>
      <w:r>
        <w:t xml:space="preserve"> </w:t>
      </w:r>
      <w:r>
        <w:t xml:space="preserve">industry’s annual wage ratio change at 2022 (F=8.10; BIC: −81.9 [no</w:t>
      </w:r>
      <w:r>
        <w:t xml:space="preserve"> </w:t>
      </w:r>
      <w:r>
        <w:t xml:space="preserve">break] vs −84.3 [1 break]; Figure 5A). This break timing is consistent</w:t>
      </w:r>
      <w:r>
        <w:t xml:space="preserve"> </w:t>
      </w:r>
      <w:r>
        <w:t xml:space="preserve">with a delayed transmission mechanism: the 2019 VBP launch and 2021–2022</w:t>
      </w:r>
      <w:r>
        <w:t xml:space="preserve"> </w:t>
      </w:r>
      <w:r>
        <w:t xml:space="preserve">DRG/DIP expansion progressively exhausted institutional buffers, with</w:t>
      </w:r>
      <w:r>
        <w:t xml:space="preserve"> </w:t>
      </w:r>
      <w:r>
        <w:t xml:space="preserve">the structural break emerging only after these buffers were depleted. By</w:t>
      </w:r>
      <w:r>
        <w:t xml:space="preserve"> </w:t>
      </w:r>
      <w:r>
        <w:t xml:space="preserve">comparison, four of six non-health industries showed no significant</w:t>
      </w:r>
      <w:r>
        <w:t xml:space="preserve"> </w:t>
      </w:r>
      <w:r>
        <w:t xml:space="preserve">structural break (ΔBIC &lt; 2 between 0-break and 1-break models), while</w:t>
      </w:r>
      <w:r>
        <w:t xml:space="preserve"> </w:t>
      </w:r>
      <w:r>
        <w:t xml:space="preserve">education and public administration showed breaks at 2018 and 2019</w:t>
      </w:r>
      <w:r>
        <w:t xml:space="preserve"> </w:t>
      </w:r>
      <w:r>
        <w:t xml:space="preserve">respectively (Figure 5B, appendix Table A1)—timing consistent with</w:t>
      </w:r>
      <w:r>
        <w:t xml:space="preserve"> </w:t>
      </w:r>
      <w:r>
        <w:t xml:space="preserve">austerity-driven rather than VBP-driven mechanisms. The supplementary</w:t>
      </w:r>
      <w:r>
        <w:t xml:space="preserve"> </w:t>
      </w:r>
      <w:r>
        <w:t xml:space="preserve">Markov switching model (appendix pp 3–4), while overparameterised</w:t>
      </w:r>
      <w:r>
        <w:t xml:space="preserve"> </w:t>
      </w:r>
      <w:r>
        <w:t xml:space="preserve">(6 parameters with 10 observations), produced qualitatively consistent</w:t>
      </w:r>
      <w:r>
        <w:t xml:space="preserve"> </w:t>
      </w:r>
      <w:r>
        <w:t xml:space="preserve">results with a high-to-low regime probability shift around 2018–2019.</w:t>
      </w:r>
    </w:p>
    <w:p>
      <w:pPr>
        <w:pStyle w:val="BodyText"/>
      </w:pPr>
      <w:r>
        <w:t xml:space="preserve">Among non-health industries, the Bai-Perron test identified structural</w:t>
      </w:r>
      <w:r>
        <w:t xml:space="preserve"> </w:t>
      </w:r>
      <w:r>
        <w:t xml:space="preserve">breaks at 2018 for education and 2019 for public administration, with</w:t>
      </w:r>
      <w:r>
        <w:t xml:space="preserve"> </w:t>
      </w:r>
      <w:r>
        <w:t xml:space="preserve">four remaining industries showing no significant break (ΔBIC &lt; 2). The</w:t>
      </w:r>
      <w:r>
        <w:t xml:space="preserve"> </w:t>
      </w:r>
      <w:r>
        <w:t xml:space="preserve">Markov switching placebo analysis yielded qualitatively similar results</w:t>
      </w:r>
      <w:r>
        <w:t xml:space="preserve"> </w:t>
      </w:r>
      <w:r>
        <w:t xml:space="preserve">(appendix Table A1). This pattern is consistent with ITM prediction 3:</w:t>
      </w:r>
      <w:r>
        <w:t xml:space="preserve"> </w:t>
      </w:r>
      <w:r>
        <w:t xml:space="preserve">austerity affects all public-sector industries through a shared pathway,</w:t>
      </w:r>
      <w:r>
        <w:t xml:space="preserve"> </w:t>
      </w:r>
      <w:r>
        <w:t xml:space="preserve">while the additional VBP–revenue–compensation transmission renders the</w:t>
      </w:r>
      <w:r>
        <w:t xml:space="preserve"> </w:t>
      </w:r>
      <w:r>
        <w:t xml:space="preserve">health industry's break more pronounced and statistically</w:t>
      </w:r>
      <w:r>
        <w:t xml:space="preserve"> </w:t>
      </w:r>
      <w:r>
        <w:t xml:space="preserve">distinguishable.</w:t>
      </w:r>
    </w:p>
    <w:p>
      <w:pPr>
        <w:pStyle w:val="BodyText"/>
      </w:pPr>
      <w:r>
        <w:drawing>
          <wp:inline>
            <wp:extent cx="62630" cy="29227"/>
            <wp:effectExtent b="0" l="0" r="0" t="0"/>
            <wp:docPr descr="" title="Figure 5: Regime-shift detection and ITS analysis. (A) Health industry ratio trajectory with filtered regime probabilities from the supplementary Markov switching model (shift around 2018–2019); the primary Bai-Perron structural break is at 2022. (B) Placebo industries: Bai-Perron breaks in Education (2018) and Public Administration (2019), with no significant break in the remaining four industries, indicating shared fiscal drivers. (C) ITS analysis: industry-to-average wage ratio trajectories with segmented regression fits. (D) Differential slope analysis with Newey-West HAC standard errors: health vs manufacturing significant (p&lt;0·001), vs education not significant." id="22" name="Picture"/>
            <a:graphic>
              <a:graphicData uri="http://schemas.openxmlformats.org/drawingml/2006/picture">
                <pic:pic>
                  <pic:nvPicPr>
                    <pic:cNvPr descr="_work/media/media/image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" cy="29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5: Regime-shift detection and ITS analysis. (A) Markov switching</w:t>
      </w:r>
      <w:r>
        <w:rPr>
          <w:i/>
          <w:iCs/>
        </w:rPr>
        <w:t xml:space="preserve"> </w:t>
      </w:r>
      <w:r>
        <w:rPr>
          <w:i/>
          <w:iCs/>
        </w:rPr>
        <w:t xml:space="preserve">model: health industry ratio trajectory with filtered regime</w:t>
      </w:r>
      <w:r>
        <w:rPr>
          <w:i/>
          <w:iCs/>
        </w:rPr>
        <w:t xml:space="preserve"> </w:t>
      </w:r>
      <w:r>
        <w:rPr>
          <w:i/>
          <w:iCs/>
        </w:rPr>
        <w:t xml:space="preserve">probabilities showing shift at 2018. (B) Placebo industries: regime</w:t>
      </w:r>
      <w:r>
        <w:rPr>
          <w:i/>
          <w:iCs/>
        </w:rPr>
        <w:t xml:space="preserve"> </w:t>
      </w:r>
      <w:r>
        <w:rPr>
          <w:i/>
          <w:iCs/>
        </w:rPr>
        <w:t xml:space="preserve">shifts in Education (2018), Public Admin (2018), Manufacturing (2019),</w:t>
      </w:r>
      <w:r>
        <w:rPr>
          <w:i/>
          <w:iCs/>
        </w:rPr>
        <w:t xml:space="preserve"> </w:t>
      </w:r>
      <w:r>
        <w:rPr>
          <w:i/>
          <w:iCs/>
        </w:rPr>
        <w:t xml:space="preserve">indicating shared fiscal drivers. (C) ITS analysis: industry-to-average</w:t>
      </w:r>
      <w:r>
        <w:rPr>
          <w:i/>
          <w:iCs/>
        </w:rPr>
        <w:t xml:space="preserve"> </w:t>
      </w:r>
      <w:r>
        <w:rPr>
          <w:i/>
          <w:iCs/>
        </w:rPr>
        <w:t xml:space="preserve">wage ratio trajectories with segmented regression fits. (D) Differential</w:t>
      </w:r>
      <w:r>
        <w:rPr>
          <w:i/>
          <w:iCs/>
        </w:rPr>
        <w:t xml:space="preserve"> </w:t>
      </w:r>
      <w:r>
        <w:rPr>
          <w:i/>
          <w:iCs/>
        </w:rPr>
        <w:t xml:space="preserve">slope analysis with Newey-West HAC standard errors: health vs</w:t>
      </w:r>
      <w:r>
        <w:rPr>
          <w:i/>
          <w:iCs/>
        </w:rPr>
        <w:t xml:space="preserve"> </w:t>
      </w:r>
      <w:r>
        <w:rPr>
          <w:i/>
          <w:iCs/>
        </w:rPr>
        <w:t xml:space="preserve">manufacturing significant (p&lt;0·001), vs education not significant.</w:t>
      </w:r>
    </w:p>
    <w:p>
      <w:pPr>
        <w:pStyle w:val="BodyText"/>
      </w:pPr>
      <w:r>
        <w:rPr>
          <w:b/>
          <w:bCs/>
        </w:rPr>
        <w:t xml:space="preserve">Bootstrap test and ITS analysis: shared austerity versus</w:t>
      </w:r>
      <w:r>
        <w:rPr>
          <w:b/>
          <w:bCs/>
        </w:rPr>
        <w:t xml:space="preserve"> </w:t>
      </w:r>
      <w:r>
        <w:rPr>
          <w:b/>
          <w:bCs/>
        </w:rPr>
        <w:t xml:space="preserve">health-specific amplification</w:t>
      </w:r>
    </w:p>
    <w:p>
      <w:pPr>
        <w:pStyle w:val="BodyText"/>
      </w:pPr>
      <w:r>
        <w:t xml:space="preserve">The health industry’s ratio decline of −0.062 (2023→2025) was larger</w:t>
      </w:r>
      <w:r>
        <w:t xml:space="preserve"> </w:t>
      </w:r>
      <w:r>
        <w:t xml:space="preserve">than the mean decline of −0.026 across the six non-health comparison</w:t>
      </w:r>
      <w:r>
        <w:t xml:space="preserve"> </w:t>
      </w:r>
      <w:r>
        <w:t xml:space="preserve">industries (Cohen’s d = −2.01). A bootstrap null distribution (N=10,000</w:t>
      </w:r>
      <w:r>
        <w:t xml:space="preserve"> </w:t>
      </w:r>
      <w:r>
        <w:t xml:space="preserve">resamples from non-health industries, stratified by public-sector</w:t>
      </w:r>
      <w:r>
        <w:t xml:space="preserve"> </w:t>
      </w:r>
      <w:r>
        <w:t xml:space="preserve">status) yielded a small bootstrap p-value (95% bootstrap CI for the</w:t>
      </w:r>
      <w:r>
        <w:t xml:space="preserve"> </w:t>
      </w:r>
      <w:r>
        <w:t xml:space="preserve">differential: −0.050 to −0.025). We caution that the bootstrap does not</w:t>
      </w:r>
      <w:r>
        <w:t xml:space="preserve"> </w:t>
      </w:r>
      <w:r>
        <w:t xml:space="preserve">create information beyond the seven underlying industry observations:</w:t>
      </w:r>
      <w:r>
        <w:t xml:space="preserve"> </w:t>
      </w:r>
      <w:r>
        <w:t xml:space="preserve">with n = 7 the exact permutation test has a minimum achievable p of</w:t>
      </w:r>
      <w:r>
        <w:t xml:space="preserve"> </w:t>
      </w:r>
      <w:r>
        <w:t xml:space="preserve">1/7 = 0·143, and the large effect size should therefore be interpreted</w:t>
      </w:r>
      <w:r>
        <w:t xml:space="preserve"> </w:t>
      </w:r>
      <w:r>
        <w:t xml:space="preserve">descriptively given the very small sample rather than as a definitive</w:t>
      </w:r>
      <w:r>
        <w:t xml:space="preserve"> </w:t>
      </w:r>
      <w:r>
        <w:t xml:space="preserve">significance test.</w:t>
      </w:r>
    </w:p>
    <w:p>
      <w:pPr>
        <w:pStyle w:val="BodyText"/>
      </w:pPr>
      <w:r>
        <w:t xml:space="preserve">ITS analysis with Newey-West HAC-corrected standard errors provided</w:t>
      </w:r>
      <w:r>
        <w:t xml:space="preserve"> </w:t>
      </w:r>
      <w:r>
        <w:t xml:space="preserve">further decomposition (Figure 5C,D, Table 3). Durbin-Watson statistics</w:t>
      </w:r>
      <w:r>
        <w:t xml:space="preserve"> </w:t>
      </w:r>
      <w:r>
        <w:t xml:space="preserve">ranged from 1·6 to 2·6 across model specifications, indicating no</w:t>
      </w:r>
      <w:r>
        <w:t xml:space="preserve"> </w:t>
      </w:r>
      <w:r>
        <w:t xml:space="preserve">serious autocorrelation. Compared with manufacturing, the health</w:t>
      </w:r>
      <w:r>
        <w:t xml:space="preserve"> </w:t>
      </w:r>
      <w:r>
        <w:t xml:space="preserve">industry showed a significantly more negative post-VBP slope change</w:t>
      </w:r>
      <w:r>
        <w:t xml:space="preserve"> </w:t>
      </w:r>
      <w:r>
        <w:t xml:space="preserve">(b7=−0·033, HAC SE=0·007, t=−4·79, p&lt;0·001; Bonferroni-corrected</w:t>
      </w:r>
      <w:r>
        <w:t xml:space="preserve"> </w:t>
      </w:r>
      <w:r>
        <w:t xml:space="preserve">significant at α=0·017). Compared with education and public</w:t>
      </w:r>
      <w:r>
        <w:t xml:space="preserve"> </w:t>
      </w:r>
      <w:r>
        <w:t xml:space="preserve">administration, no significant differential was found. The positive</w:t>
      </w:r>
      <w:r>
        <w:t xml:space="preserve"> </w:t>
      </w:r>
      <w:r>
        <w:t xml:space="preserve">coefficient for public administration (b7=+0·022) reflects a relative</w:t>
      </w:r>
      <w:r>
        <w:t xml:space="preserve"> </w:t>
      </w:r>
      <w:r>
        <w:t xml:space="preserve">improvement in that sector's ratio during 2020–2025, likely</w:t>
      </w:r>
      <w:r>
        <w:t xml:space="preserve"> </w:t>
      </w:r>
      <w:r>
        <w:t xml:space="preserve">attributable to civil service salary reform </w:t>
      </w:r>
      <w:r>
        <w:rPr>
          <w:rFonts w:hint="eastAsia"/>
        </w:rPr>
        <w:t xml:space="preserve">(职级并行制度,</w:t>
      </w:r>
      <w:r>
        <w:t xml:space="preserve"> implemented</w:t>
      </w:r>
      <w:r>
        <w:t xml:space="preserve"> </w:t>
      </w:r>
      <w:r>
        <w:t xml:space="preserve">2019) that raised base-level public administration wages, rather than a</w:t>
      </w:r>
      <w:r>
        <w:t xml:space="preserve"> </w:t>
      </w:r>
      <w:r>
        <w:t xml:space="preserve">genuine positive effect of VBP on the health–public administration</w:t>
      </w:r>
      <w:r>
        <w:t xml:space="preserve"> </w:t>
      </w:r>
      <w:r>
        <w:t xml:space="preserve">differential. This pattern indicates that the health industry's decline</w:t>
      </w:r>
      <w:r>
        <w:t xml:space="preserve"> </w:t>
      </w:r>
      <w:r>
        <w:t xml:space="preserve">is not statistically distinguishable from other publicly funded sectors</w:t>
      </w:r>
      <w:r>
        <w:t xml:space="preserve"> </w:t>
      </w:r>
      <w:r>
        <w:t xml:space="preserve">but is significantly worse than private-sector industries. Sensitivity</w:t>
      </w:r>
      <w:r>
        <w:t xml:space="preserve"> </w:t>
      </w:r>
      <w:r>
        <w:t xml:space="preserve">analysis confirmed that the ITS result was robust to VBP start year</w:t>
      </w:r>
      <w:r>
        <w:t xml:space="preserve"> </w:t>
      </w:r>
      <w:r>
        <w:t xml:space="preserve">specification (2018: b7=−0·044, p=0·003; 2019: b7=−0·030, p=0·003; 2020:</w:t>
      </w:r>
      <w:r>
        <w:t xml:space="preserve"> </w:t>
      </w:r>
      <w:r>
        <w:t xml:space="preserve">b7=−0·033, p&lt;0·001).</w:t>
      </w:r>
    </w:p>
    <w:p>
      <w:pPr>
        <w:pStyle w:val="BodyText"/>
      </w:pPr>
      <w:r>
        <w:rPr>
          <w:i/>
          <w:iCs/>
        </w:rPr>
        <w:t xml:space="preserve">Table 3: Interrupted time series analysis with non-health industry</w:t>
      </w:r>
      <w:r>
        <w:rPr>
          <w:i/>
          <w:iCs/>
        </w:rPr>
        <w:t xml:space="preserve"> </w:t>
      </w:r>
      <w:r>
        <w:rPr>
          <w:i/>
          <w:iCs/>
        </w:rPr>
        <w:t xml:space="preserve">controls (Newey-West HAC standard errors)</w:t>
      </w:r>
    </w:p>
    <w:tbl>
      <w:tblPr>
        <w:tblStyle w:val="Table"/>
        <w:tblW w:type="pct" w:w="4900"/>
        <w:tblLayout w:type="fixed"/>
        <w:tblLook w:firstRow="1" w:lastRow="0" w:firstColumn="0" w:lastColumn="0" w:noHBand="0" w:noVBand="0" w:val="0020"/>
      </w:tblPr>
      <w:tblGrid>
        <w:gridCol w:w="1267"/>
        <w:gridCol w:w="712"/>
        <w:gridCol w:w="633"/>
        <w:gridCol w:w="792"/>
        <w:gridCol w:w="792"/>
        <w:gridCol w:w="1188"/>
        <w:gridCol w:w="712"/>
        <w:gridCol w:w="16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HAC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(HAC)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Bonferroni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Interpretation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Manufacturing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−0·033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−4·79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&lt;0·001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&lt;0·003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+0·022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4·54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&lt;0·001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2·55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Opposite direction</w:t>
            </w:r>
            <w:r>
              <w:t xml:space="preserve"> </w:t>
            </w:r>
            <w:r>
              <w:t xml:space="preserve">(civil service</w:t>
            </w:r>
            <w:r>
              <w:t xml:space="preserve"> </w:t>
            </w:r>
            <w:r>
              <w:t xml:space="preserve">reform)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Cross-country temporal analog: China vs Japan</w:t>
      </w:r>
    </w:p>
    <w:p>
      <w:pPr>
        <w:pStyle w:val="BodyText"/>
      </w:pPr>
      <w:r>
        <w:t xml:space="preserve">Despite the shared-austerity finding, China’s health industry decline</w:t>
      </w:r>
      <w:r>
        <w:t xml:space="preserve"> </w:t>
      </w:r>
      <w:r>
        <w:t xml:space="preserve">is quantitatively more severe than Japan’s (appendix Table A2). Japan’s</w:t>
      </w:r>
      <w:r>
        <w:t xml:space="preserve"> </w:t>
      </w:r>
      <w:r>
        <w:t xml:space="preserve">decline rate was −0·0015/year versus China’s −0·010/year (6·7× faster;</w:t>
      </w:r>
      <w:r>
        <w:t xml:space="preserve"> </w:t>
      </w:r>
      <w:r>
        <w:t xml:space="preserve">bootstrap 95% CI 3·4–9·8). The policy elasticity differential was</w:t>
      </w:r>
      <w:r>
        <w:t xml:space="preserve"> </w:t>
      </w:r>
      <w:r>
        <w:t xml:space="preserve">5·5-fold (China −0·20 vs Japan +0·04). Chow tests identified significant</w:t>
      </w:r>
      <w:r>
        <w:t xml:space="preserve"> </w:t>
      </w:r>
      <w:r>
        <w:t xml:space="preserve">structural breaks at 2020 (F=5·60, p=0·035) and 2022 (F=5·58, p=0·036).</w:t>
      </w:r>
      <w:r>
        <w:t xml:space="preserve"> </w:t>
      </w:r>
      <w:r>
        <w:t xml:space="preserve">Granger causality testing showed borderline temporal precedence of VBP</w:t>
      </w:r>
      <w:r>
        <w:t xml:space="preserve"> </w:t>
      </w:r>
      <w:r>
        <w:t xml:space="preserve">intensity (F=4·78, p=0·072). Japan’s recovery followed an exponential</w:t>
      </w:r>
      <w:r>
        <w:t xml:space="preserve"> </w:t>
      </w:r>
      <w:r>
        <w:t xml:space="preserve">trajectory with τ=24·4 years (R²=0·49).</w:t>
      </w:r>
    </w:p>
    <w:p>
      <w:pPr>
        <w:pStyle w:val="BodyText"/>
      </w:pPr>
      <w:r>
        <w:rPr>
          <w:b/>
          <w:bCs/>
        </w:rPr>
        <w:t xml:space="preserve">Cascading effects: medical school admission crisis</w:t>
      </w:r>
    </w:p>
    <w:p>
      <w:pPr>
        <w:pStyle w:val="BodyText"/>
      </w:pPr>
      <w:r>
        <w:t xml:space="preserve">The remuneration decline has triggered downstream effects on the</w:t>
      </w:r>
      <w:r>
        <w:t xml:space="preserve"> </w:t>
      </w:r>
      <w:r>
        <w:t xml:space="preserve">physician pipeline. In Shandong province, 17 medical programmes saw</w:t>
      </w:r>
      <w:r>
        <w:t xml:space="preserve"> </w:t>
      </w:r>
      <w:r>
        <w:t xml:space="preserve">uniformly deteriorating admission ranks from 2024 to 2025 (mean +37·2%;</w:t>
      </w:r>
      <w:r>
        <w:t xml:space="preserve"> </w:t>
      </w:r>
      <w:r>
        <w:t xml:space="preserve">Wilcoxon signed-rank p&lt;0·001). The deterioration was not limited to</w:t>
      </w:r>
      <w:r>
        <w:t xml:space="preserve"> </w:t>
      </w:r>
      <w:r>
        <w:t xml:space="preserve">lower-ranked programmes: Tsinghua University medical programme dropped</w:t>
      </w:r>
      <w:r>
        <w:t xml:space="preserve"> </w:t>
      </w:r>
      <w:r>
        <w:t xml:space="preserve">26 positions (+31·3%), Peking University Health Science Centre dropped</w:t>
      </w:r>
      <w:r>
        <w:t xml:space="preserve"> </w:t>
      </w:r>
      <w:r>
        <w:t xml:space="preserve">39 positions (+21·4%), and Shanghai Jiao Tong University School of</w:t>
      </w:r>
      <w:r>
        <w:t xml:space="preserve"> </w:t>
      </w:r>
      <w:r>
        <w:t xml:space="preserve">Medicine dropped 60 positions (+24·3%). The largest absolute shift</w:t>
      </w:r>
      <w:r>
        <w:t xml:space="preserve"> </w:t>
      </w:r>
      <w:r>
        <w:t xml:space="preserve">occurred at West China Hospital of Sichuan University (5-year programme:</w:t>
      </w:r>
      <w:r>
        <w:t xml:space="preserve"> </w:t>
      </w:r>
      <w:r>
        <w:t xml:space="preserve">+2046 positions, +69·1%). Multi-province data confirmed the pattern:</w:t>
      </w:r>
      <w:r>
        <w:t xml:space="preserve"> </w:t>
      </w:r>
      <w:r>
        <w:t xml:space="preserve">Guangdong (−2001 positions), Liaoning (−2403 positions), and Zhejiang</w:t>
      </w:r>
      <w:r>
        <w:t xml:space="preserve"> </w:t>
      </w:r>
      <w:r>
        <w:t xml:space="preserve">(−661 positions). Given the 8-year training pipeline, these admission</w:t>
      </w:r>
      <w:r>
        <w:t xml:space="preserve"> </w:t>
      </w:r>
      <w:r>
        <w:t xml:space="preserve">declines will translate to physician supply shocks beginning</w:t>
      </w:r>
      <w:r>
        <w:t xml:space="preserve"> </w:t>
      </w:r>
      <w:r>
        <w:t xml:space="preserve">approximately 2033.</w:t>
      </w:r>
    </w:p>
    <w:p>
      <w:pPr>
        <w:pStyle w:val="BodyText"/>
      </w:pPr>
      <w:r>
        <w:rPr>
          <w:b/>
          <w:bCs/>
        </w:rPr>
        <w:t xml:space="preserve">International comparison and Monte Carlo scenarios</w:t>
      </w:r>
    </w:p>
    <w:p>
      <w:pPr>
        <w:pStyle w:val="BodyText"/>
      </w:pPr>
      <w:r>
        <w:t xml:space="preserve">Among seven countries, South Korea’s physician-to-average remuneration</w:t>
      </w:r>
      <w:r>
        <w:t xml:space="preserve"> </w:t>
      </w:r>
      <w:r>
        <w:t xml:space="preserve">ratio increased from 6·08 to 7·42 (2015–2024)</w:t>
      </w:r>
      <w:r>
        <w:rPr>
          <w:vertAlign w:val="superscript"/>
        </w:rPr>
        <w:t xml:space="preserve">15,17,18</w:t>
      </w:r>
      <w:r>
        <w:t xml:space="preserve"> </w:t>
      </w:r>
      <w:r>
        <w:t xml:space="preserve">despite similar</w:t>
      </w:r>
      <w:r>
        <w:t xml:space="preserve"> </w:t>
      </w:r>
      <w:r>
        <w:t xml:space="preserve">drug price negotiation, directionally consistent with structural</w:t>
      </w:r>
      <w:r>
        <w:t xml:space="preserve"> </w:t>
      </w:r>
      <w:r>
        <w:t xml:space="preserve">decoupling</w:t>
      </w:r>
      <w:r>
        <w:t xml:space="preserve"> </w:t>
      </w:r>
      <w:r>
        <w:t xml:space="preserve">of physician compensation from drug revenue as a moderating factor.</w:t>
      </w:r>
      <w:r>
        <w:t xml:space="preserve"> </w:t>
      </w:r>
      <w:r>
        <w:t xml:space="preserve">China’s ratio is industry-level at approximately 1·13–1·19, whereas the</w:t>
      </w:r>
      <w:r>
        <w:t xml:space="preserve"> </w:t>
      </w:r>
      <w:r>
        <w:t xml:space="preserve">OECD ratios are physician-specific at 3–7×; direct numerical comparison</w:t>
      </w:r>
      <w:r>
        <w:t xml:space="preserve"> </w:t>
      </w:r>
      <w:r>
        <w:t xml:space="preserve">is inappropriate, and the directional contrast—Korea rising versus</w:t>
      </w:r>
      <w:r>
        <w:t xml:space="preserve"> </w:t>
      </w:r>
      <w:r>
        <w:t xml:space="preserve">China declining—is the key observation. Monte Carlo projections under</w:t>
      </w:r>
      <w:r>
        <w:t xml:space="preserve"> </w:t>
      </w:r>
      <w:r>
        <w:t xml:space="preserve">business-as-usual</w:t>
      </w:r>
      <w:r>
        <w:t xml:space="preserve"> </w:t>
      </w:r>
      <w:r>
        <w:t xml:space="preserve">yielded a mean 2030 ratio of 1·08 (95% CI 1·02–1·14) with</w:t>
      </w:r>
      <w:r>
        <w:t xml:space="preserve"> </w:t>
      </w:r>
      <w:r>
        <w:t xml:space="preserve">P(ratio&lt;1·10)=74%; under comprehensive reform, 1·19 (95% CI 1·13–1·25)</w:t>
      </w:r>
      <w:r>
        <w:t xml:space="preserve"> </w:t>
      </w:r>
      <w:r>
        <w:t xml:space="preserve">with P(ratio&lt;1·15)=10%. Sensitivity analysis (appendix p 4) showed that</w:t>
      </w:r>
      <w:r>
        <w:t xml:space="preserve"> </w:t>
      </w:r>
      <w:r>
        <w:t xml:space="preserve">the BAU P(ratio&lt;1·10) ranged from 37% (drift=−0·005) to 93%</w:t>
      </w:r>
      <w:r>
        <w:t xml:space="preserve"> </w:t>
      </w:r>
      <w:r>
        <w:t xml:space="preserve">(drift=−0·015).</w:t>
      </w:r>
    </w:p>
    <w:p>
      <w:pPr>
        <w:pStyle w:val="BodyText"/>
      </w:pPr>
      <w:r>
        <w:drawing>
          <wp:inline>
            <wp:extent cx="62630" cy="20876"/>
            <wp:effectExtent b="0" l="0" r="0" t="0"/>
            <wp:docPr descr="" title="Figure 6: International comparison and institutional analysis. (A) Remuneration ratio across seven countries (China: industry-level, others: physician-level—direct comparison inappropriate; directional contrast is key). (B) Monte Carlo projections to 2030 under three policy scenarios with 95% CIs. (C) Three-country institutional comparison: remuneration ratio trajectories for South Korea (physician-level, decoupled), UK (consultant-level, partial decoupling + strikes), and China (industry-level, no decoupling). (D) Institutional framework comparison showing key moderators." id="25" name="Picture"/>
            <a:graphic>
              <a:graphicData uri="http://schemas.openxmlformats.org/drawingml/2006/picture">
                <pic:pic>
                  <pic:nvPicPr>
                    <pic:cNvPr descr="_work/media/media/image6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0" cy="20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Figure 6: International comparison and institutional analysis. (A)</w:t>
      </w:r>
      <w:r>
        <w:rPr>
          <w:i/>
          <w:iCs/>
        </w:rPr>
        <w:t xml:space="preserve"> </w:t>
      </w:r>
      <w:r>
        <w:rPr>
          <w:i/>
          <w:iCs/>
        </w:rPr>
        <w:t xml:space="preserve">Remuneration ratio across seven countries (China: industry-level,</w:t>
      </w:r>
      <w:r>
        <w:rPr>
          <w:i/>
          <w:iCs/>
        </w:rPr>
        <w:t xml:space="preserve"> </w:t>
      </w:r>
      <w:r>
        <w:rPr>
          <w:i/>
          <w:iCs/>
        </w:rPr>
        <w:t xml:space="preserve">others: physician-level—direct comparison inappropriate; directional</w:t>
      </w:r>
      <w:r>
        <w:rPr>
          <w:i/>
          <w:iCs/>
        </w:rPr>
        <w:t xml:space="preserve"> </w:t>
      </w:r>
      <w:r>
        <w:rPr>
          <w:i/>
          <w:iCs/>
        </w:rPr>
        <w:t xml:space="preserve">contrast is key). (B) Monte Carlo projections to 2030 under three policy</w:t>
      </w:r>
      <w:r>
        <w:rPr>
          <w:i/>
          <w:iCs/>
        </w:rPr>
        <w:t xml:space="preserve"> </w:t>
      </w:r>
      <w:r>
        <w:rPr>
          <w:i/>
          <w:iCs/>
        </w:rPr>
        <w:t xml:space="preserve">scenarios with 95% CIs. (C) Three-country institutional comparison:</w:t>
      </w:r>
      <w:r>
        <w:rPr>
          <w:i/>
          <w:iCs/>
        </w:rPr>
        <w:t xml:space="preserve"> </w:t>
      </w:r>
      <w:r>
        <w:rPr>
          <w:i/>
          <w:iCs/>
        </w:rPr>
        <w:t xml:space="preserve">remuneration ratio trajectories for South Korea (physician-level,</w:t>
      </w:r>
      <w:r>
        <w:rPr>
          <w:i/>
          <w:iCs/>
        </w:rPr>
        <w:t xml:space="preserve"> </w:t>
      </w:r>
      <w:r>
        <w:rPr>
          <w:i/>
          <w:iCs/>
        </w:rPr>
        <w:t xml:space="preserve">decoupled), UK (consultant-level, partial decoupling + strikes), and</w:t>
      </w:r>
      <w:r>
        <w:rPr>
          <w:i/>
          <w:iCs/>
        </w:rPr>
        <w:t xml:space="preserve"> </w:t>
      </w:r>
      <w:r>
        <w:rPr>
          <w:i/>
          <w:iCs/>
        </w:rPr>
        <w:t xml:space="preserve">China (industry-level, no decoupling). (D) Institutional framework</w:t>
      </w:r>
      <w:r>
        <w:rPr>
          <w:i/>
          <w:iCs/>
        </w:rPr>
        <w:t xml:space="preserve"> </w:t>
      </w:r>
      <w:r>
        <w:rPr>
          <w:i/>
          <w:iCs/>
        </w:rPr>
        <w:t xml:space="preserve">comparison showing key moderators.</w:t>
      </w:r>
    </w:p>
    <w:p>
      <w:pPr>
        <w:pStyle w:val="BodyText"/>
      </w:pPr>
      <w:r>
        <w:rPr>
          <w:b/>
          <w:bCs/>
        </w:rPr>
        <w:t xml:space="preserve">Three-country institutional comparison: policy, structure, and</w:t>
      </w:r>
      <w:r>
        <w:rPr>
          <w:b/>
          <w:bCs/>
        </w:rPr>
        <w:t xml:space="preserve"> </w:t>
      </w:r>
      <w:r>
        <w:rPr>
          <w:b/>
          <w:bCs/>
        </w:rPr>
        <w:t xml:space="preserve">outcome</w:t>
      </w:r>
    </w:p>
    <w:p>
      <w:pPr>
        <w:pStyle w:val="BodyText"/>
      </w:pPr>
      <w:r>
        <w:t xml:space="preserve">the drug price reductions in Korea were comparable in magnitude to</w:t>
      </w:r>
      <w:r>
        <w:t xml:space="preserve"> </w:t>
      </w:r>
      <w:r>
        <w:t xml:space="preserve">China's VBP: Korea's actual transaction price revisions achieved</w:t>
      </w:r>
      <w:r>
        <w:t xml:space="preserve"> </w:t>
      </w:r>
      <w:r>
        <w:t xml:space="preserve">cumulative reductions of approximately 30–40% for listed drugs</w:t>
      </w:r>
      <w:r>
        <w:t xml:space="preserve"> </w:t>
      </w:r>
      <w:r>
        <w:t xml:space="preserve">(2012–2020), while China's VBP achieved average reductions of 53%</w:t>
      </w:r>
      <w:r>
        <w:t xml:space="preserve"> </w:t>
      </w:r>
      <w:r>
        <w:t xml:space="preserve">(first batch) to over 80% (consumables). Despite similarly</w:t>
      </w:r>
      <w:r>
        <w:t xml:space="preserve"> </w:t>
      </w:r>
      <w:r>
        <w:t xml:space="preserve">aggressive--or even more aggressive--price regulation, Korean</w:t>
      </w:r>
      <w:r>
        <w:t xml:space="preserve"> </w:t>
      </w:r>
      <w:r>
        <w:t xml:space="preserve">physician remuneration rose rather than fell, strengthening the ITM</w:t>
      </w:r>
      <w:r>
        <w:t xml:space="preserve"> </w:t>
      </w:r>
      <w:r>
        <w:t xml:space="preserve">prediction that institutional coupling, not price reduction magnitude,</w:t>
      </w:r>
      <w:r>
        <w:t xml:space="preserve"> </w:t>
      </w:r>
      <w:r>
        <w:t xml:space="preserve">determines the remuneration outcome.</w:t>
      </w:r>
    </w:p>
    <w:p>
      <w:pPr>
        <w:pStyle w:val="BodyText"/>
      </w:pPr>
      <w:r>
        <w:rPr>
          <w:i/>
          <w:iCs/>
        </w:rPr>
        <w:t xml:space="preserve">Table 4: Institutional Transmission Model–prediction verification</w:t>
      </w:r>
      <w:r>
        <w:rPr>
          <w:i/>
          <w:iCs/>
        </w:rPr>
        <w:t xml:space="preserve"> </w:t>
      </w:r>
      <w:r>
        <w:rPr>
          <w:i/>
          <w:iCs/>
        </w:rPr>
        <w:t xml:space="preserve">summary</w:t>
      </w:r>
    </w:p>
    <w:tbl>
      <w:tblPr>
        <w:tblStyle w:val="Table"/>
        <w:tblW w:type="pct" w:w="4875"/>
        <w:tblLayout w:type="fixed"/>
        <w:tblLook w:firstRow="1" w:lastRow="0" w:firstColumn="0" w:lastColumn="0" w:noHBand="0" w:noVBand="0" w:val="0020"/>
      </w:tblPr>
      <w:tblGrid>
        <w:gridCol w:w="1584"/>
        <w:gridCol w:w="2079"/>
        <w:gridCol w:w="2673"/>
        <w:gridCol w:w="138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ITM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 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P1: Decoupled</w:t>
            </w:r>
            <w:r>
              <w:t xml:space="preserve"> </w:t>
            </w:r>
            <w:r>
              <w:t xml:space="preserve">systems</w:t>
            </w:r>
            <w:r>
              <w:t xml:space="preserve"> </w:t>
            </w:r>
            <w:r>
              <w:t xml:space="preserve">insulated from</w:t>
            </w:r>
            <w:r>
              <w:t xml:space="preserve"> </w:t>
            </w:r>
            <w:r>
              <w:t xml:space="preserve">drug price</w:t>
            </w:r>
            <w:r>
              <w:t xml:space="preserve"> </w:t>
            </w:r>
            <w:r>
              <w:t xml:space="preserve">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Three-country</w:t>
            </w:r>
            <w:r>
              <w:t xml:space="preserve"> </w:t>
            </w:r>
            <w:r>
              <w:t xml:space="preserve">comparison (South</w:t>
            </w:r>
            <w:r>
              <w:t xml:space="preserve"> </w:t>
            </w:r>
            <w:r>
              <w:t xml:space="preserve">Korea D~1, UK</w:t>
            </w:r>
            <w:r>
              <w:t xml:space="preserve"> </w:t>
            </w:r>
            <w:r>
              <w:t xml:space="preserve">D~0.5, China D~0)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Korea +22%, UK -9%, China</w:t>
            </w:r>
            <w:r>
              <w:t xml:space="preserve"> </w:t>
            </w:r>
            <w:r>
              <w:t xml:space="preserve">-5.2%; directional gradient</w:t>
            </w:r>
            <w:r>
              <w:t xml:space="preserve"> </w:t>
            </w:r>
            <w:r>
              <w:t xml:space="preserve">only (levels not comparable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P2: Effect</w:t>
            </w:r>
            <w:r>
              <w:t xml:space="preserve"> </w:t>
            </w:r>
            <w:r>
              <w:t xml:space="preserve">scales with VBP</w:t>
            </w:r>
            <w:r>
              <w:t xml:space="preserve"> </w:t>
            </w:r>
            <w:r>
              <w:t xml:space="preserve">intensity in</w:t>
            </w:r>
            <w:r>
              <w:t xml:space="preserve"> </w:t>
            </w:r>
            <w:r>
              <w:t xml:space="preserve">coupled systems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Provincial DID +</w:t>
            </w:r>
            <w:r>
              <w:t xml:space="preserve"> </w:t>
            </w:r>
            <w:r>
              <w:t xml:space="preserve">confirmed-province</w:t>
            </w:r>
            <w:r>
              <w:t xml:space="preserve"> </w:t>
            </w: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beta=-0.0009, p=0.005;</w:t>
            </w:r>
            <w:r>
              <w:t xml:space="preserve"> </w:t>
            </w:r>
            <w:r>
              <w:t xml:space="preserve">Guangdong -0.049, Jiangsu</w:t>
            </w:r>
            <w:r>
              <w:t xml:space="preserve"> </w:t>
            </w:r>
            <w:r>
              <w:t xml:space="preserve">-0.062 &gt; national -0.038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Consistent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P3: Fiscal</w:t>
            </w:r>
            <w:r>
              <w:t xml:space="preserve"> </w:t>
            </w:r>
            <w:r>
              <w:t xml:space="preserve">austerity</w:t>
            </w:r>
            <w:r>
              <w:t xml:space="preserve"> </w:t>
            </w:r>
            <w:r>
              <w:t xml:space="preserve">affects all</w:t>
            </w:r>
            <w:r>
              <w:t xml:space="preserve"> </w:t>
            </w:r>
            <w:r>
              <w:t xml:space="preserve">public-sector</w:t>
            </w:r>
            <w:r>
              <w:t xml:space="preserve"> </w:t>
            </w:r>
            <w:r>
              <w:t xml:space="preserve">industries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Markov switching +</w:t>
            </w:r>
            <w:r>
              <w:t xml:space="preserve"> </w:t>
            </w:r>
            <w:r>
              <w:t xml:space="preserve">placebo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Education (2018, P=0.52),</w:t>
            </w:r>
            <w:r>
              <w:t xml:space="preserve"> </w:t>
            </w:r>
            <w:r>
              <w:t xml:space="preserve">Public Admin (2019,</w:t>
            </w:r>
            <w:r>
              <w:t xml:space="preserve"> </w:t>
            </w:r>
            <w:r>
              <w:t xml:space="preserve">P=0.50) also shifted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Robustness:</w:t>
            </w:r>
            <w:r>
              <w:t xml:space="preserve"> </w:t>
            </w:r>
            <w:r>
              <w:t xml:space="preserve">measurement</w:t>
            </w:r>
            <w:r>
              <w:t xml:space="preserve"> </w:t>
            </w:r>
            <w:r>
              <w:t xml:space="preserve">error in</w:t>
            </w:r>
            <w:r>
              <w:t xml:space="preserve"> </w:t>
            </w:r>
            <w:r>
              <w:t xml:space="preserve">estimated</w:t>
            </w:r>
            <w:r>
              <w:t xml:space="preserve"> </w:t>
            </w:r>
            <w:r>
              <w:t xml:space="preserve">provinces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Manski bounds</w:t>
            </w:r>
            <w:r>
              <w:t xml:space="preserve"> </w:t>
            </w: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 significant under</w:t>
            </w:r>
            <w:r>
              <w:t xml:space="preserve"> </w:t>
            </w:r>
            <w:r>
              <w:t xml:space="preserve">+0.0003 ratio bias</w:t>
            </w:r>
            <w:r>
              <w:t xml:space="preserve"> </w:t>
            </w:r>
            <w:r>
              <w:t xml:space="preserve">(p=0.046); confirmed</w:t>
            </w:r>
            <w:r>
              <w:t xml:space="preserve"> </w:t>
            </w:r>
            <w:r>
              <w:t xml:space="preserve">provinces show larger</w:t>
            </w:r>
            <w:r>
              <w:t xml:space="preserve"> </w:t>
            </w:r>
            <w:r>
              <w:t xml:space="preserve">effects (see text)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Robust*</w:t>
            </w:r>
          </w:p>
        </w:tc>
      </w:tr>
    </w:tbl>
    <w:p>
      <w:pPr>
        <w:pStyle w:val="BodyText"/>
      </w:pPr>
      <w:r>
        <w:t xml:space="preserve">Manski bounds analysis characterised the robustness of the DID</w:t>
      </w:r>
      <w:r>
        <w:t xml:space="preserve"> </w:t>
      </w:r>
      <w:r>
        <w:t xml:space="preserve">coefficient to systematic measurement error in the estimated provincial</w:t>
      </w:r>
      <w:r>
        <w:t xml:space="preserve"> </w:t>
      </w:r>
      <w:r>
        <w:t xml:space="preserve">data. The DID coefficient (β=−0·0009) remained statistically significant</w:t>
      </w:r>
      <w:r>
        <w:t xml:space="preserve"> </w:t>
      </w:r>
      <w:r>
        <w:t xml:space="preserve">(p&lt;0·05) under systematic upward bias of up to +0·0003 in the ratio for</w:t>
      </w:r>
      <w:r>
        <w:t xml:space="preserve"> </w:t>
      </w:r>
      <w:r>
        <w:t xml:space="preserve">estimated provinces, and became borderline at +0·0004 bias (β=−0·0005,</w:t>
      </w:r>
      <w:r>
        <w:t xml:space="preserve"> </w:t>
      </w:r>
      <w:r>
        <w:t xml:space="preserve">p=0·096). Under downward bias, the coefficient became more negative</w:t>
      </w:r>
      <w:r>
        <w:t xml:space="preserve"> </w:t>
      </w:r>
      <w:r>
        <w:t xml:space="preserve">(−0·0003 bias: β=−0·0013, p=0·002; −0·0005 bias: β=−0·0016, p=0·001),</w:t>
      </w:r>
      <w:r>
        <w:t xml:space="preserve"> </w:t>
      </w:r>
      <w:r>
        <w:t xml:space="preserve">as expected mechanically. The five confirmed provinces showed larger</w:t>
      </w:r>
      <w:r>
        <w:t xml:space="preserve"> </w:t>
      </w:r>
      <w:r>
        <w:t xml:space="preserve">ratio declines (Guangdong −0·049, Jiangsu −0·062) than the full-sample</w:t>
      </w:r>
      <w:r>
        <w:t xml:space="preserve"> </w:t>
      </w:r>
      <w:r>
        <w:t xml:space="preserve">estimate (−0·038); however, because the confirmed provinces are all</w:t>
      </w:r>
      <w:r>
        <w:t xml:space="preserve"> </w:t>
      </w:r>
      <w:r>
        <w:t xml:space="preserve">among the larger provincial economies, this difference could reflect</w:t>
      </w:r>
      <w:r>
        <w:t xml:space="preserve"> </w:t>
      </w:r>
      <w:r>
        <w:t xml:space="preserve">genuine heterogeneity rather than the direction of measurement-error</w:t>
      </w:r>
      <w:r>
        <w:t xml:space="preserve"> </w:t>
      </w:r>
      <w:r>
        <w:t xml:space="preserve">bias in estimated provinces. We therefore use the Manski analysis only</w:t>
      </w:r>
      <w:r>
        <w:t xml:space="preserve"> </w:t>
      </w:r>
      <w:r>
        <w:t xml:space="preserve">to show that the DID sign is robust to plausible bias magnitudes, not to</w:t>
      </w:r>
      <w:r>
        <w:t xml:space="preserve"> </w:t>
      </w:r>
      <w:r>
        <w:t xml:space="preserve">bound the true effect.</w:t>
      </w:r>
    </w:p>
    <w:p>
      <w:pPr>
        <w:pStyle w:val="BodyText"/>
      </w:pPr>
      <w:r>
        <w:rPr>
          <w:b/>
          <w:bCs/>
        </w:rPr>
        <w:t xml:space="preserve">ITM coupling coefficient estimation</w:t>
      </w:r>
    </w:p>
    <w:p>
      <w:pPr>
        <w:pStyle w:val="BodyText"/>
      </w:pPr>
      <w:r>
        <w:t xml:space="preserve">Using confirmed provincial data, we estimated the coupling coefficient κ</w:t>
      </w:r>
      <w:r>
        <w:t xml:space="preserve"> </w:t>
      </w:r>
      <w:r>
        <w:t xml:space="preserve">(the fraction of drug revenue loss per health worker that transmits to</w:t>
      </w:r>
      <w:r>
        <w:t xml:space="preserve"> </w:t>
      </w:r>
      <w:r>
        <w:t xml:space="preserve">personal wage decline) at order-of-magnitude level. In Guangdong, the</w:t>
      </w:r>
      <w:r>
        <w:t xml:space="preserve"> </w:t>
      </w:r>
      <w:r>
        <w:t xml:space="preserve">nominal health wage decline of ¥609 per worker (197,354 to 196,745)</w:t>
      </w:r>
      <w:r>
        <w:t xml:space="preserve"> </w:t>
      </w:r>
      <w:r>
        <w:t xml:space="preserve">against an estimated VBP-attributable drug revenue loss of approximately</w:t>
      </w:r>
      <w:r>
        <w:t xml:space="preserve"> </w:t>
      </w:r>
      <w:r>
        <w:t xml:space="preserve">¥60,000 per health worker yields κ≈0·010 (order-of-magnitude 95% CI</w:t>
      </w:r>
      <w:r>
        <w:t xml:space="preserve"> </w:t>
      </w:r>
      <w:r>
        <w:t xml:space="preserve">0·003–0·030, derived by delta method with drug revenue loss per worker</w:t>
      </w:r>
      <w:r>
        <w:t xml:space="preserve"> </w:t>
      </w:r>
      <w:r>
        <w:t xml:space="preserve">assumed to have 95% CI ¥30,000–100,000). In Jiangsu, the larger decline</w:t>
      </w:r>
      <w:r>
        <w:t xml:space="preserve"> </w:t>
      </w:r>
      <w:r>
        <w:t xml:space="preserve">of ¥2,467 per worker against an estimated ¥62,500 drug revenue loss</w:t>
      </w:r>
      <w:r>
        <w:t xml:space="preserve"> </w:t>
      </w:r>
      <w:r>
        <w:t xml:space="preserve">yields κ≈0·040 (95% CI 0·015–0·100). The two-province average κ≈0·025</w:t>
      </w:r>
      <w:r>
        <w:t xml:space="preserve"> </w:t>
      </w:r>
      <w:r>
        <w:t xml:space="preserve">(95% CI 0·005–0·060) suggests that approximately 2–3% of per-worker</w:t>
      </w:r>
      <w:r>
        <w:t xml:space="preserve"> </w:t>
      </w:r>
      <w:r>
        <w:t xml:space="preserve">drug revenue loss transmits directly to wage decline in the first year.</w:t>
      </w:r>
      <w:r>
        <w:t xml:space="preserve"> </w:t>
      </w:r>
      <w:r>
        <w:t xml:space="preserve">The wide confidence intervals reflect primarily the uncertainty in the</w:t>
      </w:r>
      <w:r>
        <w:t xml:space="preserve"> </w:t>
      </w:r>
      <w:r>
        <w:t xml:space="preserve">denominator (drug revenue loss per worker), which is an aggregate</w:t>
      </w:r>
      <w:r>
        <w:t xml:space="preserve"> </w:t>
      </w:r>
      <w:r>
        <w:t xml:space="preserve">estimate rather than a directly observed quantity. This apparently low</w:t>
      </w:r>
      <w:r>
        <w:t xml:space="preserve"> </w:t>
      </w:r>
      <w:r>
        <w:t xml:space="preserve">transmission rate is consistent with institutional buffering: hospitals</w:t>
      </w:r>
      <w:r>
        <w:t xml:space="preserve"> </w:t>
      </w:r>
      <w:r>
        <w:t xml:space="preserve">initially absorb drug revenue losses through reserve funds and</w:t>
      </w:r>
      <w:r>
        <w:t xml:space="preserve"> </w:t>
      </w:r>
      <w:r>
        <w:t xml:space="preserve">cost-shifting, with the full wage effect emerging only after buffers are</w:t>
      </w:r>
      <w:r>
        <w:t xml:space="preserve"> </w:t>
      </w:r>
      <w:r>
        <w:t xml:space="preserve">exhausted. Adjusted for the coupled wage share (performance-based pay</w:t>
      </w:r>
      <w:r>
        <w:t xml:space="preserve"> </w:t>
      </w:r>
      <w:r>
        <w:t xml:space="preserve">≈50% of total, of which drug-linked ≈60%, yielding a coupled share of</w:t>
      </w:r>
      <w:r>
        <w:t xml:space="preserve"> </w:t>
      </w:r>
      <w:r>
        <w:t xml:space="preserve">≈30%), the effective coupling coefficient on the coupled component is</w:t>
      </w:r>
      <w:r>
        <w:t xml:space="preserve"> </w:t>
      </w:r>
      <w:r>
        <w:t xml:space="preserve">κ_adjusted≈0·08 (95% CI 0·02–0·20), indicating that approximately 8% of</w:t>
      </w:r>
      <w:r>
        <w:t xml:space="preserve"> </w:t>
      </w:r>
      <w:r>
        <w:t xml:space="preserve">drug revenue loss transmits through the coupled channel. This</w:t>
      </w:r>
      <w:r>
        <w:t xml:space="preserve"> </w:t>
      </w:r>
      <w:r>
        <w:t xml:space="preserve">accumulation explains the observed pattern of delayed but accelerating</w:t>
      </w:r>
      <w:r>
        <w:t xml:space="preserve"> </w:t>
      </w:r>
      <w:r>
        <w:t xml:space="preserve">wage decline: the ratio drop was −0·017 during 2019–2022 (VBP+COVID)</w:t>
      </w:r>
      <w:r>
        <w:t xml:space="preserve"> </w:t>
      </w:r>
      <w:r>
        <w:t xml:space="preserve">but −0·032 during 2022–2024 (post-COVID)—nearly twice as steep—as</w:t>
      </w:r>
      <w:r>
        <w:t xml:space="preserve"> </w:t>
      </w:r>
      <w:r>
        <w:t xml:space="preserve">institutional buffers were progressively exhausted. Sensitivity</w:t>
      </w:r>
      <w:r>
        <w:t xml:space="preserve"> </w:t>
      </w:r>
      <w:r>
        <w:t xml:space="preserve">analyses. Because κ is estimated from only two province-level</w:t>
      </w:r>
      <w:r>
        <w:t xml:space="preserve"> </w:t>
      </w:r>
      <w:r>
        <w:t xml:space="preserve">observations and the denominator (per-worker drug revenue loss) is</w:t>
      </w:r>
      <w:r>
        <w:t xml:space="preserve"> </w:t>
      </w:r>
      <w:r>
        <w:t xml:space="preserve">uncertain (±50%), we performed sensitivity analyses at three κ values:</w:t>
      </w:r>
      <w:r>
        <w:t xml:space="preserve"> </w:t>
      </w:r>
      <w:r>
        <w:t xml:space="preserve">lower bound (κ=0.005), central estimate (κ=0.025), and upper bound</w:t>
      </w:r>
      <w:r>
        <w:t xml:space="preserve"> </w:t>
      </w:r>
      <w:r>
        <w:t xml:space="preserve">(κ=0.060). The VBP-attributable annual wage gap ranges from ¥0.3 billion</w:t>
      </w:r>
      <w:r>
        <w:t xml:space="preserve"> </w:t>
      </w:r>
      <w:r>
        <w:t xml:space="preserve">(κ=0.005) to ¥3.1 billion (κ=0.060), representing 0.6% to 6.0% of the</w:t>
      </w:r>
      <w:r>
        <w:t xml:space="preserve"> </w:t>
      </w:r>
      <w:r>
        <w:t xml:space="preserve">total wage gap. Policy scenario costs are reported under all three κ</w:t>
      </w:r>
      <w:r>
        <w:t xml:space="preserve"> </w:t>
      </w:r>
      <w:r>
        <w:t xml:space="preserve">scenarios in Table 6. The qualitative conclusion—that coupling</w:t>
      </w:r>
      <w:r>
        <w:t xml:space="preserve"> </w:t>
      </w:r>
      <w:r>
        <w:t xml:space="preserve">accounts for a minority of the total wage gap relative to the austerity</w:t>
      </w:r>
      <w:r>
        <w:t xml:space="preserve"> </w:t>
      </w:r>
      <w:r>
        <w:t xml:space="preserve">channel—is robust across this range.</w:t>
      </w:r>
    </w:p>
    <w:p>
      <w:pPr>
        <w:pStyle w:val="BodyText"/>
      </w:pPr>
      <w:r>
        <w:t xml:space="preserve">To identify the institutional moderators of drug price regulation's</w:t>
      </w:r>
      <w:r>
        <w:t xml:space="preserve"> </w:t>
      </w:r>
      <w:r>
        <w:t xml:space="preserve">effect on health remuneration, we compared China with South Korea and</w:t>
      </w:r>
      <w:r>
        <w:t xml:space="preserve"> </w:t>
      </w:r>
      <w:r>
        <w:t xml:space="preserve">the United Kingdom—three countries that all implemented drug price</w:t>
      </w:r>
      <w:r>
        <w:t xml:space="preserve"> </w:t>
      </w:r>
      <w:r>
        <w:t xml:space="preserve">controls but with different institutional structures governing physician</w:t>
      </w:r>
      <w:r>
        <w:t xml:space="preserve"> </w:t>
      </w:r>
      <w:r>
        <w:t xml:space="preserve">compensation (Figure 6, Table 5). South Korea introduced drug price</w:t>
      </w:r>
      <w:r>
        <w:t xml:space="preserve"> </w:t>
      </w:r>
      <w:r>
        <w:t xml:space="preserve">negotiation in 2012, yet the physician-to-average remuneration ratio</w:t>
      </w:r>
      <w:r>
        <w:t xml:space="preserve"> </w:t>
      </w:r>
      <w:r>
        <w:t xml:space="preserve">increased from 6·08 to 7·42 (+22·0%; linear slope +0·156/year,</w:t>
      </w:r>
      <w:r>
        <w:t xml:space="preserve"> </w:t>
      </w:r>
      <w:r>
        <w:t xml:space="preserve">p&lt;0·001). The United Kingdom's NHS consultant ratio declined from 3·25</w:t>
      </w:r>
      <w:r>
        <w:t xml:space="preserve"> </w:t>
      </w:r>
      <w:r>
        <w:t xml:space="preserve">to 2·97 (−8·6%) amid public fiscal austerity, but doctors exercised</w:t>
      </w:r>
      <w:r>
        <w:t xml:space="preserve"> </w:t>
      </w:r>
      <w:r>
        <w:t xml:space="preserve">legal strike action in 2022–2024, securing pay restoration. China's</w:t>
      </w:r>
      <w:r>
        <w:t xml:space="preserve"> </w:t>
      </w:r>
      <w:r>
        <w:t xml:space="preserve">health industry ratio declined from 1·192 to 1·130 (−5·2%, or −6·2pp).</w:t>
      </w:r>
      <w:r>
        <w:t xml:space="preserve"> </w:t>
      </w:r>
      <w:r>
        <w:t xml:space="preserve">The key institutional differences are: (1) South Korea structurally</w:t>
      </w:r>
      <w:r>
        <w:t xml:space="preserve"> </w:t>
      </w:r>
      <w:r>
        <w:t xml:space="preserve">decoupled physician compensation from drug revenue—physicians earn</w:t>
      </w:r>
      <w:r>
        <w:t xml:space="preserve"> </w:t>
      </w:r>
      <w:r>
        <w:t xml:space="preserve">primarily through fee-for-service, so drug price reductions do not</w:t>
      </w:r>
      <w:r>
        <w:t xml:space="preserve"> </w:t>
      </w:r>
      <w:r>
        <w:t xml:space="preserve">directly reduce income; (2) the UK maintains partial decoupling but</w:t>
      </w:r>
      <w:r>
        <w:t xml:space="preserve"> </w:t>
      </w:r>
      <w:r>
        <w:t xml:space="preserve">provides a strike mechanism as an institutional pressure valve; (3)</w:t>
      </w:r>
      <w:r>
        <w:t xml:space="preserve"> </w:t>
      </w:r>
      <w:r>
        <w:t xml:space="preserve">China has neither decoupling nor a legal strike mechanism (noting that</w:t>
      </w:r>
      <w:r>
        <w:t xml:space="preserve"> </w:t>
      </w:r>
      <w:r>
        <w:t xml:space="preserve">China's ratio is industry-level at approximately 1·15, whereas Korea's</w:t>
      </w:r>
      <w:r>
        <w:t xml:space="preserve"> </w:t>
      </w:r>
      <w:r>
        <w:t xml:space="preserve">and the UK's ratios are physician-level at 6–7 and 3 respectively;</w:t>
      </w:r>
      <w:r>
        <w:t xml:space="preserve"> </w:t>
      </w:r>
      <w:r>
        <w:t xml:space="preserve">direct numerical comparison is inappropriate, but the directional</w:t>
      </w:r>
      <w:r>
        <w:t xml:space="preserve"> </w:t>
      </w:r>
      <w:r>
        <w:t xml:space="preserve">contrast—increasing versus declining—holds regardless of measurement</w:t>
      </w:r>
      <w:r>
        <w:t xml:space="preserve"> </w:t>
      </w:r>
      <w:r>
        <w:t xml:space="preserve">level), meaning drug revenue losses from VBP are transmitted directly to</w:t>
      </w:r>
      <w:r>
        <w:t xml:space="preserve"> </w:t>
      </w:r>
      <w:r>
        <w:t xml:space="preserve">health worker compensation. This three-country comparison is suggestive only—limited by the</w:t>
      </w:r>
      <w:r>
        <w:t xml:space="preserve"> </w:t>
      </w:r>
      <w:r>
        <w:t xml:space="preserve">differing measurement levels across countries—and is consistent with the</w:t>
      </w:r>
      <w:r>
        <w:t xml:space="preserve"> </w:t>
      </w:r>
      <w:r>
        <w:t xml:space="preserve">interpretation that drug price regulation per se is not sufficient to</w:t>
      </w:r>
      <w:r>
        <w:t xml:space="preserve"> </w:t>
      </w:r>
      <w:r>
        <w:t xml:space="preserve">explain remuneration outcomes; the structural insulation of physician</w:t>
      </w:r>
      <w:r>
        <w:t xml:space="preserve"> </w:t>
      </w:r>
      <w:r>
        <w:t xml:space="preserve">compensation from institutional revenue is a plausible moderator.</w:t>
      </w:r>
    </w:p>
    <w:p>
      <w:pPr>
        <w:pStyle w:val="BodyText"/>
      </w:pPr>
      <w:r>
        <w:rPr>
          <w:i/>
          <w:iCs/>
        </w:rPr>
        <w:t xml:space="preserve">Table 5: Three-country institutional comparison of drug price</w:t>
      </w:r>
      <w:r>
        <w:rPr>
          <w:i/>
          <w:iCs/>
        </w:rPr>
        <w:t xml:space="preserve"> </w:t>
      </w:r>
      <w:r>
        <w:rPr>
          <w:i/>
          <w:iCs/>
        </w:rPr>
        <w:t xml:space="preserve">regulation and health remuneration outcomes</w:t>
      </w:r>
    </w:p>
    <w:tbl>
      <w:tblPr>
        <w:tblStyle w:val="Table"/>
        <w:tblW w:type="pct" w:w="4872"/>
        <w:tblLayout w:type="fixed"/>
        <w:tblLook w:firstRow="1" w:lastRow="0" w:firstColumn="0" w:lastColumn="0" w:noHBand="0" w:noVBand="0" w:val="0020"/>
      </w:tblPr>
      <w:tblGrid>
        <w:gridCol w:w="2132"/>
        <w:gridCol w:w="1827"/>
        <w:gridCol w:w="1827"/>
        <w:gridCol w:w="192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South Korea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United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Kingdom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Drug price</w:t>
            </w:r>
            <w:r>
              <w:t xml:space="preserve"> </w:t>
            </w:r>
            <w:r>
              <w:t xml:space="preserve">regulation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(since 2012)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(NHS pricing)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(VBP, 2018–)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Physician-level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Industry-level*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Physician–revenue</w:t>
            </w:r>
            <w:r>
              <w:t xml:space="preserve"> </w:t>
            </w:r>
            <w:r>
              <w:t xml:space="preserve">decoupling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Legal strike</w:t>
            </w:r>
            <w:r>
              <w:t xml:space="preserve"> </w:t>
            </w: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(2022–24</w:t>
            </w:r>
            <w:r>
              <w:t xml:space="preserve"> </w:t>
            </w:r>
            <w:r>
              <w:t xml:space="preserve">strikes)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(illegal)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Ratio change</w:t>
            </w:r>
            <w:r>
              <w:t xml:space="preserve"> </w:t>
            </w:r>
            <w:r>
              <w:t xml:space="preserve">(2015–2024)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+22·0%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−8·6%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−5·2% (−6·2pp)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moderator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Decoupled</w:t>
            </w:r>
            <w:r>
              <w:t xml:space="preserve"> </w:t>
            </w:r>
            <w:r>
              <w:t xml:space="preserve">compensation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Strike pressure</w:t>
            </w:r>
            <w:r>
              <w:t xml:space="preserve"> </w:t>
            </w:r>
            <w:r>
              <w:t xml:space="preserve">valve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Neither</w:t>
            </w:r>
          </w:p>
        </w:tc>
      </w:tr>
    </w:tbl>
    <w:p>
      <w:pPr>
        <w:pStyle w:val="BodyText"/>
      </w:pPr>
      <w:r>
        <w:rPr>
          <w:b/>
          <w:bCs/>
        </w:rPr>
        <w:t xml:space="preserve">Mediation analysis: VBP intensity, salary cuts, and wage decline</w:t>
      </w:r>
    </w:p>
    <w:p>
      <w:pPr>
        <w:pStyle w:val="BodyText"/>
      </w:pPr>
      <w:r>
        <w:t xml:space="preserve">Mediation analysis: VBP intensity, salary cuts, and wage decline</w:t>
      </w:r>
      <w:r>
        <w:br/>
      </w:r>
      <w:r>
        <w:t xml:space="preserve">We tested whether salary cuts mediated the relationship between VBP</w:t>
      </w:r>
      <w:r>
        <w:t xml:space="preserve"> </w:t>
      </w:r>
      <w:r>
        <w:t xml:space="preserve">intensity and the health-to-average wage ratio using a Baron-Kenny</w:t>
      </w:r>
      <w:r>
        <w:t xml:space="preserve"> </w:t>
      </w:r>
      <w:r>
        <w:t xml:space="preserve">framework. Path a (VBP intensity → salary cut rate) was significant</w:t>
      </w:r>
      <w:r>
        <w:t xml:space="preserve"> </w:t>
      </w:r>
      <w:r>
        <w:t xml:space="preserve">(β=0·530, p=0·009). Path b (salary cut rate → ratio change, controlling</w:t>
      </w:r>
      <w:r>
        <w:t xml:space="preserve"> </w:t>
      </w:r>
      <w:r>
        <w:t xml:space="preserve">for VBP) was also significant (β=−0·003, p=0·032). The indirect effect</w:t>
      </w:r>
      <w:r>
        <w:t xml:space="preserve"> </w:t>
      </w:r>
      <w:r>
        <w:t xml:space="preserve">(a × b) was in the predicted direction. However, bias-corrected and</w:t>
      </w:r>
      <w:r>
        <w:t xml:space="preserve"> </w:t>
      </w:r>
      <w:r>
        <w:t xml:space="preserve">accelerated (BCa) bootstrap analysis (N=10,000 resamples) yielded a 95%</w:t>
      </w:r>
      <w:r>
        <w:t xml:space="preserve"> </w:t>
      </w:r>
      <w:r>
        <w:t xml:space="preserve">confidence interval for the indirect effect that included zero (−0·0008</w:t>
      </w:r>
      <w:r>
        <w:t xml:space="preserve"> </w:t>
      </w:r>
      <w:r>
        <w:t xml:space="preserve">to 0·0006), indicating that the mediation hypothesis is suggestive but</w:t>
      </w:r>
      <w:r>
        <w:t xml:space="preserve"> </w:t>
      </w:r>
      <w:r>
        <w:t xml:space="preserve">not established by non-parametric resampling. This lack of robustness</w:t>
      </w:r>
      <w:r>
        <w:t xml:space="preserve"> </w:t>
      </w:r>
      <w:r>
        <w:t xml:space="preserve">likely reflects the small sample (n=6 years with complete data), and</w:t>
      </w:r>
      <w:r>
        <w:t xml:space="preserve"> </w:t>
      </w:r>
      <w:r>
        <w:t xml:space="preserve">definitive mediation testing awaits individual-level longitudinal data.</w:t>
      </w:r>
    </w:p>
    <w:p>
      <w:pPr>
        <w:pStyle w:val="BodyText"/>
      </w:pPr>
      <w:r>
        <w:rPr>
          <w:b/>
          <w:bCs/>
        </w:rPr>
        <w:t xml:space="preserve">Discussion</w:t>
      </w:r>
      <w:r>
        <w:br/>
      </w:r>
      <w:r>
        <w:t xml:space="preserve">This study documents a previously unreported pattern: China's health</w:t>
      </w:r>
      <w:r>
        <w:t xml:space="preserve"> </w:t>
      </w:r>
      <w:r>
        <w:t xml:space="preserve">industry wages declined in absolute nominal terms in five confirmed</w:t>
      </w:r>
      <w:r>
        <w:t xml:space="preserve"> </w:t>
      </w:r>
      <w:r>
        <w:t xml:space="preserve">provinces, while all-industry averages rose or remained flat. We propose</w:t>
      </w:r>
      <w:r>
        <w:t xml:space="preserve"> </w:t>
      </w:r>
      <w:r>
        <w:t xml:space="preserve">the Institutional Transmission Model (ITM) as a framework for</w:t>
      </w:r>
      <w:r>
        <w:t xml:space="preserve"> </w:t>
      </w:r>
      <w:r>
        <w:t xml:space="preserve">interpreting these patterns. The ITM framework suggests that drug price</w:t>
      </w:r>
      <w:r>
        <w:t xml:space="preserve"> </w:t>
      </w:r>
      <w:r>
        <w:t xml:space="preserve">regulation may affect health worker remuneration when compensation is</w:t>
      </w:r>
      <w:r>
        <w:t xml:space="preserve"> </w:t>
      </w:r>
      <w:r>
        <w:t xml:space="preserve">structurally coupled to institutional drug revenue, and that fiscal</w:t>
      </w:r>
      <w:r>
        <w:t xml:space="preserve"> </w:t>
      </w:r>
      <w:r>
        <w:t xml:space="preserve">austerity may operate through a separate pathway. Three independent</w:t>
      </w:r>
      <w:r>
        <w:t xml:space="preserve"> </w:t>
      </w:r>
      <w:r>
        <w:t xml:space="preserve">empirical approaches—provincial DID, structural break detection, and</w:t>
      </w:r>
      <w:r>
        <w:t xml:space="preserve"> </w:t>
      </w:r>
      <w:r>
        <w:t xml:space="preserve">three-country institutional comparison—yield patterns that are</w:t>
      </w:r>
      <w:r>
        <w:t xml:space="preserve"> </w:t>
      </w:r>
      <w:r>
        <w:t xml:space="preserve">consistent with the ITM framework, though each approach has limitations</w:t>
      </w:r>
      <w:r>
        <w:t xml:space="preserve"> </w:t>
      </w:r>
      <w:r>
        <w:t xml:space="preserve">inherent to observational data with short time series and ecological</w:t>
      </w:r>
      <w:r>
        <w:t xml:space="preserve"> </w:t>
      </w:r>
      <w:r>
        <w:t xml:space="preserve">measurement (Table 4). Individual-level physician surveys provide</w:t>
      </w:r>
      <w:r>
        <w:t xml:space="preserve"> </w:t>
      </w:r>
      <w:r>
        <w:t xml:space="preserve">corroborating evidence: two independent annual surveys (Huayiwang,</w:t>
      </w:r>
      <w:r>
        <w:t xml:space="preserve"> </w:t>
      </w:r>
      <w:r>
        <w:t xml:space="preserve">n=29,469; Yixuejie) both document accelerating salary cuts from</w:t>
      </w:r>
      <w:r>
        <w:t xml:space="preserve"> </w:t>
      </w:r>
      <w:r>
        <w:t xml:space="preserve">2022–2024, with the proportion of physicians reporting income decline</w:t>
      </w:r>
      <w:r>
        <w:t xml:space="preserve"> </w:t>
      </w:r>
      <w:r>
        <w:t xml:space="preserve">rising from approximately one-third to nearly three-fifths, paralleling</w:t>
      </w:r>
      <w:r>
        <w:t xml:space="preserve"> </w:t>
      </w:r>
      <w:r>
        <w:t xml:space="preserve">the NBS industry-level trajectory.</w:t>
      </w:r>
    </w:p>
    <w:p>
      <w:pPr>
        <w:pStyle w:val="BodyText"/>
      </w:pPr>
      <w:r>
        <w:t xml:space="preserve">The three-country institutional comparison provides suggestive,</w:t>
      </w:r>
      <w:r>
        <w:t xml:space="preserve"> </w:t>
      </w:r>
      <w:r>
        <w:t xml:space="preserve">directional evidence consistent with the ITM framework, limited by the</w:t>
      </w:r>
      <w:r>
        <w:t xml:space="preserve"> </w:t>
      </w:r>
      <w:r>
        <w:t xml:space="preserve">differing measurement levels across countries. South Korea, which</w:t>
      </w:r>
      <w:r>
        <w:t xml:space="preserve"> </w:t>
      </w:r>
      <w:r>
        <w:t xml:space="preserve">implemented drug price negotiation through a fee-for-service system</w:t>
      </w:r>
      <w:r>
        <w:t xml:space="preserve"> </w:t>
      </w:r>
      <w:r>
        <w:t xml:space="preserve">where physician compensation is decoupled from drug revenue, was</w:t>
      </w:r>
      <w:r>
        <w:t xml:space="preserve"> </w:t>
      </w:r>
      <w:r>
        <w:t xml:space="preserve">associated with a +22% increase in physician remuneration ratio. The</w:t>
      </w:r>
      <w:r>
        <w:t xml:space="preserve"> </w:t>
      </w:r>
      <w:r>
        <w:t xml:space="preserve">United Kingdom, with partial decoupling through NHS salary bands</w:t>
      </w:r>
      <w:r>
        <w:t xml:space="preserve"> </w:t>
      </w:r>
      <w:r>
        <w:t xml:space="preserve">supplemented by institutional strike mechanisms, was associated with a</w:t>
      </w:r>
      <w:r>
        <w:t xml:space="preserve"> </w:t>
      </w:r>
      <w:r>
        <w:t xml:space="preserve">moderate −9% decline. China, with neither</w:t>
      </w:r>
      <w:r>
        <w:t xml:space="preserve"> </w:t>
      </w:r>
      <w:r>
        <w:t xml:space="preserve">structural decoupling nor institutional voice mechanisms, experienced</w:t>
      </w:r>
      <w:r>
        <w:t xml:space="preserve"> </w:t>
      </w:r>
      <w:r>
        <w:t xml:space="preserve">the most severe outcome. This gradient is precisely what ITM predicts:</w:t>
      </w:r>
      <w:r>
        <w:t xml:space="preserve"> </w:t>
      </w:r>
      <w:r>
        <w:t xml:space="preserve">the same drug price policy produces opposite outcomes depending on the</w:t>
      </w:r>
      <w:r>
        <w:t xml:space="preserve"> </w:t>
      </w:r>
      <w:r>
        <w:t xml:space="preserve">coupling coefficient κ and the decoupling index D. The Korean result is</w:t>
      </w:r>
      <w:r>
        <w:t xml:space="preserve"> </w:t>
      </w:r>
      <w:r>
        <w:t xml:space="preserve">particularly powerful because it serves as a positive control—it</w:t>
      </w:r>
      <w:r>
        <w:t xml:space="preserve"> </w:t>
      </w:r>
      <w:r>
        <w:t xml:space="preserve">illustrates that drug price regulation can coincide with rising</w:t>
      </w:r>
      <w:r>
        <w:t xml:space="preserve"> </w:t>
      </w:r>
      <w:r>
        <w:t xml:space="preserve">physician remuneration under decoupled institutional arrangements.</w:t>
      </w:r>
    </w:p>
    <w:p>
      <w:pPr>
        <w:pStyle w:val="BodyText"/>
      </w:pPr>
      <w:r>
        <w:t xml:space="preserve">Within-China patterns are broadly consistent with the ITM framework. The</w:t>
      </w:r>
      <w:r>
        <w:t xml:space="preserve"> </w:t>
      </w:r>
      <w:r>
        <w:t xml:space="preserve">provincial DID showed that greater VBP intensity was independently</w:t>
      </w:r>
      <w:r>
        <w:t xml:space="preserve"> </w:t>
      </w:r>
      <w:r>
        <w:t xml:space="preserve">associated with greater wage decline, consistent with prediction 2 that</w:t>
      </w:r>
      <w:r>
        <w:t xml:space="preserve"> </w:t>
      </w:r>
      <w:r>
        <w:t xml:space="preserve">the effect scales with ΔDrugRevenue in coupled systems. However, this</w:t>
      </w:r>
      <w:r>
        <w:t xml:space="preserve"> </w:t>
      </w:r>
      <w:r>
        <w:t xml:space="preserve">result must be interpreted cautiously: R1 pilot provinces had higher</w:t>
      </w:r>
      <w:r>
        <w:t xml:space="preserve"> </w:t>
      </w:r>
      <w:r>
        <w:t xml:space="preserve">pre-VBP health ratios than R2 provinces (balance test significant), and</w:t>
      </w:r>
      <w:r>
        <w:t xml:space="preserve"> </w:t>
      </w:r>
      <w:r>
        <w:t xml:space="preserve">unobserved provincial characteristics correlated with both VBP timing</w:t>
      </w:r>
      <w:r>
        <w:t xml:space="preserve"> </w:t>
      </w:r>
      <w:r>
        <w:t xml:space="preserve">and economic trends may bias the estimate; most provincial wage data are</w:t>
      </w:r>
      <w:r>
        <w:t xml:space="preserve"> </w:t>
      </w:r>
      <w:r>
        <w:t xml:space="preserve">estimated rather than confirmed, and the confirmed-data subsample was</w:t>
      </w:r>
      <w:r>
        <w:t xml:space="preserve"> </w:t>
      </w:r>
      <w:r>
        <w:t xml:space="preserve">underpowered. The Markov switching model identified a regime shift at</w:t>
      </w:r>
      <w:r>
        <w:t xml:space="preserve"> </w:t>
      </w:r>
      <w:r>
        <w:t xml:space="preserve">2018, but education and public administration also shifted, consistent</w:t>
      </w:r>
      <w:r>
        <w:t xml:space="preserve"> </w:t>
      </w:r>
      <w:r>
        <w:t xml:space="preserve">with ITM prediction 3 that austerity affects all public-sector</w:t>
      </w:r>
      <w:r>
        <w:t xml:space="preserve"> </w:t>
      </w:r>
      <w:r>
        <w:t xml:space="preserve">industries through the separate βausterity pathway. ITS confirmed a more</w:t>
      </w:r>
      <w:r>
        <w:t xml:space="preserve"> </w:t>
      </w:r>
      <w:r>
        <w:t xml:space="preserve">pronounced trajectory for health versus manufacturing, while the</w:t>
      </w:r>
      <w:r>
        <w:t xml:space="preserve"> </w:t>
      </w:r>
      <w:r>
        <w:t xml:space="preserve">health–education similarity is consistent with shared public-sector</w:t>
      </w:r>
      <w:r>
        <w:t xml:space="preserve"> </w:t>
      </w:r>
      <w:r>
        <w:t xml:space="preserve">fiscal austerity. The health–manufacturing divergence may reflect the</w:t>
      </w:r>
      <w:r>
        <w:t xml:space="preserve"> </w:t>
      </w:r>
      <w:r>
        <w:t xml:space="preserve">additional drug revenue channel unique to the health sector, though this</w:t>
      </w:r>
      <w:r>
        <w:t xml:space="preserve"> </w:t>
      </w:r>
      <w:r>
        <w:t xml:space="preserve">interpretation cannot be distinguished from other sector-specific</w:t>
      </w:r>
      <w:r>
        <w:t xml:space="preserve"> </w:t>
      </w:r>
      <w:r>
        <w:t xml:space="preserve">factors with the available data.</w:t>
      </w:r>
    </w:p>
    <w:p>
      <w:pPr>
        <w:pStyle w:val="BodyText"/>
      </w:pPr>
      <w:r>
        <w:t xml:space="preserve">The COVID-19 decomposition suggests the pandemic is unlikely to be the</w:t>
      </w:r>
      <w:r>
        <w:t xml:space="preserve"> </w:t>
      </w:r>
      <w:r>
        <w:t xml:space="preserve">sole driver. Post-COVID wage differentials substantially exceeded</w:t>
      </w:r>
      <w:r>
        <w:t xml:space="preserve"> </w:t>
      </w:r>
      <w:r>
        <w:t xml:space="preserve">COVID-period gaps, and the 2024 nominal decline was markedly larger than</w:t>
      </w:r>
      <w:r>
        <w:t xml:space="preserve"> </w:t>
      </w:r>
      <w:r>
        <w:t xml:space="preserve">any observed during the pandemic. The 2019→2022 ratio change (VBP+COVID</w:t>
      </w:r>
      <w:r>
        <w:t xml:space="preserve"> </w:t>
      </w:r>
      <w:r>
        <w:t xml:space="preserve">period) was −0·017, whereas the 2022→2024 change (post-COVID) was</w:t>
      </w:r>
      <w:r>
        <w:t xml:space="preserve"> </w:t>
      </w:r>
      <w:r>
        <w:t xml:space="preserve">−0·032—nearly twice as steep—indicating acceleration rather than</w:t>
      </w:r>
      <w:r>
        <w:t xml:space="preserve"> </w:t>
      </w:r>
      <w:r>
        <w:t xml:space="preserve">recovery. The anti-corruption campaign (2023–) cannot be separated from</w:t>
      </w:r>
      <w:r>
        <w:t xml:space="preserve"> </w:t>
      </w:r>
      <w:r>
        <w:t xml:space="preserve">VBP institutionally, as both reduce hospital revenue, but the DID result</w:t>
      </w:r>
      <w:r>
        <w:t xml:space="preserve"> </w:t>
      </w:r>
      <w:r>
        <w:t xml:space="preserve">suggests that VBP intensity is associated with wage decline beyond any</w:t>
      </w:r>
      <w:r>
        <w:t xml:space="preserve"> </w:t>
      </w:r>
      <w:r>
        <w:t xml:space="preserve">aggregate anti-corruption effect.</w:t>
      </w:r>
    </w:p>
    <w:p>
      <w:pPr>
        <w:pStyle w:val="BodyText"/>
      </w:pPr>
      <w:r>
        <w:t xml:space="preserve">A simple counterfactual illustrates the magnitude of the coupling</w:t>
      </w:r>
      <w:r>
        <w:t xml:space="preserve"> </w:t>
      </w:r>
      <w:r>
        <w:t xml:space="preserve">effect. If health industry wages had grown at the national average rate</w:t>
      </w:r>
      <w:r>
        <w:t xml:space="preserve"> </w:t>
      </w:r>
      <w:r>
        <w:t xml:space="preserve">from 2019 onward (the counterfactual of zero coupling, D=1), the 2024</w:t>
      </w:r>
      <w:r>
        <w:t xml:space="preserve"> </w:t>
      </w:r>
      <w:r>
        <w:t xml:space="preserve">health wage would have been approximately ¥153,300 rather than</w:t>
      </w:r>
      <w:r>
        <w:t xml:space="preserve"> </w:t>
      </w:r>
      <w:r>
        <w:t xml:space="preserve">¥143,173—a gap of ¥10,100 per worker, or 7·1% of actual wages. This</w:t>
      </w:r>
      <w:r>
        <w:t xml:space="preserve"> </w:t>
      </w:r>
      <w:r>
        <w:t xml:space="preserve">counterfactual gap represents the cumulative effect of the coupled</w:t>
      </w:r>
      <w:r>
        <w:t xml:space="preserve"> </w:t>
      </w:r>
      <w:r>
        <w:t xml:space="preserve">transmission channel over five years. Scaling by the coupling</w:t>
      </w:r>
      <w:r>
        <w:t xml:space="preserve"> </w:t>
      </w:r>
      <w:r>
        <w:t xml:space="preserve">coefficient (κ≈0·025), the VBP-attributable component is estimated at</w:t>
      </w:r>
      <w:r>
        <w:t xml:space="preserve"> </w:t>
      </w:r>
      <w:r>
        <w:t xml:space="preserve">approximately ¥2,500 per worker (17·4% of the gap), with the remainder</w:t>
      </w:r>
      <w:r>
        <w:t xml:space="preserve"> </w:t>
      </w:r>
      <w:r>
        <w:t xml:space="preserve">attributable to the broader austerity channel (βausterity). This</w:t>
      </w:r>
      <w:r>
        <w:t xml:space="preserve"> </w:t>
      </w:r>
      <w:r>
        <w:t xml:space="preserve">decomposition suggests that while VBP-specific coupling accounts for a</w:t>
      </w:r>
      <w:r>
        <w:t xml:space="preserve"> </w:t>
      </w:r>
      <w:r>
        <w:t xml:space="preserve">minority of the total wage gap, it is the component amenable to</w:t>
      </w:r>
      <w:r>
        <w:t xml:space="preserve"> </w:t>
      </w:r>
      <w:r>
        <w:t xml:space="preserve">institutional reform—whereas the austerity channel requires</w:t>
      </w:r>
      <w:r>
        <w:t xml:space="preserve"> </w:t>
      </w:r>
      <w:r>
        <w:t xml:space="preserve">economy-wide fiscal policy.</w:t>
      </w:r>
    </w:p>
    <w:p>
      <w:pPr>
        <w:pStyle w:val="BodyText"/>
      </w:pPr>
      <w:r>
        <w:rPr>
          <w:b/>
          <w:bCs/>
        </w:rPr>
        <w:t xml:space="preserve">DRG/DIP reform as a second shock through the same coupling mechanism</w:t>
      </w:r>
    </w:p>
    <w:p>
      <w:pPr>
        <w:pStyle w:val="BodyText"/>
      </w:pPr>
      <w:r>
        <w:t xml:space="preserve">An important limitation is that VBP implementation coincided with the</w:t>
      </w:r>
      <w:r>
        <w:t xml:space="preserve"> </w:t>
      </w:r>
      <w:r>
        <w:t xml:space="preserve">concurrent rollout of DRG/DIP payment reform</w:t>
      </w:r>
      <w:r>
        <w:rPr>
          <w:vertAlign w:val="superscript"/>
        </w:rPr>
        <w:t xml:space="preserve">42</w:t>
      </w:r>
      <w:r>
        <w:t xml:space="preserve"> </w:t>
      </w:r>
      <w:r>
        <w:t xml:space="preserve">which expanded from 30% to</w:t>
      </w:r>
      <w:r>
        <w:t xml:space="preserve"> </w:t>
      </w:r>
      <w:r>
        <w:t xml:space="preserve">90.7% of hospital discharges during 2022–2024. Both policies may</w:t>
      </w:r>
      <w:r>
        <w:t xml:space="preserve"> </w:t>
      </w:r>
      <w:r>
        <w:t xml:space="preserve">operate through similar institutional coupling mechanisms, and their</w:t>
      </w:r>
      <w:r>
        <w:t xml:space="preserve"> </w:t>
      </w:r>
      <w:r>
        <w:t xml:space="preserve">effects cannot be separated with the available data. We therefore cannot</w:t>
      </w:r>
      <w:r>
        <w:t xml:space="preserve"> </w:t>
      </w:r>
      <w:r>
        <w:t xml:space="preserve">attribute the observed wage decline to VBP specifically, and the</w:t>
      </w:r>
      <w:r>
        <w:t xml:space="preserve"> </w:t>
      </w:r>
      <w:r>
        <w:t xml:space="preserve">patterns we document may reflect the combined effect of multiple</w:t>
      </w:r>
      <w:r>
        <w:t xml:space="preserve"> </w:t>
      </w:r>
      <w:r>
        <w:t xml:space="preserve">simultaneous health financing reforms. VBP reduces drug revenue (a</w:t>
      </w:r>
      <w:r>
        <w:t xml:space="preserve"> </w:t>
      </w:r>
      <w:r>
        <w:t xml:space="preserve">supply-side income shock); DRG/DIP constrains per-episode reimbursement</w:t>
      </w:r>
      <w:r>
        <w:t xml:space="preserve"> </w:t>
      </w:r>
      <w:r>
        <w:t xml:space="preserve">(a demand-side expenditure cap). Both reduce hospital surplus, and under</w:t>
      </w:r>
      <w:r>
        <w:t xml:space="preserve"> </w:t>
      </w:r>
      <w:r>
        <w:t xml:space="preserve">the coupled compensation system (D≈0), both transmit to individual wages</w:t>
      </w:r>
      <w:r>
        <w:t xml:space="preserve"> </w:t>
      </w:r>
      <w:r>
        <w:t xml:space="preserve">through performance-based pay. The Chengdu tertiary hospital</w:t>
      </w:r>
      <w:r>
        <w:t xml:space="preserve"> </w:t>
      </w:r>
      <w:r>
        <w:t xml:space="preserve">case—where cardiac surgery DRG overruns of ¥890 million resulted in a</w:t>
      </w:r>
      <w:r>
        <w:t xml:space="preserve"> </w:t>
      </w:r>
      <w:r>
        <w:t xml:space="preserve">37% department-wide income decline—illustrates this transmission: the</w:t>
      </w:r>
      <w:r>
        <w:t xml:space="preserve"> </w:t>
      </w:r>
      <w:r>
        <w:t xml:space="preserve">overrun was an institutional-level financial event, but the</w:t>
      </w:r>
      <w:r>
        <w:t xml:space="preserve"> </w:t>
      </w:r>
      <w:r>
        <w:t xml:space="preserve">performance-pay mechanism converted it into personal income loss.</w:t>
      </w:r>
      <w:r>
        <w:t xml:space="preserve"> </w:t>
      </w:r>
      <w:r>
        <w:t xml:space="preserve">Critically, South Korea also implemented DRG-based payment (the Cancer</w:t>
      </w:r>
      <w:r>
        <w:t xml:space="preserve"> </w:t>
      </w:r>
      <w:r>
        <w:t xml:space="preserve">DRG pilot in 2011, expanded nationally under the Adjudicated Co-payment</w:t>
      </w:r>
      <w:r>
        <w:t xml:space="preserve"> </w:t>
      </w:r>
      <w:r>
        <w:t xml:space="preserve">System), yet Korean physician remuneration rose rather than fell because</w:t>
      </w:r>
      <w:r>
        <w:t xml:space="preserve"> </w:t>
      </w:r>
      <w:r>
        <w:t xml:space="preserve">the DRG system reimburses hospitals a per-case payment while physicians</w:t>
      </w:r>
      <w:r>
        <w:t xml:space="preserve"> </w:t>
      </w:r>
      <w:r>
        <w:t xml:space="preserve">bill separately through the fee-for-service schedule—DRG overruns were</w:t>
      </w:r>
      <w:r>
        <w:t xml:space="preserve"> </w:t>
      </w:r>
      <w:r>
        <w:t xml:space="preserve">absorbed at the institutional level, not deducted from individual</w:t>
      </w:r>
      <w:r>
        <w:t xml:space="preserve"> </w:t>
      </w:r>
      <w:r>
        <w:t xml:space="preserve">performance pay. This parallel is consistent with the coupling mechanism</w:t>
      </w:r>
      <w:r>
        <w:t xml:space="preserve"> </w:t>
      </w:r>
      <w:r>
        <w:t xml:space="preserve">(D≈0 in China vs D≈1 in Korea), not the specific policy instrument</w:t>
      </w:r>
      <w:r>
        <w:t xml:space="preserve"> </w:t>
      </w:r>
      <w:r>
        <w:t xml:space="preserve">(VBP vs DRG/DIP), determining the remuneration outcome. Under</w:t>
      </w:r>
      <w:r>
        <w:t xml:space="preserve"> </w:t>
      </w:r>
      <w:r>
        <w:t xml:space="preserve">ITM, VBP and DRG/DIP are not confounders requiring separation—they are</w:t>
      </w:r>
      <w:r>
        <w:t xml:space="preserve"> </w:t>
      </w:r>
      <w:r>
        <w:t xml:space="preserve">two simultaneous shocks through the same transmission channel, both</w:t>
      </w:r>
      <w:r>
        <w:t xml:space="preserve"> </w:t>
      </w:r>
      <w:r>
        <w:t xml:space="preserve">governed by the coupling coefficient κ. Implications for other</w:t>
      </w:r>
      <w:r>
        <w:t xml:space="preserve"> </w:t>
      </w:r>
      <w:r>
        <w:t xml:space="preserve">countries. China's experience may be relevant to other low- and</w:t>
      </w:r>
      <w:r>
        <w:t xml:space="preserve"> </w:t>
      </w:r>
      <w:r>
        <w:t xml:space="preserve">middle-income countries adopting drug price regulation. Vietnam launched</w:t>
      </w:r>
      <w:r>
        <w:t xml:space="preserve"> </w:t>
      </w:r>
      <w:r>
        <w:t xml:space="preserve">national drug price negotiation in 2023, Thailand has expanded</w:t>
      </w:r>
      <w:r>
        <w:t xml:space="preserve"> </w:t>
      </w:r>
      <w:r>
        <w:t xml:space="preserve">compulsory licensing, Indonesia implemented pharmaceutical price</w:t>
      </w:r>
      <w:r>
        <w:t xml:space="preserve"> </w:t>
      </w:r>
      <w:r>
        <w:t xml:space="preserve">controls in 2024, and Brazil's CMED drug pricing system continues to</w:t>
      </w:r>
      <w:r>
        <w:t xml:space="preserve"> </w:t>
      </w:r>
      <w:r>
        <w:t xml:space="preserve">evolve. The ITM framework predicts that the effect of these policies on</w:t>
      </w:r>
      <w:r>
        <w:t xml:space="preserve"> </w:t>
      </w:r>
      <w:r>
        <w:t xml:space="preserve">health worker remuneration will depend on the local degree of</w:t>
      </w:r>
      <w:r>
        <w:t xml:space="preserve"> </w:t>
      </w:r>
      <w:r>
        <w:t xml:space="preserve">institutional coupling. Countries with decoupled physician payment</w:t>
      </w:r>
      <w:r>
        <w:t xml:space="preserve"> </w:t>
      </w:r>
      <w:r>
        <w:t xml:space="preserve">(e.g., Brazil's predominantly fee-for-service private practice) may be</w:t>
      </w:r>
      <w:r>
        <w:t xml:space="preserve"> </w:t>
      </w:r>
      <w:r>
        <w:t xml:space="preserve">insulated, while those with revenue-sharing performance systems may face</w:t>
      </w:r>
      <w:r>
        <w:t xml:space="preserve"> </w:t>
      </w:r>
      <w:r>
        <w:t xml:space="preserve">risks similar to China's. Systematic wage monitoring in these countries</w:t>
      </w:r>
      <w:r>
        <w:t xml:space="preserve"> </w:t>
      </w:r>
      <w:r>
        <w:t xml:space="preserve">could provide a critical test of the ITM framework's generalisability.</w:t>
      </w:r>
    </w:p>
    <w:p>
      <w:pPr>
        <w:pStyle w:val="BodyText"/>
      </w:pPr>
      <w:r>
        <w:t xml:space="preserve">If the patterns documented here reflect causal mechanisms as hypothesised by the ITM framework, several policy responses warrant prospective investigation rather than recommendation. Three tiers, each targeting the compensation–drug-revenue coupling with increasing ambition, are: (1) short-term (1–2 years): remove drug and device revenue from the departmental performance accounting base, retaining only service revenue and quality indicators (estimated fiscal cost ¥300–500 billion/year; Zhejiang county-level pilots offer precedents); (2) medium-term (3–5 years): a dual-track salary system raising the base-salary share from 40–50% to 70%+ with quality-linked supplements, reducing structural dependence on non-service income (medical service income is only 29·59% of tertiary hospital revenue</w:t>
      </w:r>
      <w:r>
        <w:rPr>
          <w:vertAlign w:val="superscript"/>
        </w:rPr>
        <w:t xml:space="preserve">31</w:t>
      </w:r>
      <w:r>
        <w:t xml:space="preserve">; estimated cost ¥2,000–3,000 billion/year, 1·5–2·3% of 2024 GDP); (3) long-term (5–10 years): a Korean-model salary-plus-quality-incentive system under which DRG overruns are absorbed institutionally rather than deducted from individual pay (cost ¥4,000–5,000 billion/year, restoring the ratio to ~1·18). All three address the coupling that may mechanically transmit drug price reductions to personal income, though the transmission magnitude is uncertain. The medical school admission deterioration (mean +37·2% rank decline in Shandong, p&lt;0·001) suggests that if remuneration trends persist and causally affect career choices, a physician supply shock could begin around 2033</w:t>
      </w:r>
      <w:r>
        <w:rPr>
          <w:vertAlign w:val="superscript"/>
        </w:rPr>
        <w:t xml:space="preserve">26</w:t>
      </w:r>
      <w:r>
        <w:t xml:space="preserve">; attribution to wage trends requires further study.</w:t>
      </w:r>
    </w:p>
    <w:p>
      <w:pPr>
        <w:pStyle w:val="BodyText"/>
      </w:pPr>
      <w:r>
        <w:rPr>
          <w:b/>
          <w:bCs/>
        </w:rPr>
        <w:t xml:space="preserve">Cost–benefit context.</w:t>
      </w:r>
      <w:r>
        <w:t xml:space="preserve"> </w:t>
      </w:r>
      <w:r>
        <w:t xml:space="preserve">Had 2024 health wages grown at the national +2·8%, the counterfactual wage would have been ¥147,845 versus the actual ¥143,173—a gap of ¥4,672 per worker (~¥51·4 billion for the ~11-million workforce). Applying κ≈0·025, the VBP-attributable component is ~¥1·3 billion; the remaining ~¥50·1 billion reflects the broader austerity channel, consistent with the parallel −1·9% decline in public administration wages. The fiscal cost of decoupling reform (¥300–500 billion/year) substantially exceeds the VBP-attributable wage loss it would directly prevent, but this narrow framing omits downstream costs—admission crisis, future supply shocks (~2033), and workforce morale deterioration (57% salary-cut rate in 2024)—and the insulation from future VBP rounds. The National Tertiary Hospital Performance Monitoring Report</w:t>
      </w:r>
      <w:r>
        <w:rPr>
          <w:vertAlign w:val="superscript"/>
        </w:rPr>
        <w:t xml:space="preserve">31</w:t>
      </w:r>
      <w:r>
        <w:t xml:space="preserve"> </w:t>
      </w:r>
      <w:r>
        <w:t xml:space="preserve">shows medical service income at 29·59% of tertiary revenue (42·5% secondary)</w:t>
      </w:r>
      <w:r>
        <w:rPr>
          <w:vertAlign w:val="superscript"/>
        </w:rPr>
        <w:t xml:space="preserve">48</w:t>
      </w:r>
      <w:r>
        <w:t xml:space="preserve"> </w:t>
      </w:r>
      <w:r>
        <w:t xml:space="preserve">while personnel costs are 39·18% and 42·5% of expenditure respectively; the rising personnel-cost ratio (+0·13pp tertiary, +0·8pp secondary, 2022→2023) alongside declining wages is consistent with workforce expansion absorbing a growing share of constrained budgets, underscoring the structural dependence on non-service income that decoupling would reduce.</w:t>
      </w:r>
    </w:p>
    <w:p>
      <w:pPr>
        <w:pStyle w:val="BodyText"/>
      </w:pPr>
      <w:r>
        <w:rPr>
          <w:i/>
          <w:iCs/>
        </w:rPr>
        <w:t xml:space="preserve">Table 6: ITM-derived policy scenario analysis</w:t>
      </w:r>
    </w:p>
    <w:tbl>
      <w:tblPr>
        <w:tblStyle w:val="Table"/>
        <w:tblW w:type="pct" w:w="4514"/>
        <w:tblLayout w:type="fixed"/>
        <w:tblLook w:firstRow="1" w:lastRow="0" w:firstColumn="0" w:lastColumn="0" w:noHBand="0" w:noVBand="0" w:val="0020"/>
      </w:tblPr>
      <w:tblGrid>
        <w:gridCol w:w="1870"/>
        <w:gridCol w:w="1540"/>
        <w:gridCol w:w="1870"/>
        <w:gridCol w:w="18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quo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Partial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decoupling (B)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Full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decoupling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Coupling</w:t>
            </w:r>
            <w:r>
              <w:t xml:space="preserve"> </w:t>
            </w:r>
            <w:r>
              <w:t xml:space="preserve">coefficient (κ)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0·5–0·6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0·2–0·3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Decoupling index</w:t>
            </w:r>
            <w:r>
              <w:t xml:space="preserve"> </w:t>
            </w:r>
            <w:r>
              <w:t xml:space="preserve">(D)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~0·5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~1·0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2030</w:t>
            </w:r>
            <w:r>
              <w:t xml:space="preserve"> </w:t>
            </w:r>
            <w:r>
              <w:t xml:space="preserve">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1·08 (95% CI</w:t>
            </w:r>
            <w:r>
              <w:t xml:space="preserve"> </w:t>
            </w:r>
            <w:r>
              <w:t xml:space="preserve">1·02–1·14)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1·12–1·15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~1·18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P(ratio &lt; 1·10)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Est. fiscal cost</w:t>
            </w:r>
            <w:r>
              <w:t xml:space="preserve"> </w:t>
            </w:r>
            <w:r>
              <w:t xml:space="preserve">(¥ billion/yr)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2,000–3,000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4,000–5,000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% of 2024 GDP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1·5–2·3%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3·0–3·8%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International</w:t>
            </w:r>
            <w:r>
              <w:t xml:space="preserve"> </w:t>
            </w:r>
            <w:r>
              <w:t xml:space="preserve">precedent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South Korea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 reform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Major reform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10+ years</w:t>
            </w:r>
          </w:p>
        </w:tc>
      </w:tr>
    </w:tbl>
    <w:p>
      <w:pPr>
        <w:pStyle w:val="BodyText"/>
      </w:pPr>
      <w:r>
        <w:t xml:space="preserve">A distinctive feature of China's health workforce crisis is the absence</w:t>
      </w:r>
      <w:r>
        <w:t xml:space="preserve"> </w:t>
      </w:r>
      <w:r>
        <w:t xml:space="preserve">of institutional voice mechanisms. In South Korea, the Korean Medical</w:t>
      </w:r>
      <w:r>
        <w:t xml:space="preserve"> </w:t>
      </w:r>
      <w:r>
        <w:t xml:space="preserve">Association has negotiated fee schedules that protected physician</w:t>
      </w:r>
      <w:r>
        <w:t xml:space="preserve"> </w:t>
      </w:r>
      <w:r>
        <w:t xml:space="preserve">remuneration during drug price reform. In the UK, the British Medical</w:t>
      </w:r>
      <w:r>
        <w:t xml:space="preserve"> </w:t>
      </w:r>
      <w:r>
        <w:t xml:space="preserve">Association organised junior doctor strikes (2016, 2022–24)</w:t>
      </w:r>
      <w:r>
        <w:rPr>
          <w:vertAlign w:val="superscript"/>
        </w:rPr>
        <w:t xml:space="preserve">16,27</w:t>
      </w:r>
      <w:r>
        <w:t xml:space="preserve"> </w:t>
      </w:r>
      <w:r>
        <w:t xml:space="preserve">that</w:t>
      </w:r>
      <w:r>
        <w:t xml:space="preserve"> </w:t>
      </w:r>
      <w:r>
        <w:t xml:space="preserve">forced policy concessions on pay. In China, health workers have neither</w:t>
      </w:r>
      <w:r>
        <w:t xml:space="preserve"> </w:t>
      </w:r>
      <w:r>
        <w:t xml:space="preserve">collective bargaining rights nor legal strike mechanisms, and public</w:t>
      </w:r>
      <w:r>
        <w:t xml:space="preserve"> </w:t>
      </w:r>
      <w:r>
        <w:t xml:space="preserve">criticism of policy can be construed as political dissent. This</w:t>
      </w:r>
      <w:r>
        <w:t xml:space="preserve"> </w:t>
      </w:r>
      <w:r>
        <w:t xml:space="preserve">institutional silence means that wage decline can proceed without the</w:t>
      </w:r>
      <w:r>
        <w:t xml:space="preserve"> </w:t>
      </w:r>
      <w:r>
        <w:t xml:space="preserve">policy feedback that would otherwise trigger correction. The 57%</w:t>
      </w:r>
      <w:r>
        <w:t xml:space="preserve"> </w:t>
      </w:r>
      <w:r>
        <w:t xml:space="preserve">physician salary cut rate (2024) was documented by academic survey</w:t>
      </w:r>
      <w:r>
        <w:t xml:space="preserve"> </w:t>
      </w:r>
      <w:r>
        <w:t xml:space="preserve">research, not by institutional complaint mechanisms—a distinction with</w:t>
      </w:r>
      <w:r>
        <w:t xml:space="preserve"> </w:t>
      </w:r>
      <w:r>
        <w:t xml:space="preserve">profound implications for policy responsiveness. ITM's voice mechanism</w:t>
      </w:r>
      <w:r>
        <w:t xml:space="preserve"> </w:t>
      </w:r>
      <w:r>
        <w:t xml:space="preserve">variable (Figure 1) captures this: without institutional channels for</w:t>
      </w:r>
      <w:r>
        <w:t xml:space="preserve"> </w:t>
      </w:r>
      <w:r>
        <w:t xml:space="preserve">workforce voice, the system lacks negative feedback, allowing the</w:t>
      </w:r>
      <w:r>
        <w:t xml:space="preserve"> </w:t>
      </w:r>
      <w:r>
        <w:t xml:space="preserve">coupling-driven decline to proceed unchecked. Creating such channels is</w:t>
      </w:r>
      <w:r>
        <w:t xml:space="preserve"> </w:t>
      </w:r>
      <w:r>
        <w:t xml:space="preserve">not merely a labour rights issue; it is a system-safety requirement for</w:t>
      </w:r>
      <w:r>
        <w:t xml:space="preserve"> </w:t>
      </w:r>
      <w:r>
        <w:t xml:space="preserve">any policy that affects health workforce income through institutional</w:t>
      </w:r>
      <w:r>
        <w:t xml:space="preserve"> </w:t>
      </w:r>
      <w:r>
        <w:t xml:space="preserve">coupling.</w:t>
      </w:r>
    </w:p>
    <w:p>
      <w:pPr>
        <w:pStyle w:val="BodyText"/>
      </w:pPr>
      <w:r>
        <w:t xml:space="preserve">As a robustness check, we verified that the core findings do not depend</w:t>
      </w:r>
      <w:r>
        <w:t xml:space="preserve"> </w:t>
      </w:r>
      <w:r>
        <w:t xml:space="preserve">on the 2025 observation (now confirmed from the NBS 2026-05 release).</w:t>
      </w:r>
      <w:r>
        <w:t xml:space="preserve"> </w:t>
      </w:r>
      <w:r>
        <w:t xml:space="preserve">The absolute nominal wage decline occurred in 2024, not 2025; excluding</w:t>
      </w:r>
      <w:r>
        <w:t xml:space="preserve"> </w:t>
      </w:r>
      <w:r>
        <w:t xml:space="preserve">2025, the ratio decline is 3·8pp (2023–2024) rather than 6·2pp</w:t>
      </w:r>
      <w:r>
        <w:t xml:space="preserve"> </w:t>
      </w:r>
      <w:r>
        <w:t xml:space="preserve">(2023–2025), but the direction and statistical significance are</w:t>
      </w:r>
      <w:r>
        <w:t xml:space="preserve"> </w:t>
      </w:r>
      <w:r>
        <w:t xml:space="preserve">unchanged; the provincial DID remains significant without 2025 data</w:t>
      </w:r>
      <w:r>
        <w:t xml:space="preserve"> </w:t>
      </w:r>
      <w:r>
        <w:t xml:space="preserve">(β=−0·0006, p=0·045); and all confirmed provincial data (Guangdong,</w:t>
      </w:r>
      <w:r>
        <w:t xml:space="preserve"> </w:t>
      </w:r>
      <w:r>
        <w:t xml:space="preserve">Jiangsu) are for 2023→2024, independent of 2025. The 2024 nominal</w:t>
      </w:r>
      <w:r>
        <w:t xml:space="preserve"> </w:t>
      </w:r>
      <w:r>
        <w:t xml:space="preserve">decline and the ratio fall from 1·192 to 1·154 (3·8pp) alone are</w:t>
      </w:r>
      <w:r>
        <w:t xml:space="preserve"> </w:t>
      </w:r>
      <w:r>
        <w:t xml:space="preserve">unprecedented in the time series, so the decline narrative does not</w:t>
      </w:r>
      <w:r>
        <w:t xml:space="preserve"> </w:t>
      </w:r>
      <w:r>
        <w:t xml:space="preserve">rely on the 2025 value.</w:t>
      </w:r>
    </w:p>
    <w:p>
      <w:pPr>
        <w:pStyle w:val="BodyText"/>
      </w:pPr>
      <w:r>
        <w:t xml:space="preserve">Limitations include: (1) a short Chinese time series (11 years), limiting</w:t>
      </w:r>
      <w:r>
        <w:t xml:space="preserve"> </w:t>
      </w:r>
      <w:r>
        <w:t xml:space="preserve">power for regime-shift models—results are indicative, not definitive;</w:t>
      </w:r>
      <w:r>
        <w:t xml:space="preserve"> </w:t>
      </w:r>
      <w:r>
        <w:t xml:space="preserve">(2) 2015–2018 health-industry wage values, while confirmed against NBS</w:t>
      </w:r>
      <w:r>
        <w:t xml:space="preserve"> </w:t>
      </w:r>
      <w:r>
        <w:t xml:space="preserve">releases, were cross-validated against adjacent confirmed values and</w:t>
      </w:r>
      <w:r>
        <w:t xml:space="preserve"> </w:t>
      </w:r>
      <w:r>
        <w:t xml:space="preserve">reported growth rates rather than independently re-verified</w:t>
      </w:r>
      <w:r>
        <w:t xml:space="preserve"> </w:t>
      </w:r>
      <w:r>
        <w:t xml:space="preserve">year-by-year (2015–2016 and 2025 were independently web-verified); (3) 26 of 31 provincial wage series are estimated rather than</w:t>
      </w:r>
      <w:r>
        <w:t xml:space="preserve"> </w:t>
      </w:r>
      <w:r>
        <w:t xml:space="preserve">confirmed—only five provinces (Guangdong, Jiangsu, Shandong, Henan,</w:t>
      </w:r>
      <w:r>
        <w:t xml:space="preserve"> </w:t>
      </w:r>
      <w:r>
        <w:t xml:space="preserve">Sichuan) have quality-A confirmed data—introducing measurement error in</w:t>
      </w:r>
      <w:r>
        <w:t xml:space="preserve"> </w:t>
      </w:r>
      <w:r>
        <w:t xml:space="preserve">the provincial DID; (4) Japanese pre-2000 data are partially estimated;</w:t>
      </w:r>
      <w:r>
        <w:t xml:space="preserve"> </w:t>
      </w:r>
      <w:r>
        <w:t xml:space="preserve">(5) ITS cannot separate VBP from COVID, anti-corruption, or DRG/DIP,</w:t>
      </w:r>
      <w:r>
        <w:t xml:space="preserve"> </w:t>
      </w:r>
      <w:r>
        <w:t xml:space="preserve">though the COVID decomposition shows post-COVID acceleration; (6) VBP and</w:t>
      </w:r>
      <w:r>
        <w:t xml:space="preserve"> </w:t>
      </w:r>
      <w:r>
        <w:t xml:space="preserve">DRG/DIP reforms were implemented concurrently and their effects cannot be</w:t>
      </w:r>
      <w:r>
        <w:t xml:space="preserve"> </w:t>
      </w:r>
      <w:r>
        <w:t xml:space="preserve">separated, so observed patterns should be attributed to the combined</w:t>
      </w:r>
      <w:r>
        <w:t xml:space="preserve"> </w:t>
      </w:r>
      <w:r>
        <w:t xml:space="preserve">health-financing reform bundle rather than to VBP specifically; (7) the</w:t>
      </w:r>
      <w:r>
        <w:t xml:space="preserve"> </w:t>
      </w:r>
      <w:r>
        <w:t xml:space="preserve">international comparison conflates industry-level (China, Japan) with</w:t>
      </w:r>
      <w:r>
        <w:t xml:space="preserve"> </w:t>
      </w:r>
      <w:r>
        <w:t xml:space="preserve">physician-specific data (OECD), limiting cross-country comparability, and</w:t>
      </w:r>
      <w:r>
        <w:t xml:space="preserve"> </w:t>
      </w:r>
      <w:r>
        <w:t xml:space="preserve">the directional contrast is suggestive rather than definitive; (8) the</w:t>
      </w:r>
      <w:r>
        <w:t xml:space="preserve"> </w:t>
      </w:r>
      <w:r>
        <w:t xml:space="preserve">provincial DID may suffer from omitted variable bias given pre-treatment</w:t>
      </w:r>
      <w:r>
        <w:t xml:space="preserve"> </w:t>
      </w:r>
      <w:r>
        <w:t xml:space="preserve">differences between R1 and R2 provinces; (9) with only seven industries,</w:t>
      </w:r>
      <w:r>
        <w:t xml:space="preserve"> </w:t>
      </w:r>
      <w:r>
        <w:t xml:space="preserve">the permutation test cannot reach significance regardless of effect size,</w:t>
      </w:r>
      <w:r>
        <w:t xml:space="preserve"> </w:t>
      </w:r>
      <w:r>
        <w:t xml:space="preserve">and the bootstrap does not resolve this fundamental power limitation;</w:t>
      </w:r>
      <w:r>
        <w:t xml:space="preserve"> </w:t>
      </w:r>
      <w:r>
        <w:t xml:space="preserve">(10) observational ecological data cannot establish causation. Despite</w:t>
      </w:r>
      <w:r>
        <w:t xml:space="preserve"> </w:t>
      </w:r>
      <w:r>
        <w:t xml:space="preserve">these, convergence of evidence from the ITM-predicted three-country</w:t>
      </w:r>
      <w:r>
        <w:t xml:space="preserve"> </w:t>
      </w:r>
      <w:r>
        <w:t xml:space="preserve">directional gradient, provincial DID, structural break detection, placebo</w:t>
      </w:r>
      <w:r>
        <w:t xml:space="preserve"> </w:t>
      </w:r>
      <w:r>
        <w:t xml:space="preserve">tests, ITS, and COVID decomposition is consistent with the combined</w:t>
      </w:r>
      <w:r>
        <w:t xml:space="preserve"> </w:t>
      </w:r>
      <w:r>
        <w:t xml:space="preserve">austerity-plus-coupling framework. We identified and corrected a</w:t>
      </w:r>
      <w:r>
        <w:t xml:space="preserve"> </w:t>
      </w:r>
      <w:r>
        <w:t xml:space="preserve">characterisation of the health industry as the</w:t>
      </w:r>
      <w:r>
        <w:t xml:space="preserve"> </w:t>
      </w:r>
      <w:r>
        <w:t xml:space="preserve">“only”</w:t>
      </w:r>
      <w:r>
        <w:t xml:space="preserve"> </w:t>
      </w:r>
      <w:r>
        <w:t xml:space="preserve">sector experiencing</w:t>
      </w:r>
      <w:r>
        <w:t xml:space="preserve"> </w:t>
      </w:r>
      <w:r>
        <w:t xml:space="preserve">nominal decline: public administration wages also declined (−1.9% in</w:t>
      </w:r>
      <w:r>
        <w:t xml:space="preserve"> </w:t>
      </w:r>
      <w:r>
        <w:t xml:space="preserve">2024). The mediation indirect effect is not robust to BCa bootstrap</w:t>
      </w:r>
      <w:r>
        <w:t xml:space="preserve"> </w:t>
      </w:r>
      <w:r>
        <w:t xml:space="preserve">(95% CI includes zero). The cost–benefit analysis (κ≈0·025) is</w:t>
      </w:r>
      <w:r>
        <w:t xml:space="preserve"> </w:t>
      </w:r>
      <w:r>
        <w:t xml:space="preserve">order-of-magnitude.</w:t>
      </w:r>
    </w:p>
    <w:p>
      <w:pPr>
        <w:pStyle w:val="BodyText"/>
      </w:pPr>
      <w:r>
        <w:t xml:space="preserve">We emphasise that the current evidence is descriptive and associational.</w:t>
      </w:r>
      <w:r>
        <w:t xml:space="preserve"> </w:t>
      </w:r>
      <w:r>
        <w:t xml:space="preserve">Causal interpretation of the ITM framework requires: (1)</w:t>
      </w:r>
      <w:r>
        <w:t xml:space="preserve"> </w:t>
      </w:r>
      <w:r>
        <w:t xml:space="preserve">individual-level longitudinal wage data to distinguish composition</w:t>
      </w:r>
      <w:r>
        <w:t xml:space="preserve"> </w:t>
      </w:r>
      <w:r>
        <w:t xml:space="preserve">effects from genuine wage changes; (2) a valid instrumental variable or</w:t>
      </w:r>
      <w:r>
        <w:t xml:space="preserve"> </w:t>
      </w:r>
      <w:r>
        <w:t xml:space="preserve">natural experiment for VBP exposure to address the fundamental</w:t>
      </w:r>
      <w:r>
        <w:t xml:space="preserve"> </w:t>
      </w:r>
      <w:r>
        <w:t xml:space="preserve">identification challenge that all Chinese provinces were eventually</w:t>
      </w:r>
      <w:r>
        <w:t xml:space="preserve"> </w:t>
      </w:r>
      <w:r>
        <w:t xml:space="preserve">treated; (3) hospital-level revenue and compensation data to directly</w:t>
      </w:r>
      <w:r>
        <w:t xml:space="preserve"> </w:t>
      </w:r>
      <w:r>
        <w:t xml:space="preserve">estimate the coupling coefficient κ. Pending such evidence, the ITM</w:t>
      </w:r>
      <w:r>
        <w:t xml:space="preserve"> </w:t>
      </w:r>
      <w:r>
        <w:t xml:space="preserve">framework should be regarded as a hypothesis-generating structure rather</w:t>
      </w:r>
      <w:r>
        <w:t xml:space="preserve"> </w:t>
      </w:r>
      <w:r>
        <w:t xml:space="preserve">than a confirmed model. Future research should: (1) obtain confirmed</w:t>
      </w:r>
      <w:r>
        <w:t xml:space="preserve"> </w:t>
      </w:r>
      <w:r>
        <w:t xml:space="preserve">provincial panel data for difference-in-differences exploiting staggered</w:t>
      </w:r>
      <w:r>
        <w:t xml:space="preserve"> </w:t>
      </w:r>
      <w:r>
        <w:t xml:space="preserve">VBP rollout; (2) collect physician-level salary data by specialty and</w:t>
      </w:r>
      <w:r>
        <w:t xml:space="preserve"> </w:t>
      </w:r>
      <w:r>
        <w:t xml:space="preserve">seniority to directly estimate the coupling coefficient κ; (3)</w:t>
      </w:r>
      <w:r>
        <w:t xml:space="preserve"> </w:t>
      </w:r>
      <w:r>
        <w:t xml:space="preserve">incorporate hospital-level revenue data as a mediator to test the</w:t>
      </w:r>
      <w:r>
        <w:t xml:space="preserve"> </w:t>
      </w:r>
      <w:r>
        <w:t xml:space="preserve">VBP→revenue→compensation causal chain directly; (4) exploit the natural</w:t>
      </w:r>
      <w:r>
        <w:t xml:space="preserve"> </w:t>
      </w:r>
      <w:r>
        <w:t xml:space="preserve">experiment of the anti-corruption campaign's provincial timing; and (5)</w:t>
      </w:r>
      <w:r>
        <w:t xml:space="preserve"> </w:t>
      </w:r>
      <w:r>
        <w:t xml:space="preserve">extend ITM to other countries implementing drug price regulation to</w:t>
      </w:r>
      <w:r>
        <w:t xml:space="preserve"> </w:t>
      </w:r>
      <w:r>
        <w:t xml:space="preserve">validate the model's generalisability.</w:t>
      </w:r>
    </w:p>
    <w:p>
      <w:pPr>
        <w:pStyle w:val="BodyText"/>
      </w:pPr>
      <w:r>
        <w:rPr>
          <w:b/>
          <w:bCs/>
        </w:rPr>
        <w:t xml:space="preserve">Author contributions</w:t>
      </w:r>
    </w:p>
    <w:p>
      <w:pPr>
        <w:pStyle w:val="BodyText"/>
      </w:pPr>
      <w:r>
        <w:t xml:space="preserve">ZS Dai: conceptualisation, data curation, formal analysis, methodology,</w:t>
      </w:r>
      <w:r>
        <w:t xml:space="preserve"> </w:t>
      </w:r>
      <w:r>
        <w:t xml:space="preserve">investigation, writing–original draft, writing–review and editing,</w:t>
      </w:r>
      <w:r>
        <w:t xml:space="preserve"> </w:t>
      </w:r>
      <w:r>
        <w:t xml:space="preserve">supervision, correspondence. YL Jin: investigation, validation,</w:t>
      </w:r>
      <w:r>
        <w:t xml:space="preserve"> </w:t>
      </w:r>
      <w:r>
        <w:t xml:space="preserve">writing–review and editing. All authors had full access to all the data</w:t>
      </w:r>
      <w:r>
        <w:t xml:space="preserve"> </w:t>
      </w:r>
      <w:r>
        <w:t xml:space="preserve">in the study and had final responsibility for the decision to submit for</w:t>
      </w:r>
      <w:r>
        <w:t xml:space="preserve"> </w:t>
      </w:r>
      <w:r>
        <w:t xml:space="preserve">publication.</w:t>
      </w:r>
    </w:p>
    <w:p>
      <w:pPr>
        <w:pStyle w:val="BodyText"/>
      </w:pPr>
      <w:r>
        <w:rPr>
          <w:b/>
          <w:bCs/>
        </w:rPr>
        <w:t xml:space="preserve">Funding</w:t>
      </w:r>
    </w:p>
    <w:p>
      <w:pPr>
        <w:pStyle w:val="BodyText"/>
      </w:pPr>
      <w:r>
        <w:t xml:space="preserve">No external funding was received for this study.</w:t>
      </w:r>
    </w:p>
    <w:p>
      <w:pPr>
        <w:pStyle w:val="BodyText"/>
      </w:pPr>
      <w:r>
        <w:rPr>
          <w:b/>
          <w:bCs/>
        </w:rPr>
        <w:t xml:space="preserve">Role of the funding source</w:t>
      </w:r>
    </w:p>
    <w:p>
      <w:pPr>
        <w:pStyle w:val="BodyText"/>
      </w:pPr>
      <w:r>
        <w:t xml:space="preserve">No funding body had any role in study design, data collection, data</w:t>
      </w:r>
      <w:r>
        <w:t xml:space="preserve"> </w:t>
      </w:r>
      <w:r>
        <w:t xml:space="preserve">analysis, data interpretation, or writing of the report.</w:t>
      </w:r>
    </w:p>
    <w:p>
      <w:pPr>
        <w:pStyle w:val="BodyText"/>
      </w:pPr>
      <w:r>
        <w:rPr>
          <w:b/>
          <w:bCs/>
        </w:rPr>
        <w:t xml:space="preserve">Conflict of interest</w:t>
      </w:r>
    </w:p>
    <w:p>
      <w:pPr>
        <w:pStyle w:val="BodyText"/>
      </w:pPr>
      <w:r>
        <w:t xml:space="preserve">We declare no competing interests.</w:t>
      </w:r>
    </w:p>
    <w:p>
      <w:pPr>
        <w:pStyle w:val="BodyText"/>
      </w:pPr>
      <w:r>
        <w:rPr>
          <w:b/>
          <w:bCs/>
        </w:rPr>
        <w:t xml:space="preserve">Ethics declaration</w:t>
      </w:r>
    </w:p>
    <w:p>
      <w:pPr>
        <w:pStyle w:val="BodyText"/>
      </w:pPr>
      <w:r>
        <w:t xml:space="preserve">This study used publicly available aggregate data from national</w:t>
      </w:r>
      <w:r>
        <w:t xml:space="preserve"> </w:t>
      </w:r>
      <w:r>
        <w:t xml:space="preserve">statistical agencies. No individual participant data were used. Ethical</w:t>
      </w:r>
      <w:r>
        <w:t xml:space="preserve"> </w:t>
      </w:r>
      <w:r>
        <w:t xml:space="preserve">approval was not required per Fudan University institutional guidelines</w:t>
      </w:r>
      <w:r>
        <w:t xml:space="preserve"> </w:t>
      </w:r>
      <w:r>
        <w:t xml:space="preserve">for studies using publicly available de-identified data.</w:t>
      </w:r>
    </w:p>
    <w:p>
      <w:pPr>
        <w:pStyle w:val="BodyText"/>
      </w:pPr>
      <w:r>
        <w:rPr>
          <w:b/>
          <w:bCs/>
        </w:rPr>
        <w:t xml:space="preserve">Data availability</w:t>
      </w:r>
    </w:p>
    <w:p>
      <w:pPr>
        <w:pStyle w:val="BodyText"/>
      </w:pPr>
      <w:r>
        <w:t xml:space="preserve">The compiled dataset and all analysis code (Python 3.10) are available</w:t>
      </w:r>
      <w:r>
        <w:t xml:space="preserve"> </w:t>
      </w:r>
      <w:r>
        <w:t xml:space="preserve">at https://github.com/tongyuanzhongzhi/vbp-itm-china and will be archived</w:t>
      </w:r>
      <w:r>
        <w:t xml:space="preserve"> </w:t>
      </w:r>
      <w:r>
        <w:t xml:space="preserve">with a Zenodo DOI [pending assignment at acceptance]. All data are from</w:t>
      </w:r>
      <w:r>
        <w:t xml:space="preserve"> </w:t>
      </w:r>
      <w:r>
        <w:t xml:space="preserve">publicly available</w:t>
      </w:r>
      <w:r>
        <w:t xml:space="preserve"> </w:t>
      </w:r>
      <w:r>
        <w:t xml:space="preserve">sources with URLs documented in the appendix.</w:t>
      </w:r>
    </w:p>
    <w:p>
      <w:pPr>
        <w:pStyle w:val="BodyText"/>
      </w:pPr>
      <w:r>
        <w:rPr>
          <w:b/>
          <w:bCs/>
        </w:rPr>
        <w:t xml:space="preserve">Open access</w:t>
      </w:r>
    </w:p>
    <w:p>
      <w:pPr>
        <w:pStyle w:val="BodyText"/>
      </w:pPr>
      <w:r>
        <w:t xml:space="preserve">This is an open access article published under the CC BY 4.0 licence,</w:t>
      </w:r>
      <w:r>
        <w:t xml:space="preserve"> </w:t>
      </w:r>
      <w:r>
        <w:t xml:space="preserve">which permits unrestricted use, distribution, and reproduction in any</w:t>
      </w:r>
      <w:r>
        <w:t xml:space="preserve"> </w:t>
      </w:r>
      <w:r>
        <w:t xml:space="preserve">medium, provided the original work is properly cited.</w:t>
      </w:r>
    </w:p>
    <w:p>
      <w:pPr>
        <w:pStyle w:val="BodyText"/>
      </w:pPr>
      <w:r>
        <w:rPr>
          <w:b/>
          <w:bCs/>
        </w:rPr>
        <w:t xml:space="preserve">Acknowledgments</w:t>
      </w:r>
    </w:p>
    <w:p>
      <w:pPr>
        <w:pStyle w:val="BodyText"/>
      </w:pPr>
      <w:r>
        <w:t xml:space="preserve">AI-assisted technologies were used during the preparation of this</w:t>
      </w:r>
      <w:r>
        <w:t xml:space="preserve"> </w:t>
      </w:r>
      <w:r>
        <w:t xml:space="preserve">manuscript for literature search and manuscript formatting. All</w:t>
      </w:r>
      <w:r>
        <w:t xml:space="preserve"> </w:t>
      </w:r>
      <w:r>
        <w:t xml:space="preserve">AI-generated content was reviewed, verified, and edited by the authors,</w:t>
      </w:r>
      <w:r>
        <w:t xml:space="preserve"> </w:t>
      </w:r>
      <w:r>
        <w:t xml:space="preserve">who take full responsibility for the final manuscript. We thank the</w:t>
      </w:r>
      <w:r>
        <w:t xml:space="preserve"> </w:t>
      </w:r>
      <w:r>
        <w:t xml:space="preserve">provincial education examination authorities for making admission data</w:t>
      </w:r>
      <w:r>
        <w:t xml:space="preserve"> </w:t>
      </w:r>
      <w:r>
        <w:t xml:space="preserve">publicly available, and the National Bureau of Statistics and Japan MHLW</w:t>
      </w:r>
      <w:r>
        <w:t xml:space="preserve"> </w:t>
      </w:r>
      <w:r>
        <w:t xml:space="preserve">for their open data policies.</w:t>
      </w:r>
    </w:p>
    <w:p>
      <w:pPr>
        <w:pStyle w:val="BodyText"/>
      </w:pPr>
      <w:r>
        <w:rPr>
          <w:b/>
          <w:bCs/>
        </w:rPr>
        <w:t xml:space="preserve">Appendix</w:t>
      </w:r>
    </w:p>
    <w:p>
      <w:pPr>
        <w:pStyle w:val="BodyText"/>
      </w:pPr>
      <w:r>
        <w:t xml:space="preserve">The appendix includes: (1) full data source documentation with URL links</w:t>
      </w:r>
      <w:r>
        <w:t xml:space="preserve"> </w:t>
      </w:r>
      <w:r>
        <w:t xml:space="preserve">(pp 1–2); (2) MHLW Excel extraction methodology (p 2); (3) Japanese</w:t>
      </w:r>
      <w:r>
        <w:t xml:space="preserve"> </w:t>
      </w:r>
      <w:r>
        <w:t xml:space="preserve">pre-2000 data compilation details (p 3); (4) Markov switching model EM</w:t>
      </w:r>
      <w:r>
        <w:t xml:space="preserve"> </w:t>
      </w:r>
      <w:r>
        <w:t xml:space="preserve">algorithm specification (pp 3–4); (5) cusp catastrophe model full</w:t>
      </w:r>
      <w:r>
        <w:t xml:space="preserve"> </w:t>
      </w:r>
      <w:r>
        <w:t xml:space="preserve">results including coefficient tables for all industries and placebo test</w:t>
      </w:r>
      <w:r>
        <w:t xml:space="preserve"> </w:t>
      </w:r>
      <w:r>
        <w:t xml:space="preserve">details (pp 4–6); (6) ITS full regression output (pp 6–7); (7)</w:t>
      </w:r>
      <w:r>
        <w:t xml:space="preserve"> </w:t>
      </w:r>
      <w:r>
        <w:t xml:space="preserve">sensitivity analysis on VBP start year (p 7); (8) Monte Carlo simulation</w:t>
      </w:r>
      <w:r>
        <w:t xml:space="preserve"> </w:t>
      </w:r>
      <w:r>
        <w:t xml:space="preserve">parameters, convergence diagnostics, and sensitivity analysis on drift</w:t>
      </w:r>
      <w:r>
        <w:t xml:space="preserve"> </w:t>
      </w:r>
      <w:r>
        <w:t xml:space="preserve">and σ parameters (pp 7–8).</w:t>
      </w:r>
    </w:p>
    <w:p>
      <w:pPr>
        <w:pStyle w:val="BodyText"/>
      </w:pPr>
      <w:r>
        <w:rPr>
          <w:b/>
          <w:bCs/>
        </w:rPr>
        <w:t xml:space="preserve">References</w:t>
      </w:r>
    </w:p>
    <w:p>
      <w:pPr>
        <w:pStyle w:val="BodyText"/>
      </w:pPr>
      <w:r>
        <w:t xml:space="preserve">1. Yao J, et al. Impact of the pilot volume-based drug purchasing</w:t>
      </w:r>
      <w:r>
        <w:t xml:space="preserve"> </w:t>
      </w:r>
      <w:r>
        <w:t xml:space="preserve">policy in China: interrupted time-series analysis with controls. J Pharm</w:t>
      </w:r>
      <w:r>
        <w:t xml:space="preserve"> </w:t>
      </w:r>
      <w:r>
        <w:t xml:space="preserve">Policy Pract. 2022;15(1):46.</w:t>
      </w:r>
    </w:p>
    <w:p>
      <w:pPr>
        <w:pStyle w:val="BodyText"/>
      </w:pPr>
      <w:r>
        <w:t xml:space="preserve">2. National Healthcare Security Administration. Notice on the ninth</w:t>
      </w:r>
      <w:r>
        <w:t xml:space="preserve"> </w:t>
      </w:r>
      <w:r>
        <w:t xml:space="preserve">batch of nationally centralised drug procurement </w:t>
      </w:r>
      <w:r>
        <w:rPr>
          <w:rFonts w:hint="eastAsia"/>
        </w:rPr>
        <w:t xml:space="preserve">(国采第九批).</w:t>
      </w:r>
      <w:r>
        <w:t xml:space="preserve"> Beijing:</w:t>
      </w:r>
      <w:r>
        <w:t xml:space="preserve"> </w:t>
      </w:r>
      <w:r>
        <w:t xml:space="preserve">NHSA; 2024.</w:t>
      </w:r>
    </w:p>
    <w:p>
      <w:pPr>
        <w:pStyle w:val="BodyText"/>
      </w:pPr>
      <w:r>
        <w:t xml:space="preserve">3. Duke Kunshan University Global Health Research Center. International</w:t>
      </w:r>
      <w:r>
        <w:t xml:space="preserve"> </w:t>
      </w:r>
      <w:r>
        <w:t xml:space="preserve">physician compensation models and their implications for China. Policy</w:t>
      </w:r>
      <w:r>
        <w:t xml:space="preserve"> </w:t>
      </w:r>
      <w:r>
        <w:t xml:space="preserve">Brief No 1. Kunshan: Duke Kunshan University; 2023.</w:t>
      </w:r>
    </w:p>
    <w:p>
      <w:pPr>
        <w:pStyle w:val="BodyText"/>
      </w:pPr>
      <w:r>
        <w:t xml:space="preserve">4. National Bureau of Statistics of China. China Statistical Yearbook</w:t>
      </w:r>
      <w:r>
        <w:t xml:space="preserve"> </w:t>
      </w:r>
      <w:r>
        <w:t xml:space="preserve">2024. Beijing: China Statistics Press; 2024.</w:t>
      </w:r>
    </w:p>
    <w:p>
      <w:pPr>
        <w:pStyle w:val="BodyText"/>
      </w:pPr>
      <w:r>
        <w:t xml:space="preserve">5. Hua Yi Wang. 2024 physician salary and employment survey report.</w:t>
      </w:r>
      <w:r>
        <w:t xml:space="preserve"> </w:t>
      </w:r>
      <w:r>
        <w:t xml:space="preserve">Beijing: Hua Yi Wang; 2024.</w:t>
      </w:r>
    </w:p>
    <w:p>
      <w:pPr>
        <w:pStyle w:val="BodyText"/>
      </w:pPr>
      <w:r>
        <w:t xml:space="preserve">6. Japan Pharmaceutical Association. History of Yakka Kaisei (drug</w:t>
      </w:r>
      <w:r>
        <w:t xml:space="preserve"> </w:t>
      </w:r>
      <w:r>
        <w:t xml:space="preserve">price revision) in Japan. Tokyo: JPA; 2020.</w:t>
      </w:r>
    </w:p>
    <w:p>
      <w:pPr>
        <w:pStyle w:val="BodyText"/>
      </w:pPr>
      <w:r>
        <w:t xml:space="preserve">7. Ikegami N, Campbell JC. Health care reform in Japan: the virtues of</w:t>
      </w:r>
      <w:r>
        <w:t xml:space="preserve"> </w:t>
      </w:r>
      <w:r>
        <w:t xml:space="preserve">muddling through. Health Aff (Millwood). 1999;18(3):56–75.</w:t>
      </w:r>
    </w:p>
    <w:p>
      <w:pPr>
        <w:pStyle w:val="BodyText"/>
      </w:pPr>
      <w:r>
        <w:t xml:space="preserve">8. Ministry of Health, Labour and Welfare of Japan. Wage Structure</w:t>
      </w:r>
      <w:r>
        <w:t xml:space="preserve"> </w:t>
      </w:r>
      <w:r>
        <w:t xml:space="preserve">Basic Survey (R4–R6). Tokyo: MHLW; 2022–2024.</w:t>
      </w:r>
    </w:p>
    <w:p>
      <w:pPr>
        <w:pStyle w:val="BodyText"/>
      </w:pPr>
      <w:r>
        <w:t xml:space="preserve">9. Hamilton JD. A new approach to the economic analysis of</w:t>
      </w:r>
      <w:r>
        <w:t xml:space="preserve"> </w:t>
      </w:r>
      <w:r>
        <w:t xml:space="preserve">nonstationary time series and the business cycle. Econometrica.</w:t>
      </w:r>
      <w:r>
        <w:t xml:space="preserve"> </w:t>
      </w:r>
      <w:r>
        <w:t xml:space="preserve">1989;57(2):357–84.</w:t>
      </w:r>
    </w:p>
    <w:p>
      <w:pPr>
        <w:pStyle w:val="BodyText"/>
      </w:pPr>
      <w:r>
        <w:t xml:space="preserve">10. Scheffer M, et al. Early-warning signals for critical transitions.</w:t>
      </w:r>
      <w:r>
        <w:t xml:space="preserve"> </w:t>
      </w:r>
      <w:r>
        <w:t xml:space="preserve">Nature. 2009;461(7260):53–9.</w:t>
      </w:r>
    </w:p>
    <w:p>
      <w:pPr>
        <w:pStyle w:val="BodyText"/>
      </w:pPr>
      <w:r>
        <w:t xml:space="preserve">11. Scheffer M, et al. Catastrophic shifts in ecosystems. Nature.</w:t>
      </w:r>
      <w:r>
        <w:t xml:space="preserve"> </w:t>
      </w:r>
      <w:r>
        <w:t xml:space="preserve">2001;413(6856):591–6.</w:t>
      </w:r>
    </w:p>
    <w:p>
      <w:pPr>
        <w:pStyle w:val="BodyText"/>
      </w:pPr>
      <w:r>
        <w:t xml:space="preserve">12. Scheffer M. Critical Transitions in Nature and Society. Princeton:</w:t>
      </w:r>
      <w:r>
        <w:t xml:space="preserve"> </w:t>
      </w:r>
      <w:r>
        <w:t xml:space="preserve">Princeton University Press; 2009.</w:t>
      </w:r>
    </w:p>
    <w:p>
      <w:pPr>
        <w:pStyle w:val="BodyText"/>
      </w:pPr>
      <w:r>
        <w:t xml:space="preserve">13. National Bureau of Statistics of China. 2024 nian chengzhen danwei</w:t>
      </w:r>
      <w:r>
        <w:t xml:space="preserve"> </w:t>
      </w:r>
      <w:r>
        <w:t xml:space="preserve">jiuye renyuan nian pingjun gongzi qingkuang [Annual average wages of</w:t>
      </w:r>
      <w:r>
        <w:t xml:space="preserve"> </w:t>
      </w:r>
      <w:r>
        <w:t xml:space="preserve">urban unit employees in 2024]. Beijing: NBS; 2025.</w:t>
      </w:r>
    </w:p>
    <w:p>
      <w:pPr>
        <w:pStyle w:val="BodyText"/>
      </w:pPr>
      <w:r>
        <w:t xml:space="preserve">14. National Bureau of Statistics of China. 2025 nian chengzhen danwei</w:t>
      </w:r>
      <w:r>
        <w:t xml:space="preserve"> </w:t>
      </w:r>
      <w:r>
        <w:t xml:space="preserve">jiuye renyuan nian pingjun gongzi qingkuang [Annual average wages of</w:t>
      </w:r>
      <w:r>
        <w:t xml:space="preserve"> </w:t>
      </w:r>
      <w:r>
        <w:t xml:space="preserve">urban unit employees in 2025]. Beijing: NBS; 2026.</w:t>
      </w:r>
    </w:p>
    <w:p>
      <w:pPr>
        <w:pStyle w:val="BodyText"/>
      </w:pPr>
      <w:r>
        <w:t xml:space="preserve">15. Provincial Education Examination Authorities of Shandong, Zhejiang,</w:t>
      </w:r>
      <w:r>
        <w:t xml:space="preserve"> </w:t>
      </w:r>
      <w:r>
        <w:t xml:space="preserve">Guangdong, Liaoning, and Jiangsu. 2025 university admission data.</w:t>
      </w:r>
    </w:p>
    <w:p>
      <w:pPr>
        <w:pStyle w:val="BodyText"/>
      </w:pPr>
      <w:r>
        <w:t xml:space="preserve">16. Korean Medical Association. Analysis of OECD physician remuneration</w:t>
      </w:r>
      <w:r>
        <w:t xml:space="preserve"> </w:t>
      </w:r>
      <w:r>
        <w:t xml:space="preserve">data for Korea. Seoul: KMA; 2023.</w:t>
      </w:r>
    </w:p>
    <w:p>
      <w:pPr>
        <w:pStyle w:val="BodyText"/>
      </w:pPr>
      <w:r>
        <w:t xml:space="preserve">17. British Medical Association. NHS doctor pay scales 2015–2025.</w:t>
      </w:r>
      <w:r>
        <w:t xml:space="preserve"> </w:t>
      </w:r>
      <w:r>
        <w:t xml:space="preserve">London: BMA; 2025.</w:t>
      </w:r>
    </w:p>
    <w:p>
      <w:pPr>
        <w:pStyle w:val="BodyText"/>
      </w:pPr>
      <w:r>
        <w:t xml:space="preserve">18. OECD Health Statistics 2024/2025. Remuneration of physicians.</w:t>
      </w:r>
      <w:r>
        <w:t xml:space="preserve"> </w:t>
      </w:r>
      <w:r>
        <w:t xml:space="preserve">Paris: OECD; 2025.</w:t>
      </w:r>
    </w:p>
    <w:p>
      <w:pPr>
        <w:pStyle w:val="BodyText"/>
      </w:pPr>
      <w:r>
        <w:t xml:space="preserve">19. Medscape. Physician compensation report 2025. New York: WebMD;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20. Dempster AP, Laird NM, Rubin DB. Maximum likelihood from incomplete</w:t>
      </w:r>
      <w:r>
        <w:t xml:space="preserve"> </w:t>
      </w:r>
      <w:r>
        <w:t xml:space="preserve">data via the EM algorithm. J R Stat Soc Series B. 1977;39(1):1–38.</w:t>
      </w:r>
    </w:p>
    <w:p>
      <w:pPr>
        <w:pStyle w:val="BodyText"/>
      </w:pPr>
      <w:r>
        <w:t xml:space="preserve">21. Cobb L. Stochastic catastrophe models and multimodal distributions.</w:t>
      </w:r>
      <w:r>
        <w:t xml:space="preserve"> </w:t>
      </w:r>
      <w:r>
        <w:t xml:space="preserve">Behav Sci. 1978;23:360–74.</w:t>
      </w:r>
    </w:p>
    <w:p>
      <w:pPr>
        <w:pStyle w:val="BodyText"/>
      </w:pPr>
      <w:r>
        <w:t xml:space="preserve">22. Wagner AK, et al. Segmented regression analysis of interrupted time</w:t>
      </w:r>
      <w:r>
        <w:t xml:space="preserve"> </w:t>
      </w:r>
      <w:r>
        <w:t xml:space="preserve">series studies in medication use research. J Clin Pharm Ther.</w:t>
      </w:r>
      <w:r>
        <w:t xml:space="preserve"> </w:t>
      </w:r>
      <w:r>
        <w:t xml:space="preserve">2002;27(4):299–309.</w:t>
      </w:r>
    </w:p>
    <w:p>
      <w:pPr>
        <w:pStyle w:val="BodyText"/>
      </w:pPr>
      <w:r>
        <w:t xml:space="preserve">23. Abadie A, Diamond A, Hainmueller J. Synthetic control methods for</w:t>
      </w:r>
      <w:r>
        <w:t xml:space="preserve"> </w:t>
      </w:r>
      <w:r>
        <w:t xml:space="preserve">comparative case studies: estimating the effect of California's tobacco</w:t>
      </w:r>
      <w:r>
        <w:t xml:space="preserve"> </w:t>
      </w:r>
      <w:r>
        <w:t xml:space="preserve">control program. J Am Stat Assoc. 2010;105(490):493–505.</w:t>
      </w:r>
    </w:p>
    <w:p>
      <w:pPr>
        <w:pStyle w:val="BodyText"/>
      </w:pPr>
      <w:r>
        <w:t xml:space="preserve">24. Chow GC. Tests of equality between sets of coefficients in two</w:t>
      </w:r>
      <w:r>
        <w:t xml:space="preserve"> </w:t>
      </w:r>
      <w:r>
        <w:t xml:space="preserve">linear regressions. Econometrica. 1960;28(3):591–605.</w:t>
      </w:r>
    </w:p>
    <w:p>
      <w:pPr>
        <w:pStyle w:val="BodyText"/>
      </w:pPr>
      <w:r>
        <w:t xml:space="preserve">25. Granger CWJ. Investigating causal relations by econometric models</w:t>
      </w:r>
      <w:r>
        <w:t xml:space="preserve"> </w:t>
      </w:r>
      <w:r>
        <w:t xml:space="preserve">and cross-spectral methods. Econometrica. 1969;37(3):424–38.</w:t>
      </w:r>
    </w:p>
    <w:p>
      <w:pPr>
        <w:pStyle w:val="BodyText"/>
      </w:pPr>
      <w:r>
        <w:t xml:space="preserve">26. Burnham KP, Anderson DR. Model Selection and Multimodel Inference.</w:t>
      </w:r>
      <w:r>
        <w:t xml:space="preserve"> </w:t>
      </w:r>
      <w:r>
        <w:t xml:space="preserve">2nd ed. New York: Springer; 2002.</w:t>
      </w:r>
    </w:p>
    <w:p>
      <w:pPr>
        <w:pStyle w:val="BodyText"/>
      </w:pPr>
      <w:r>
        <w:t xml:space="preserve">27. Scheffler RM, Liu JX, Kinfu Y, Dal Poz MR. Forecasting the global</w:t>
      </w:r>
      <w:r>
        <w:t xml:space="preserve"> </w:t>
      </w:r>
      <w:r>
        <w:t xml:space="preserve">shortage of physicians: an economic- and needs-based approach. Bull</w:t>
      </w:r>
      <w:r>
        <w:t xml:space="preserve"> </w:t>
      </w:r>
      <w:r>
        <w:t xml:space="preserve">World Health Organ. 2008;86(7):516–523B.</w:t>
      </w:r>
    </w:p>
    <w:p>
      <w:pPr>
        <w:pStyle w:val="BodyText"/>
      </w:pPr>
      <w:r>
        <w:t xml:space="preserve">28. British Medical Association. NHS pay: the case for full pay</w:t>
      </w:r>
      <w:r>
        <w:t xml:space="preserve"> </w:t>
      </w:r>
      <w:r>
        <w:t xml:space="preserve">restoration. London: BMA; 2024.</w:t>
      </w:r>
    </w:p>
    <w:p>
      <w:pPr>
        <w:pStyle w:val="BodyText"/>
      </w:pPr>
      <w:r>
        <w:t xml:space="preserve">29. Chinese Medical Doctor Association. Chinese Physician Practice</w:t>
      </w:r>
      <w:r>
        <w:t xml:space="preserve"> </w:t>
      </w:r>
      <w:r>
        <w:t xml:space="preserve">Conditions White Paper. Beijing: CMDA; 2015.</w:t>
      </w:r>
    </w:p>
    <w:p>
      <w:pPr>
        <w:pStyle w:val="BodyText"/>
      </w:pPr>
      <w:r>
        <w:t xml:space="preserve">30. Dingxiangyuan &amp; China Youth Online. 2024 China Hospital Human</w:t>
      </w:r>
      <w:r>
        <w:t xml:space="preserve"> </w:t>
      </w:r>
      <w:r>
        <w:t xml:space="preserve">Resources Survey Report. Beijing; 2024.</w:t>
      </w:r>
    </w:p>
    <w:p>
      <w:pPr>
        <w:pStyle w:val="BodyText"/>
      </w:pPr>
      <w:r>
        <w:t xml:space="preserve">31. National Health Commission. 2023 National Tertiary Public Hospital</w:t>
      </w:r>
      <w:r>
        <w:t xml:space="preserve"> </w:t>
      </w:r>
      <w:r>
        <w:t xml:space="preserve">Performance Monitoring Report. Beijing: NHC; 2025.</w:t>
      </w:r>
    </w:p>
    <w:p>
      <w:pPr>
        <w:pStyle w:val="BodyText"/>
      </w:pPr>
      <w:r>
        <w:t xml:space="preserve">32. National Health Commission. 2022 National Tertiary Public Hospital</w:t>
      </w:r>
      <w:r>
        <w:t xml:space="preserve"> </w:t>
      </w:r>
      <w:r>
        <w:t xml:space="preserve">Performance Monitoring Report. Beijing: NHC; 2024.</w:t>
      </w:r>
    </w:p>
    <w:p>
      <w:pPr>
        <w:pStyle w:val="BodyText"/>
      </w:pPr>
      <w:r>
        <w:t xml:space="preserve">33. Guangdong Provincial Bureau of Statistics. 2024 Guangdong</w:t>
      </w:r>
      <w:r>
        <w:t xml:space="preserve"> </w:t>
      </w:r>
      <w:r>
        <w:t xml:space="preserve">provincial average wage by industry. Guangzhou: GPBS; 2025.</w:t>
      </w:r>
    </w:p>
    <w:p>
      <w:pPr>
        <w:pStyle w:val="BodyText"/>
      </w:pPr>
      <w:r>
        <w:t xml:space="preserve">34. Jiangsu Provincial Bureau of Statistics. 2024 Jiangsu provincial</w:t>
      </w:r>
      <w:r>
        <w:t xml:space="preserve"> </w:t>
      </w:r>
      <w:r>
        <w:t xml:space="preserve">average wage by industry. Nanjing: JPBS; 2025.</w:t>
      </w:r>
    </w:p>
    <w:p>
      <w:pPr>
        <w:pStyle w:val="BodyText"/>
      </w:pPr>
      <w:r>
        <w:t xml:space="preserve">35. Henan Provincial Bureau of Statistics. 2024 Henan provincial</w:t>
      </w:r>
      <w:r>
        <w:t xml:space="preserve"> </w:t>
      </w:r>
      <w:r>
        <w:t xml:space="preserve">average wage by industry. Zhengzhou: HNBS; 2025.</w:t>
      </w:r>
    </w:p>
    <w:p>
      <w:pPr>
        <w:pStyle w:val="BodyText"/>
      </w:pPr>
      <w:r>
        <w:t xml:space="preserve">36. Shandong Provincial Bureau of Statistics. 2024 Shandong provincial</w:t>
      </w:r>
      <w:r>
        <w:t xml:space="preserve"> </w:t>
      </w:r>
      <w:r>
        <w:t xml:space="preserve">average wage by industry. Jinan: SPBS; 2025.</w:t>
      </w:r>
    </w:p>
    <w:p>
      <w:pPr>
        <w:pStyle w:val="BodyText"/>
      </w:pPr>
      <w:r>
        <w:t xml:space="preserve">37. Sichuan Provincial Bureau of Statistics. 2024 Sichuan provincial</w:t>
      </w:r>
      <w:r>
        <w:t xml:space="preserve"> </w:t>
      </w:r>
      <w:r>
        <w:t xml:space="preserve">average wage by industry. Chengdu: SPBS; 2025.</w:t>
      </w:r>
    </w:p>
    <w:p>
      <w:pPr>
        <w:pStyle w:val="BodyText"/>
      </w:pPr>
      <w:r>
        <w:t xml:space="preserve">38. Kwon HY, Godman B. Drug pricing in South Korea. Appl Health Econ</w:t>
      </w:r>
      <w:r>
        <w:t xml:space="preserve"> </w:t>
      </w:r>
      <w:r>
        <w:t xml:space="preserve">Health Policy. 2017;15(4):447–53.</w:t>
      </w:r>
    </w:p>
    <w:p>
      <w:pPr>
        <w:pStyle w:val="BodyText"/>
      </w:pPr>
      <w:r>
        <w:t xml:space="preserve">39. Robinson JC. Theory and practice in the design of physician payment</w:t>
      </w:r>
      <w:r>
        <w:t xml:space="preserve"> </w:t>
      </w:r>
      <w:r>
        <w:t xml:space="preserve">incentives. Milbank Q. 2001;79(2):149–77.</w:t>
      </w:r>
    </w:p>
    <w:p>
      <w:pPr>
        <w:pStyle w:val="BodyText"/>
      </w:pPr>
      <w:r>
        <w:t xml:space="preserve">40. Eggleston K, Hsieh CR. Healthcare payment incentives: a comparative</w:t>
      </w:r>
      <w:r>
        <w:t xml:space="preserve"> </w:t>
      </w:r>
      <w:r>
        <w:t xml:space="preserve">analysis of reforms in Taiwan, South Korea and China. Appl Health Econ</w:t>
      </w:r>
      <w:r>
        <w:t xml:space="preserve"> </w:t>
      </w:r>
      <w:r>
        <w:t xml:space="preserve">Health Policy. 2004;3(1):47–56.</w:t>
      </w:r>
    </w:p>
    <w:p>
      <w:pPr>
        <w:pStyle w:val="BodyText"/>
      </w:pPr>
      <w:r>
        <w:t xml:space="preserve">41. Yip W, Hafez R. Improving health system efficiency: reforms for</w:t>
      </w:r>
      <w:r>
        <w:t xml:space="preserve"> </w:t>
      </w:r>
      <w:r>
        <w:t xml:space="preserve">improving the efficiency of health systems: lessons from 10 country</w:t>
      </w:r>
      <w:r>
        <w:t xml:space="preserve"> </w:t>
      </w:r>
      <w:r>
        <w:t xml:space="preserve">cases. Geneva: World Health Organization; 2015.</w:t>
      </w:r>
    </w:p>
    <w:p>
      <w:pPr>
        <w:pStyle w:val="BodyText"/>
      </w:pPr>
      <w:r>
        <w:t xml:space="preserve">42. National Healthcare Security Administration. DRG/DIP payment reform</w:t>
      </w:r>
      <w:r>
        <w:t xml:space="preserve"> </w:t>
      </w:r>
      <w:r>
        <w:t xml:space="preserve">national progress report 2024. Beijing: NHSA; 2025.</w:t>
      </w:r>
    </w:p>
    <w:p>
      <w:pPr>
        <w:pStyle w:val="BodyText"/>
      </w:pPr>
      <w:r>
        <w:t xml:space="preserve">43. Baron RM, Kenny DA. The moderator-mediator variable distinction in</w:t>
      </w:r>
      <w:r>
        <w:t xml:space="preserve"> </w:t>
      </w:r>
      <w:r>
        <w:t xml:space="preserve">social psychological research: conceptual, strategic, and statistical</w:t>
      </w:r>
      <w:r>
        <w:t xml:space="preserve"> </w:t>
      </w:r>
      <w:r>
        <w:t xml:space="preserve">considerations. J Pers Soc Psychol. 1986;51(6):1173–82.</w:t>
      </w:r>
    </w:p>
    <w:p>
      <w:pPr>
        <w:pStyle w:val="BodyText"/>
      </w:pPr>
      <w:r>
        <w:t xml:space="preserve">44. Bai J, Perron P. Estimating and testing linear models with multiple</w:t>
      </w:r>
      <w:r>
        <w:t xml:space="preserve"> </w:t>
      </w:r>
      <w:r>
        <w:t xml:space="preserve">structural changes. Econometrica. 1998;66(1):47–78.</w:t>
      </w:r>
    </w:p>
    <w:p>
      <w:pPr>
        <w:pStyle w:val="BodyText"/>
      </w:pPr>
      <w:r>
        <w:t xml:space="preserve">45. Bai J, Perron P. Computation and analysis of multiple structural</w:t>
      </w:r>
      <w:r>
        <w:t xml:space="preserve"> </w:t>
      </w:r>
      <w:r>
        <w:t xml:space="preserve">change models. J Appl Econom. 2003;18(1):1–22.</w:t>
      </w:r>
    </w:p>
    <w:p>
      <w:pPr>
        <w:pStyle w:val="BodyText"/>
      </w:pPr>
      <w:r>
        <w:t xml:space="preserve">46. Cameron AC, Miller DL. A practitioner's guide to cluster-robust</w:t>
      </w:r>
      <w:r>
        <w:t xml:space="preserve"> </w:t>
      </w:r>
      <w:r>
        <w:t xml:space="preserve">inference. J Hum Resour. 2015;50(2):317–72.</w:t>
      </w:r>
    </w:p>
    <w:p>
      <w:pPr>
        <w:pStyle w:val="BodyText"/>
      </w:pPr>
      <w:r>
        <w:t xml:space="preserve">47. von Elm E, Altman DG, Egger M, et al. The Strengthening the</w:t>
      </w:r>
      <w:r>
        <w:t xml:space="preserve"> </w:t>
      </w:r>
      <w:r>
        <w:t xml:space="preserve">Reporting of Observational Studies in Epidemiology (STROBE) statement:</w:t>
      </w:r>
      <w:r>
        <w:t xml:space="preserve"> </w:t>
      </w:r>
      <w:r>
        <w:t xml:space="preserve">guidelines for reporting observational studies. Lancet.</w:t>
      </w:r>
      <w:r>
        <w:t xml:space="preserve"> </w:t>
      </w:r>
      <w:r>
        <w:t xml:space="preserve">2007;370(9596):1453–7.</w:t>
      </w:r>
    </w:p>
    <w:p>
      <w:pPr>
        <w:pStyle w:val="BodyText"/>
      </w:pPr>
      <w:r>
        <w:t xml:space="preserve">48. National Health Commission. 2022–2023 National Secondary Public</w:t>
      </w:r>
      <w:r>
        <w:t xml:space="preserve"> </w:t>
      </w:r>
      <w:r>
        <w:t xml:space="preserve">Hospital Performance Monitoring Report. Beijing: NHC; 2025.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image" Id="rId15" Target="media/rId15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image" Id="rId24" Target="media/rId2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2026-06-25T10:26:26Z</dcterms:created>
  <dcterms:modified xsi:type="dcterms:W3CDTF">2026-06-25T10:26:26Z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