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Institutional coupling as a framework for understanding drug price</w:t>
      </w:r>
      <w:r>
        <w:rPr>
          <w:rFonts w:ascii="Times New Roman" w:hAnsi="Times New Roman" w:eastAsia="Times New Roman"/>
          <w:b/>
          <w:bCs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regulation effects on health worker remuneration: descriptive evidence</w:t>
      </w:r>
      <w:r>
        <w:rPr>
          <w:rFonts w:ascii="Times New Roman" w:hAnsi="Times New Roman" w:eastAsia="Times New Roman"/>
          <w:b/>
          <w:bCs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from China’s health industry wage decline and three-country comparison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Zhensheng Dai</w:t>
      </w:r>
      <w:r>
        <w:rPr>
          <w:rFonts w:ascii="Times New Roman" w:hAnsi="Times New Roman" w:eastAsia="Times New Roman"/>
          <w:sz w:val="24"/>
          <w:vertAlign w:val="superscript"/>
        </w:rPr>
        <w:t xml:space="preserve">1,*</w:t>
      </w:r>
      <w:r>
        <w:rPr>
          <w:rFonts w:ascii="Times New Roman" w:hAnsi="Times New Roman" w:eastAsia="Times New Roman"/>
          <w:sz w:val="24"/>
        </w:rPr>
        <w:t xml:space="preserve">, Yueling Jin</w:t>
      </w:r>
      <w:r>
        <w:rPr>
          <w:rFonts w:ascii="Times New Roman" w:hAnsi="Times New Roman" w:eastAsia="Times New Roman"/>
          <w:sz w:val="24"/>
          <w:vertAlign w:val="superscript"/>
        </w:rPr>
        <w:t xml:space="preserve">2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1 Department of Hematology, Shanghai Pudong Hospital, Fudan University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Pudong Medical Center, Shanghai, China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2 Shanghai Science and Technology Museum, Shanghai, China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* Corresponding author: Zhensheng Dai, Department of Hematology,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Shanghai Pudong Hospital, Fudan University Pudong Medical Center,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Shanghai, China. Email: 20505@shpdh.org. ORCID: 0009-0009-7476-8163.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Background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sz w:val="24"/>
        </w:rPr>
        <w:t xml:space="preserve">China’s health industry wages declined in absolute nominal terms in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2024—one of only two sectors to experience this (public administration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also declined −1.9%). We propose an Institutional Transmission Model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(ITM) as a framework for interpreting these patterns: drug price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regulation may affect remuneration when compensation is structurally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coupled to institutional drug revenue. We explore whether observed wage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patterns are consistent with this framework using provincial variation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and three-country comparison.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Methods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sz w:val="24"/>
        </w:rPr>
        <w:t xml:space="preserve">We analysed China’s NBS wage data for seven industries (2015–2025;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industry-level), provincial panel data for 31 provinces (5 quality-A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confirmed from provincial bureaus), Japan’s MHLW data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(1991–2024), and OECD data. Patterns were examined using: Bai-Perron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structural break detection, provincial difference-in-differences (DID)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exploiting VBP intensity variation, interrupted time series with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non-health industry controls, three-country institutional comparison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(directional only), and micro-level evidence from physician surveys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(n=29,469) and hospital monitoring (n=2,168). Manski bounds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order-of-magnitude coupling coefficient estimation assessed robustness.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Findings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sz w:val="24"/>
        </w:rPr>
        <w:t xml:space="preserve">In China’s two largest economies, health wages declined in absolute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nominal terms: Guangdong −0.3% (197,354 to 196,745 yuan) and Jiangsu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−1.5% (167,041 to 164,574 yuan) from 2023 to 2024, while all-industry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averages rose +3.0% and +3.3%; three further confirmed provinces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(Shandong, Henan, Sichuan) showed declines (mean −1.8%). Provincial DID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showed greater VBP intensity was associated with greater decline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(β=−0.0009, p=0.005), with the coefficient robust to Manski bounds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under plausible measurement error. The coupling coefficient κ was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estimated at 0.02–0.04 (order-of-magnitude, two-province basis). Because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VBP and DRG/DIP reform were implemented concurrently and both reduce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hospital surplus, their effects on compensation could not be separated;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both are consistent with the same coupled-transmission channel. South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Korea’s decoupled system was directionally associated with rising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remuneration (+22%); the UK’s partially decoupled system with a moderate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decline (−9%); China’s coupled system with the most pronounced decline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(−5.2%)—though cross-country comparison is limited by differing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measurement levels (industry-level vs physician-level) and 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suggestive rather than definitive. Hypothetical policy scenarios suggest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that partial decoupling, with an illustrative fiscal cost on the order of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¥2,000–3,000 billion/year, might stabilise the health-to-average wage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ratio at approximately 1.12–1.15, though these estimates are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order-of-magnitude and depend on uncertain coupling parameters.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Interpretation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sz w:val="24"/>
        </w:rPr>
        <w:t xml:space="preserve">China’s health industry wage decline coincides with both public fiscal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austerity and the absence of structural decoupling between compensation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and institutional drug revenue. Patterns across provinces and countries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are directionally consistent with the ITM framework, which identifies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compensation insulation as a potentially important moderator;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evidence is descriptive and associational and cannot establish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causality. Whether decoupling, salary floors, or institutional voice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channels would avert a workforce crisis remains an open question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requiring prospective evaluation.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Keywords: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volume-based procurement; drug price regulation; health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workforce; physician remuneration; institutional coupling; China; South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Korea; United Kingdom; wage decline; health policy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China’s healthcare system faces a paradox. The volume-based procurement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(VBP) policy, launched nationally in March 2019, has been reported to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have saved over ¥500 billion in drug costs</w:t>
      </w:r>
      <w:r>
        <w:rPr>
          <w:rFonts w:ascii="Times New Roman" w:hAnsi="Times New Roman" w:eastAsia="Times New Roman"/>
          <w:sz w:val="24"/>
          <w:vertAlign w:val="superscript"/>
        </w:rPr>
        <w:t xml:space="preserve">1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and has expanded patient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access to essential medicines. Yet the health industry became one of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only two sectors to experience a nominal wage decline in 2024 (−0·4%;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public administration also declined, −1.9%), and the health-to-average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wage ratio fell 6·2 percentage points from 2023 to 2025. This decline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has coincided with widespread workforce dissatisfaction and a measurable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deterioration in medical school admissions (mean +37·2% rank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deterioration across 17 universities in Shandong province). Whether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this reflects VBP-specific effects, the concurrent rollout of DRG/DIP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payment reform, broader public fiscal austerity, or some combination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remains intensely debated.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The debate suffers from a critical theoretical gap. Existing analyses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treat drug price regulation as a uniform policy shock</w:t>
      </w:r>
      <w:r>
        <w:rPr>
          <w:rFonts w:ascii="Times New Roman" w:hAnsi="Times New Roman" w:eastAsia="Times New Roman"/>
          <w:sz w:val="24"/>
          <w:vertAlign w:val="superscript"/>
        </w:rPr>
        <w:t xml:space="preserve">2,3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but the same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policy has been associated with fundamentally different outcomes across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countries: South Korea’s physician remuneration rose +22% after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implementing drug price negotiation</w:t>
      </w:r>
      <w:r>
        <w:rPr>
          <w:rFonts w:ascii="Times New Roman" w:hAnsi="Times New Roman" w:eastAsia="Times New Roman"/>
          <w:sz w:val="24"/>
          <w:vertAlign w:val="superscript"/>
        </w:rPr>
        <w:t xml:space="preserve">16,38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whereas China’s health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industry wages fell. This cross-country variation cannot be explained by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policy intensity alone—it calls for a theory of institutional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transmission. If health worker compensation is structurally coupled to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institutional drug revenue (as in China’s performance-based pay system),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drug price reductions may transmit to personal income. If compensation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is decoupled (as in South Korea’s fee-for-service model), the same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policy is expected to be income-neutral for physicians. No existing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framework formalises this distinction.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We propose the Institutional Transmission Model (ITM), which predicts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that the association between drug price regulation on health worker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remuneration depends on the degree of structural coupling (κ) between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compensation and institutional drug revenue, moderated by a decoupling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index (D): ΔWageRatio = κ × ΔDrugRevenue × (1 − D) + βausterity ×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Austerity + ε. When D→1 (decoupled), VBP has negligible wage effect;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when D→0 (coupled), the effect is proportional to both drug revenue loss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and the coupling coefficient. Public fiscal austerity operates through a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separate pathway (base salary compression) independent of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VBP–revenue–compensation chain. This model generates three observable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implications: (1) In decoupled systems, drug price regulation should not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reduce remuneration; (2) In coupled systems, the effect should scale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with VBP intensity; (3) Austerity effects should be observable across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all public-sector industries regardless of VBP.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The ITM framework connects to a long theoretical tradition in health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economics on provider payment incentives. Robinson formalised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trade-offs between fee-for-service, capitation, and salary systems,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showing that each creates different incentives for volume, quality,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cost containment.</w:t>
      </w:r>
      <w:r>
        <w:rPr>
          <w:rFonts w:ascii="Times New Roman" w:hAnsi="Times New Roman" w:eastAsia="Times New Roman"/>
          <w:sz w:val="24"/>
          <w:vertAlign w:val="superscript"/>
        </w:rPr>
        <w:t xml:space="preserve">39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Eggleston and Hsieh extended this analysis to China’s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transitional payment environment</w:t>
      </w:r>
      <w:r>
        <w:rPr>
          <w:rFonts w:ascii="Times New Roman" w:hAnsi="Times New Roman" w:eastAsia="Times New Roman"/>
          <w:sz w:val="24"/>
          <w:vertAlign w:val="superscript"/>
        </w:rPr>
        <w:t xml:space="preserve">40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documenting how the performance-based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pay system inherited from the planned economy creates strong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revenue-maximisation incentives.</w:t>
      </w:r>
      <w:r>
        <w:rPr>
          <w:rFonts w:ascii="Times New Roman" w:hAnsi="Times New Roman" w:eastAsia="Times New Roman"/>
          <w:sz w:val="24"/>
          <w:vertAlign w:val="superscript"/>
        </w:rPr>
        <w:t xml:space="preserve">41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critical insight from this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literature is that payment systems differ not only in the incentives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they create, but in their vulnerability to exogenous policy shocks: a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fee-for-service system with decoupled physician compensation 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insulated from drug price changes, whereas a revenue-sharing performance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system is not. Our ITM formalises this insight by introducing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coupling coefficient κ and decoupling index D as measurable parameters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that predict cross-institutional variation in shock transmission.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However, existing provider payment theory focuses on incentive design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for the status quo—how to align physician behaviour with social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objectives under a given payment system. It does not address what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happens when a major exogenous shock (such as drug price regulation)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hits the revenue base of a coupled system. Our contribution is to extend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theory to the dynamic case: when institutional revenue declines,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payment system's coupling coefficient determines whether this decline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transmits to personal income. This extension generates the three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testable predictions outlined above, which have not been previously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tested in drug price regulation.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Japan's experience provides a within-Asia historical analog. Beginning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 1991, Japan implemented Yakka Kaisei (drug price revisions), yet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health industry wages grew steadily for two decades.</w:t>
      </w:r>
      <w:r>
        <w:rPr>
          <w:rFonts w:ascii="Times New Roman" w:hAnsi="Times New Roman" w:eastAsia="Times New Roman"/>
          <w:sz w:val="24"/>
          <w:vertAlign w:val="superscript"/>
        </w:rPr>
        <w:t xml:space="preserve">6,8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key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institutional difference is that Japanese physician compensation was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never structurally coupled to drug margins through performance-based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pay</w:t>
      </w:r>
      <w:r>
        <w:rPr>
          <w:rFonts w:ascii="Times New Roman" w:hAnsi="Times New Roman" w:eastAsia="Times New Roman"/>
          <w:sz w:val="24"/>
          <w:vertAlign w:val="superscript"/>
        </w:rPr>
        <w:t xml:space="preserve">6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providing natural variation in the coupling coefficient across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time and institutional settings.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We aimed to: (1) quantify the trajectory of health industry wages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(noting that our data capture industry-level rather than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physician-specific remuneration); (2) explore whether observed patterns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are consistent with the ITM framework using provincial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difference-in-differences exploiting VBP intensity variation, structural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break detection to identify regime shifts, and three-country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institutional comparison (South Korea, United Kingdom, China); and (3)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assess the downstream consequence for physician workforce supply. Beyond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China, the ITM framework has implications for the growing number of low-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and middle-income countries adopting drug price negotiation programmes: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Vietnam launched its national drug price negotiation in 2023, Thailand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has expanded its compulsory licensing and price negotiation system,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Indonesia implemented pharmaceutical price controls in 2024,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Brazil's long-standing drug price regulation system (CMED) continues to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evolve. In each of these settings, the degree of institutional coupling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between drug revenue and health worker compensation may determine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whether price regulation protects or harms the health workforce.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Data sources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We compiled seven categories of data (appendix p 1). (1) China national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time series: annual average wages for seven industries (note: these are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industry-level aggregates encompassing all workers in each sector, not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physician-specific salaries) and all industries (urban non-private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units), 2015–2025, from the National Bureau of Statistics (NBS).</w:t>
      </w:r>
      <w:r>
        <w:rPr>
          <w:rFonts w:ascii="Times New Roman" w:hAnsi="Times New Roman" w:eastAsia="Times New Roman"/>
          <w:sz w:val="24"/>
          <w:vertAlign w:val="superscript"/>
        </w:rPr>
        <w:t xml:space="preserve">4,13,14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Health-industry wage values for 2015–2025 are confirmed from NBS annual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releases (2015–2016 and 2025 independently web-verified against NBS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releases; 2017–2018 cross-validated against the 2019 confirmed value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reported growth rates). (2) China provincial panel: health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industry wages and provincial average wages for 31 provinces (2015–2025);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five provinces have quality-A data confirmed directly from provincial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statistical bureau official tables (Guangdong, Jiangsu, Shandong, Henan,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Sichuan)</w:t>
      </w:r>
      <w:r>
        <w:rPr>
          <w:rFonts w:ascii="Times New Roman" w:hAnsi="Times New Roman" w:eastAsia="Times New Roman"/>
          <w:sz w:val="24"/>
          <w:vertAlign w:val="superscript"/>
        </w:rPr>
        <w:t xml:space="preserve">33–37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and the remaining 26 provinces are estimated from NBS national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data using regional coefficients calibrated against available provincial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yearbook data. (3) Medical school admission data: rank changes for 17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universities in Shandong (2024→2025) and five-province summary data</w:t>
      </w:r>
      <w:r>
        <w:rPr>
          <w:rFonts w:ascii="Times New Roman" w:hAnsi="Times New Roman" w:eastAsia="Times New Roman"/>
          <w:sz w:val="24"/>
          <w:vertAlign w:val="superscript"/>
        </w:rPr>
        <w:t xml:space="preserve">15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(4) Japan time series: wages for the medical and welfare industry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all industries, 1991–2024, from the Ministry of Health, Labour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Welfare (MHLW). R4–R6 (2022–2024) data were confirmed from official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MHLW Excel files; pre-2022 data were compiled from secondary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sources.</w:t>
      </w:r>
      <w:r>
        <w:rPr>
          <w:rFonts w:ascii="Times New Roman" w:hAnsi="Times New Roman" w:eastAsia="Times New Roman"/>
          <w:sz w:val="24"/>
          <w:vertAlign w:val="superscript"/>
        </w:rPr>
        <w:t xml:space="preserve">6–8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(5) International comparison: physician remuneration data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from seven OECD countries (note: China’s ratio is industry-level, not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physician-specific, and is not directly comparable with OECD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physician-level ratios).</w:t>
      </w:r>
      <w:r>
        <w:rPr>
          <w:rFonts w:ascii="Times New Roman" w:hAnsi="Times New Roman" w:eastAsia="Times New Roman"/>
          <w:sz w:val="24"/>
          <w:vertAlign w:val="superscript"/>
        </w:rPr>
        <w:t xml:space="preserve">16–19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(6) VBP policy intensity: cumulative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drugs covered by national VBP rounds, with provincial variation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reflecting staggered participation in R1 (4+7 pilot, 9 provinces) versus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R2 (expanded, 25 provinces). (7) VBP policy timeline for lag correlation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analysis.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Institutional Transmission Model (ITM)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We propose a formal Institutional Transmission Model as an organising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framework for the analysis. The central proposition is that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association between drug price regulation on health worker remuneration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depends on the degree of structural coupling between compensation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institutional drug revenue. Formally: ΔWageRatio = κ × ΔDrugRevenue × (1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− D) + βausterity × Austerity + ε, where κ is the coupling coefficient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(the share of performance-based pay linked to institutional revenue,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ranging from 0 to 1), D is the decoupling index (0 = fully coupled, 1 =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fully decoupled), and βausterity captures the public fiscal austerity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component common to all public-sector industries.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The framework suggests three observable implications: (1) In fully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decoupled systems (D→1), drug price regulation should have negligible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effect on remuneration (κ × ΔDrugRevenue × 0 ≈ 0); (2) In fully coupled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systems (D→0), the effect should be proportional to both the magnitude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of drug revenue loss and the coupling coefficient; (3) Public fiscal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austerity affects remuneration through a separate pathway (base salary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compression) independent of the VBP–revenue–compensation chain. These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predictions are tested using three-country institutional comparison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(South Korea: D≈1; UK: D≈0·5; China: D≈0), provincial DID (exploiting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variation in VBP intensity as a proxy for ΔDrugRevenue), and Markov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switching models (to identify the austerity regime shift).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drawing>
          <wp:inline>
            <wp:extent cx="62630" cy="45928"/>
            <wp:effectExtent b="0" l="0" r="0" t="0"/>
            <wp:docPr descr="" title="Figure 1: Directed acyclic graph (DAG) of the Institutional Transmission Model. Blue nodes: causal variables; orange nodes: institutional moderators; red nodes: outcomes; grey nodes: confounders. Solid arrows: causal paths; dashed arrows: moderating paths; dotted arrows: confounder paths. The key moderating path runs from Decoupling Index through Coupling κ to Performance Pay, determining whether VBP-induced drug revenue losses transmit to health worker compensation." id="10" name="Picture"/>
            <a:graphic>
              <a:graphicData uri="http://schemas.openxmlformats.org/drawingml/2006/picture">
                <pic:pic>
                  <pic:nvPicPr>
                    <pic:cNvPr descr="_work/media/media/imag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4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i/>
          <w:iCs/>
          <w:sz w:val="24"/>
        </w:rPr>
        <w:t xml:space="preserve">Figure 1: Directed acyclic graph (DAG) of the Institutional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Transmission Model. Blue nodes: causal variables; orange nodes: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institutional moderators; red nodes: outcomes; grey nodes: confounders.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Solid arrows: causal paths; dashed arrows: moderating paths; dotted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arrows: confounder paths. The key moderating path runs from Decoupling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Index through Coupling κ to Performance Pay, determining whether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VBP-induced drug revenue losses transmit to health worker compensation.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Micro-level evidence synthesis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To complement the macro-level statistical analysis with individual-level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evidence, we synthesised publicly available survey data on physician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income changes and institutional reports on hospital revenue structure.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Sources included: (1) the Chinese Medical Doctor Association’s Practice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Conditions White Paper (2009, 2011, 2014; n=9,524 physicians across 13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provinces)</w:t>
      </w:r>
      <w:r>
        <w:rPr>
          <w:rFonts w:ascii="Times New Roman" w:hAnsi="Times New Roman" w:eastAsia="Times New Roman"/>
          <w:sz w:val="24"/>
          <w:vertAlign w:val="superscript"/>
        </w:rPr>
        <w:t xml:space="preserve">29</w:t>
      </w:r>
      <w:r>
        <w:rPr>
          <w:rFonts w:ascii="Times New Roman" w:hAnsi="Times New Roman" w:eastAsia="Times New Roman"/>
          <w:sz w:val="24"/>
        </w:rPr>
        <w:t xml:space="preserve">; (2) the 2024 China Hospital Human Resources Survey (n=2,009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physicians; Dingxiangyuan/CYOL)</w:t>
      </w:r>
      <w:r>
        <w:rPr>
          <w:rFonts w:ascii="Times New Roman" w:hAnsi="Times New Roman" w:eastAsia="Times New Roman"/>
          <w:sz w:val="24"/>
          <w:vertAlign w:val="superscript"/>
        </w:rPr>
        <w:t xml:space="preserve">30</w:t>
      </w:r>
      <w:r>
        <w:rPr>
          <w:rFonts w:ascii="Times New Roman" w:hAnsi="Times New Roman" w:eastAsia="Times New Roman"/>
          <w:sz w:val="24"/>
        </w:rPr>
        <w:t xml:space="preserve">; (3) the 2024 Medical Talent Salary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Survey (n=29,469; Huayiwang)</w:t>
      </w:r>
      <w:r>
        <w:rPr>
          <w:rFonts w:ascii="Times New Roman" w:hAnsi="Times New Roman" w:eastAsia="Times New Roman"/>
          <w:sz w:val="24"/>
          <w:vertAlign w:val="superscript"/>
        </w:rPr>
        <w:t xml:space="preserve">5</w:t>
      </w:r>
      <w:r>
        <w:rPr>
          <w:rFonts w:ascii="Times New Roman" w:hAnsi="Times New Roman" w:eastAsia="Times New Roman"/>
          <w:sz w:val="24"/>
        </w:rPr>
        <w:t xml:space="preserve">; (4) the National Health Commission’s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annual performance monitoring reports for tertiary public hospitals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(2021–2023; n=2,168 hospitals)</w:t>
      </w:r>
      <w:r>
        <w:rPr>
          <w:rFonts w:ascii="Times New Roman" w:hAnsi="Times New Roman" w:eastAsia="Times New Roman"/>
          <w:sz w:val="24"/>
          <w:vertAlign w:val="superscript"/>
        </w:rPr>
        <w:t xml:space="preserve">31,32</w:t>
      </w:r>
      <w:r>
        <w:rPr>
          <w:rFonts w:ascii="Times New Roman" w:hAnsi="Times New Roman" w:eastAsia="Times New Roman"/>
          <w:sz w:val="24"/>
        </w:rPr>
        <w:t xml:space="preserve">; and (5) documented policy statements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from the National People's Congress and Chinese People's Political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Consultative Conference regarding physician compensation. These sources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provide qualitative and quantitative micro-level evidence on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VBP→revenue→compensation transmission chain that cannot be directly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tested with aggregate NBS data. Longitudinal physician survey data. Two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independent annual surveys of Chinese health workers provide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individual-level evidence of accelerating remuneration decline.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Huayiwang Medical Talent Salary Survey (2022–2024) reported that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proportion of health workers experiencing salary cuts rose from 37% in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2022 and 2023 to 57.9% in 2024 (n=29,469 in 2024). The Yixuejie China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Hospital Human Resources Survey independently reported that 50% of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physicians experienced income decline in 2023, rising to 57% in 2024.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Both surveys identify performance-based pay reductions as the primary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driver of income loss, consistent with the ITM coupling mechanism. While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these surveys use convenience sampling and are not nationally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representative, the convergence of findings across two independent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survey programmes and with the NBS industry-level data strengthens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confidence that the observed wage trends reflect genuine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individual-level income changes rather than compositional shifts in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health workforce.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Provincial difference-in-differences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Because VBP was rolled out nationally by R3 (2020), all 31 provinces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were treated, precluding a conventional binary DID. However, VBP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intensity varied across provinces: the nine R1 pilot provinces (Beijing,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Shanghai, Tianjin, Chongqing, Liaoning, Fujian, Guangdong, Shaanxi,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Sichuan) received 50 VBP drugs from 2019, whereas the remaining 22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provinces received only 25 drugs (R2 coverage from 2019Q4). This created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continuous treatment variation in VBP intensity index (range 0–178)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across provinces and years. We estimated two-way fixed effects (TWFE)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models: ratio_it = α_i + γ_t + β·VBP_intensity_it + ε_it, with province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fixed effects α_i absorbing time-invariant provincial characteristics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and year fixed effects γ_t absorbing common time trends. Cluster-robust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standard errors (clustered by province) accounted for within-province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serial correlation. We also estimated models with region×year fixed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effects to control for differential regional trends. As a robustness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check, we compared R1 pilot provinces (n=9) versus R2-only provinces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(n=22) in a TWFE DID framework. Cross-province regressions of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2019→2024 ratio change on VBP intensity provided supplementary evidence.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We note the critical limitation that provincial health wage data are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estimated rather than confirmed from primary sources; results should be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interpreted as suggestive rather than definitive causal evidence. Wild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cluster bootstrap for DID inference. Because our provincial panel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contains only 31 clusters, the conventional cluster-robust standard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errors may be downward-biased (Cameron &amp; Miller, 2015).</w:t>
      </w:r>
      <w:r>
        <w:rPr>
          <w:rFonts w:ascii="Times New Roman" w:hAnsi="Times New Roman" w:eastAsia="Times New Roman"/>
          <w:sz w:val="24"/>
          <w:vertAlign w:val="superscript"/>
        </w:rPr>
        <w:t xml:space="preserve">46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We therefore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implemented the wild cluster bootstrap (Rademacher weights, 9,999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replications) for the key DID coefficient. The wild bootstrap p-value 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reported alongside the conventional cluster-robust p-value.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Balance test, placebo DID, and Manski bounds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Because 26 of 31 provincial wage series are estimated rather than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confirmed from official sources, we conducted a Manski bounds analysis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to assess robustness to systematic measurement error. We perturbed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health-to-average wage ratio in estimated provinces by systematic biases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 both directions—upward bias (+0·0001 to +0·0005, representing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overestimation of health wages) and downward bias (−0·0001 to −0·0005,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representing underestimation)—and re-estimated the DID coefficient.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analysis asks: how much systematic bias would be required to nullify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DID result? We note that the five confirmed provinces are all among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larger provincial economies, so their larger observed declines could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reflect genuine economic heterogeneity rather than providing a basis to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infer the direction of measurement-error bias in estimated provinces;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Manski analysis is therefore used only to characterise robustness to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plausible bias, not to bound the true effect.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We assessed pre-treatment balance between R1 pilot and R2 expanded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provinces by comparing mean health-to-average wage ratios, health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salaries, and growth rates during 2015–2018 using two-sample t-tests.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As a placebo test at the national level, we estimated industry-specific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interactions (industry × VBP intensity) in a seven-industry panel with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industry and year fixed effects; if VBP specifically affects health,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health × VBP interaction should differ from those of non-health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industries.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Structural break detection (primary analysis)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We applied the Bai-Perron (1998, 2003) multiple structural break test</w:t>
      </w:r>
      <w:r>
        <w:rPr>
          <w:rFonts w:ascii="Times New Roman" w:hAnsi="Times New Roman" w:eastAsia="Times New Roman"/>
          <w:sz w:val="24"/>
          <w:vertAlign w:val="superscript"/>
        </w:rPr>
        <w:t xml:space="preserve">44,45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to the annual change in the health-to-average wage ratio (2016–2025).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test sequentially estimates break points by minimising the sum of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squared residuals, with the optimal number of breaks selected by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Bayesian Information Criterion (BIC).</w:t>
      </w:r>
      <w:r>
        <w:rPr>
          <w:rFonts w:ascii="Times New Roman" w:hAnsi="Times New Roman" w:eastAsia="Times New Roman"/>
          <w:sz w:val="24"/>
          <w:vertAlign w:val="superscript"/>
        </w:rPr>
        <w:t xml:space="preserve">26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We specified a minimum segment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length of 3 years and tested up to 2 breaks. As a robustness check, we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applied the test to each of the six non-health industries.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Bai-Perron test is the primary structural-break analysis; a two-state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Markov switching model</w:t>
      </w:r>
      <w:r>
        <w:rPr>
          <w:rFonts w:ascii="Times New Roman" w:hAnsi="Times New Roman" w:eastAsia="Times New Roman"/>
          <w:sz w:val="24"/>
          <w:vertAlign w:val="superscript"/>
        </w:rPr>
        <w:t xml:space="preserve">9,20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and a cusp catastrophe model</w:t>
      </w:r>
      <w:r>
        <w:rPr>
          <w:rFonts w:ascii="Times New Roman" w:hAnsi="Times New Roman" w:eastAsia="Times New Roman"/>
          <w:sz w:val="24"/>
          <w:vertAlign w:val="superscript"/>
        </w:rPr>
        <w:t xml:space="preserve">10–12,21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were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fitted as heuristic supplementary comparators (full specifications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results in appendix pp 2–4), noting that with only 10 observations both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are severely overparameterised and their results are indicative only.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Placebo test on non-health industries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We applied the structural break test to six non-health industries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(education, finance, information technology, manufacturing, public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administration, scientific research). If regime shifts are unique to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health industry, this is consistent with a health-sector-specific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mechanism; if widespread, this indicates shared drivers. We computed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ratio change (2023→2025) for each industry and compared the health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industry’s decline against the six controls. Given only seven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industries, a one-sample t-test is inappropriate (n=6 controls violate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normality assumptions); we therefore used an exact permutation test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(7 choose 1 = 7 permutations), reporting the permutation p-value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Cohen’s d effect size. We emphasise that with seven observations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minimum achievable permutation p-value is 1/7 = 0·143, so formal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significance testing is impossible regardless of effect size;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analysis is therefore descriptive and underpowered, and we report effect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sizes and direction rather than relying on the bootstrap p-value as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definitive.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Interrupted time series with non-health industry controls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We fitted segmented regression models including: time (continuous), VBP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intervention indicator (0 before 2020, 1 from 2020), time after VBP,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health industry indicator, and interaction terms (health×intervention,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health×time_after).</w:t>
      </w:r>
      <w:r>
        <w:rPr>
          <w:rFonts w:ascii="Times New Roman" w:hAnsi="Times New Roman" w:eastAsia="Times New Roman"/>
          <w:sz w:val="24"/>
          <w:vertAlign w:val="superscript"/>
        </w:rPr>
        <w:t xml:space="preserve">22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key coefficient b7 (health×time_after)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captures the differential slope change. Bonferroni correction was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applied for three ITS comparisons (α_corrected=0·017). Sensitivity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analysis assessed robustness to VBP start year (2018, 2019, 2020). We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assessed autocorrelation using Durbin-Watson statistics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Breusch-Godfrey tests, and computed Newey-West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heteroskedasticity-and-autocorrelation-consistent (HAC) standard errors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(Bartlett kernel, maxlags=2) as a robustness check. A key limitation 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that ITS cannot separate the VBP effect from contemporaneous confounders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including the COVID-19 pandemic (2020–2022) and the hospital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anti-corruption campaign (2023–present); we discuss this in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limitations.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COVID-19 confounding decomposition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To assess whether the observed decline could be attributed to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COVID-19 pandemic (2020–2022) rather than VBP, we decomposed the health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wage growth differential (health growth minus national average growth)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into three periods: pre-VBP/pre-COVID (2015–2018), VBP+COVID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(2020–2022), and post-COVID (2023–2025). If COVID were the primary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driver, the largest differentials should occur during 2020–2022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diminish thereafter. Conversely, if VBP or structural fiscal factors are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primary, the decline should persist or accelerate after COVID.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Three-country institutional comparison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We compared China with South Korea and the United Kingdom as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institutional counterfactuals. All three countries implemented drug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price regulation, but differ in: (1) whether physician compensation 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structurally decoupled from drug/device revenue (South Korea: yes,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through fee-for-service; UK: partially, through NHS salary bands; China: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no, through performance-based compensation linked to institutional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revenue); and (2) whether health workers have legal strike mechanisms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(South Korea: yes; UK: yes, exercised 2022–2024; China: no). We plotted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normalised remuneration ratio trajectories (indexed to 2015=100)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compared institutional features in a structured framework.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Mediation analysis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We tested whether the proportion of health workers reporting salary cuts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mediated the relationship between VBP intensity and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health-to-average wage ratio using the Baron-Kenny framework.</w:t>
      </w:r>
      <w:r>
        <w:rPr>
          <w:rFonts w:ascii="Times New Roman" w:hAnsi="Times New Roman" w:eastAsia="Times New Roman"/>
          <w:sz w:val="24"/>
          <w:vertAlign w:val="superscript"/>
        </w:rPr>
        <w:t xml:space="preserve">43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Path a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estimated the association between VBP intensity on salary cut rate; path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 estimated the association between salary cut rate on ratio change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controlling for VBP; and the indirect effect (a×b) was tested using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Sobel test and bias-corrected bootstrap confidence intervals (10,000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resamples).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Policy elasticity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We defined policy elasticity as the change in the health-to-average wage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ratio per unit change in VBP policy intensity (Δratio/Δcumulative VBP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drugs, z-scored). A negative elasticity indicates that greater VBP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intensity is associated with a lower ratio; a positive elasticity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indicates the opposite. This metric enables cross-country comparison of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sensitivity to drug price control policies.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Supplementary projection and sensitivity analyses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As supplementary analyses (full results in the appendix), we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constructed a synthetic control</w:t>
      </w:r>
      <w:r>
        <w:rPr>
          <w:rFonts w:ascii="Times New Roman" w:hAnsi="Times New Roman" w:eastAsia="Times New Roman"/>
          <w:sz w:val="24"/>
          <w:vertAlign w:val="superscript"/>
        </w:rPr>
        <w:t xml:space="preserve">23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for the health industry using weighted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combinations of the six non-health industries, with weights optimised to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minimise pre-VBP (2015–2019) mean squared prediction error; synthetic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control weights, pre-VBP MSPE, the post-VBP gap, and placebo SCM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permutation p-values are reported in appendix Table A3 and Figure A2.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For the China–Japan temporal analog, we aligned China’s VBP (2018) with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Japan’s Yakka Kaisei (1991), yielding a 27-year shift, and fitted an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exponential recovery model to Japan’s post-trough data: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r(t) = r∞ − (r∞ − r₀)exp(−t/τ), with bootstrap 95% CIs for the decline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slope and fold-difference (10,000 residual resamples); three recovery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scenarios were projected for China (τ = 9·4, 24·4, 36·5 years). Chow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tests</w:t>
      </w:r>
      <w:r>
        <w:rPr>
          <w:rFonts w:ascii="Times New Roman" w:hAnsi="Times New Roman" w:eastAsia="Times New Roman"/>
          <w:sz w:val="24"/>
          <w:vertAlign w:val="superscript"/>
        </w:rPr>
        <w:t xml:space="preserve">24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identified structural breakpoints and Granger causality</w:t>
      </w:r>
      <w:r>
        <w:rPr>
          <w:rFonts w:ascii="Times New Roman" w:hAnsi="Times New Roman" w:eastAsia="Times New Roman"/>
          <w:sz w:val="24"/>
          <w:vertAlign w:val="superscript"/>
        </w:rPr>
        <w:t xml:space="preserve">25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assessed temporal precedence of VBP intensity. Monte Carlo simulations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(10,000 runs) projected the ratio to 2030 under three scenarios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(business-as-usual, moderate reform, comprehensive reform), reporting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mean, 95% CI, and P(ratio &lt; threshold); the drift parameter was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calibrated from the 2019–2025 decline slope (−0·010/year; bootstrap 95%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CI −0·015 to −0·005) and volatility (σ = 0·014) from residuals against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linear decline model, with sensitivity analysis across nine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combinations of drift (−0·015, −0·010, −0·005) and σ (0·5×, 1·0×, 1·5×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base). These projections are illustrative and depend on the uncertain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coupling and drift parameters; they are intended for scenario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comparison rather than forecast.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Statistical analysis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This study was not pre-registered. All analyses are exploratory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should be interpreted accordingly. We report all analyses conducted,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including those with null or inconclusive results (e.g., mediation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analysis, appendix). The study follows the STROBE reporting guideline</w:t>
      </w:r>
      <w:r>
        <w:rPr>
          <w:rFonts w:ascii="Times New Roman" w:hAnsi="Times New Roman" w:eastAsia="Times New Roman"/>
          <w:sz w:val="24"/>
          <w:vertAlign w:val="superscript"/>
        </w:rPr>
        <w:t xml:space="preserve">47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for cross-sectional studies (checklist in supplementary materials). All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analyses used Python 3·10 with numpy, scipy, and pandas. Significance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was two-sided p&lt;0·05. Bootstrap 95% CIs used 10000 resamples. Effect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sizes (Cohen's d) accompanied all t-tests. This study used publicly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available aggregate data; ethical approval was not required per Fudan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University institutional guidelines for studies using publicly available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de-identified data.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Health industry wage decline in China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Between 2015 and 2023, China's health industry maintained wages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approximately 19% above the national average (Table 1, Figure 2). In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2024, health industry wages declined absolutely for the first time in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observation period: from 143818 yuan (2023) to 143173 yuan (−0·4%),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while national average wages grew 2·8%. In 2025, health wages recovered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modestly to 146266 yuan (+2·2%), but national average wages grew 4·3%,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pushing the ratio further to 1·130. The 6·2pp decline over two years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(2023–2025) is without precedent in the 11-year time series (Figure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2B). The decline slope was −0·010/year (2019–2025; bootstrap 95% CI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−0·015 to −0·005). The effect size for pre-VBP versus post-VBP health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growth rates was Cohen's d=1·99 (large). Note that all wage data are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industry-level aggregates encompassing physicians, nurses, and ancillary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staff; physician-specific salaries may differ.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i/>
          <w:iCs/>
          <w:sz w:val="24"/>
        </w:rPr>
        <w:t xml:space="preserve">Table 1: China health industry wages and the health-to-average wage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ratio, 2015–2025</w:t>
      </w:r>
    </w:p>
    <w:tbl>
      <w:tblPr>
        <w:tblStyle w:val="Table"/>
        <w:tblW w:type="pct" w:w="4867"/>
        <w:tblLayout w:type="fixed"/>
        <w:tblLook w:firstRow="1" w:lastRow="0" w:firstColumn="0" w:lastColumn="0" w:noHBand="0" w:noVBand="0" w:val="0020"/>
        <w:tblBorders>
          <w:top w:val="single" w:sz="12" w:space="0" w:color="000000"/>
          <w:bottom w:val="single" w:sz="12" w:space="0" w:color="000000"/>
          <w:left w:val="none"/>
          <w:right w:val="none"/>
          <w:insideV w:val="none"/>
          <w:insideH w:val="none"/>
        </w:tblBorders>
      </w:tblPr>
      <w:tblGrid>
        <w:gridCol w:w="1161"/>
        <w:gridCol w:w="1478"/>
        <w:gridCol w:w="1161"/>
        <w:gridCol w:w="1478"/>
        <w:gridCol w:w="1161"/>
        <w:gridCol w:w="1267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Year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Health wage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(yuan)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Growth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(%)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National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avg (yuan)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Growth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(%)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Ratio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2015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71624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62029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1·155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2016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80026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11·7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67569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8·9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1·184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2017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89648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12·0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74318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10·0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1·206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2018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98118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9·4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82413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11·0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1·191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2019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108903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11·0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90501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9·8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1·203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2020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115449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6·0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97379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7·6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1·186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2021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126828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9·9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106837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9·7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1·187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2022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135222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6·6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114029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6·7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1·186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2023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143818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6·4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120698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5·8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1·192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2024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143173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−0·4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124110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2·8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1·154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2025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146266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2·2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129441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4·3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1·130</w:t>
            </w:r>
          </w:p>
        </w:tc>
      </w:tr>
    </w:tbl>
    <w:p>
      <w:pPr>
        <w:pStyle w:val="BodyText"/>
        <w:spacing w:line="480" w:lineRule="auto"/>
      </w:pPr>
      <w:r>
        <w:rPr>
          <w:rFonts w:ascii="Times New Roman" w:hAnsi="Times New Roman" w:eastAsia="Times New Roman"/>
          <w:i/>
          <w:iCs/>
          <w:sz w:val="24"/>
        </w:rPr>
        <w:t xml:space="preserve">Table 1 notes: Wages are annual average wages of employed persons in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urban non-private units (yuan), NBS. Health-industry wage values for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2015–2025 are confirmed from NBS annual releases (2015–2016 and 2025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independently web-verified against NBS releases; 2017–2018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cross-validated against the 2019 confirmed value and reported growth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rates). All health wage data are industry-level aggregates (health and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social work), not physician-specific salaries.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drawing>
          <wp:inline>
            <wp:extent cx="62630" cy="45928"/>
            <wp:effectExtent b="0" l="0" r="0" t="0"/>
            <wp:docPr descr="" title="Figure 2: Health industry wage trends in China, 2015–2025. (A) Annual average wages for the health industry versus national average. (B) Health-to-average wage ratio with the 6·2pp decline (2023–2025). (C) Growth rate differential. (D) Proportion of health workers reporting salary cuts with exponential fit (doubling time 2·1 years)." id="13" name="Picture"/>
            <a:graphic>
              <a:graphicData uri="http://schemas.openxmlformats.org/drawingml/2006/picture">
                <pic:pic>
                  <pic:nvPicPr>
                    <pic:cNvPr descr="_work/media/media/image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4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i/>
          <w:iCs/>
          <w:sz w:val="24"/>
        </w:rPr>
        <w:t xml:space="preserve">Figure 2: Health industry wage trends in China, 2015–2025. (A) Annual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average wages for the health industry versus national average. (B)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Health-to-average wage ratio with the 6·2pp decline (2023–2025). (C)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Growth rate differential. (D) Proportion of health workers reporting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salary cuts with exponential fit (doubling time 2·1 years).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drawing>
          <wp:inline>
            <wp:extent cx="62630" cy="20876"/>
            <wp:effectExtent b="0" l="0" r="0" t="0"/>
            <wp:docPr descr="" title="Figure 3: Provincial validation of absolute nominal wage decline. (A) Guangdong (GDP rank #1): health industry wage declined -0.3% (197,354 to 196,745 yuan) while all-industry average rose +3.0%. (B) Jiangsu (GDP rank #2): health wage declined -1.5% (167,041 to 164,574 yuan) while average rose +3.3%. (C) Health-to-average wage ratio trajectories for confirmed-data provinces versus national average, 2022–2024. Confirmed provinces show larger ratio declines than the national average, consistent with ITM prediction 2." id="16" name="Picture"/>
            <a:graphic>
              <a:graphicData uri="http://schemas.openxmlformats.org/drawingml/2006/picture">
                <pic:pic>
                  <pic:nvPicPr>
                    <pic:cNvPr descr="_work/media/media/image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i/>
          <w:iCs/>
          <w:sz w:val="24"/>
        </w:rPr>
        <w:t xml:space="preserve">Figure 3: Provincial validation of absolute nominal wage decline. (A)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Guangdong (GDP rank #1): health industry wage declined -0.3% (197,354 to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196,745 yuan) while all-industry average rose +3.0%. (B) Jiangsu (GDP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rank #2): health wage declined -1.5% (167,041 to 164,574 yuan) while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average rose +3.3%. In Shandong (GDP rank #3), health wages declined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−1.1% (131,891 to 130,421 yuan) against an all-industry increase of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+0.9%. In Henan, the most populous province, health wages declined −1.9%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(101,133 to 99,230 yuan) while the all-industry average rose +2.4%. In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Sichuan, the largest western province, health wages declined −4.3%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(138,142 to 132,251 yuan) while the all-industry average remained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essentially unchanged (+0.0%). Across all five provinces with confirmed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data, health wages declined (mean −1.8%) while all-industry averages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rose or remained flat. (C) Health-to-average wage ratio trajectories for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confirmed-data provinces versus national average, 2022–2024. Confirmed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provinces show larger ratio declines than the national average,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consistent with ITM prediction 2.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Provincial difference-in-differences: VBP intensity and wage decline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Provincial DID analysis provided direct evidence linking VBP intensity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to wage decline (Figure 4, Table 2). In a TWFE model with province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year fixed effects, VBP intensity was significantly associated with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lower health-to-average wage ratios (β=−0·0009 per intensity unit,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cluster-robust SE=0·0003, t=−2·79, p=0·005). Adding region×year fixed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effects to control for differential regional trends strengthened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estimate (β=−0·0012, SE=0·0003, t=−3·53, p=0·0004). The R1 pilot versus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R2 expanded DID yielded β=−0·012 (SE=0·004, p=0·005), indicating that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early-treated provinces experienced a 1·2pp greater ratio decline.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Cross-province regression of the 2019→2024 ratio change on VBP intensity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confirmed a strong negative association (Pearson r=−0·63, p=0·0001;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R²=0·40), robust to region fixed effects (R²=0·62) and initial ratio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controls (R²=0·71). Excluding 2025 estimated data, the intensity effect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remained significant (β=−0·0006, p=0·045). These results are consistent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with a VBP intensity effect but must be interpreted cautiously: 21 of 31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provinces' wage data are estimated rather than confirmed, and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intensity variation partly reflects province-level characteristics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correlated with VBP pilot status.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i/>
          <w:iCs/>
          <w:sz w:val="24"/>
        </w:rPr>
        <w:t xml:space="preserve">Table 2: Provincial difference-in-differences analysis of VBP intensity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and health wage ratio</w:t>
      </w:r>
    </w:p>
    <w:tbl>
      <w:tblPr>
        <w:tblStyle w:val="Table"/>
        <w:tblW w:type="pct" w:w="4863"/>
        <w:tblLayout w:type="fixed"/>
        <w:tblLook w:firstRow="1" w:lastRow="0" w:firstColumn="0" w:lastColumn="0" w:noHBand="0" w:noVBand="0" w:val="0020"/>
        <w:tblBorders>
          <w:top w:val="single" w:sz="12" w:space="0" w:color="000000"/>
          <w:bottom w:val="single" w:sz="12" w:space="0" w:color="000000"/>
          <w:left w:val="none"/>
          <w:right w:val="none"/>
          <w:insideV w:val="none"/>
          <w:insideH w:val="none"/>
        </w:tblBorders>
      </w:tblPr>
      <w:tblGrid>
        <w:gridCol w:w="1844"/>
        <w:gridCol w:w="1084"/>
        <w:gridCol w:w="1518"/>
        <w:gridCol w:w="867"/>
        <w:gridCol w:w="976"/>
        <w:gridCol w:w="141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Model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β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SE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(cluster)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t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p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95% CI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TWFE (intensity)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−0·0009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0·0003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−2·79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0·005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[−0·0016,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−0·0003]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TWFE (drugs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cumulative)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−0·0005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0·0002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−2·79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0·005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[−0·0008,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−0·0001]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TWFE +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region×year FE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−0·0012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0·0003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−3·53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0·0004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[−0·0019,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−0·0005]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R1 pilot vs R2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expanded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−0·012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0·004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−2·79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0·005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[−0·020,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−0·004]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Cross-section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(r)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−0·63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0·0001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R²=0·40</w:t>
            </w:r>
          </w:p>
        </w:tc>
      </w:tr>
    </w:tbl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drawing>
          <wp:inline>
            <wp:extent cx="62630" cy="29227"/>
            <wp:effectExtent b="0" l="0" r="0" t="0"/>
            <wp:docPr descr="" title="Figure 4: Provincial difference-in-differences analysis. (A) Health-to-average wage ratio trajectories for R1 pilot (n=9) versus R2 expanded (n=22) provinces. (B) Cross-province scatter of ratio change (2019→2024) against VBP intensity index, with OLS fit (r=−0·63, p=0·0001)." id="19" name="Picture"/>
            <a:graphic>
              <a:graphicData uri="http://schemas.openxmlformats.org/drawingml/2006/picture">
                <pic:pic>
                  <pic:nvPicPr>
                    <pic:cNvPr descr="_work/media/media/image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9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i/>
          <w:iCs/>
          <w:sz w:val="24"/>
        </w:rPr>
        <w:t xml:space="preserve">Figure 4: Provincial difference-in-differences analysis. (A)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Health-to-average wage ratio trajectories for R1 pilot (n=9) versus R2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expanded (n=22) provinces. (B) Cross-province scatter of ratio change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(2019→2024) against VBP intensity index, with OLS fit (r=−0·63,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p=0·0001).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COVID-19 confounding decomposition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The health wage growth differential (health minus national average) was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+0·8pp during the pre-VBP/pre-COVID period (2015–2018), −0·5pp during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VBP+COVID (2020–2022), and −1·6pp post-COVID (2023–2025). The pattern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of accelerating differentials after COVID—rather than during it—is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inconsistent with COVID as the primary driver. The 2024 gap (health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−0·4% vs average +2·8%, differential=−3·2pp) was 6·4× larger than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mean COVID-period gap (−0·5pp). The ratio decline from 2019 to 2022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(VBP+COVID) was −0·017, compared with −0·032 from 2022 to 2024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(post-COVID), indicating that the sharpest decline occurred after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pandemic ended.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Regime-shift detection: Bai-Perron structural break test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The Bai-Perron test identified a single structural break in the health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industry’s annual wage ratio change at 2022 (F=8.10; BIC: −81.9 [no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break] vs −84.3 [1 break]; Figure 5A). This break timing is consistent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with a delayed transmission mechanism: the 2019 VBP launch and 2021–2022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DRG/DIP expansion progressively exhausted institutional buffers, with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structural break emerging only after these buffers were depleted. By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comparison, four of six non-health industries showed no significant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structural break (ΔBIC &lt; 2 between 0-break and 1-break models), while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education and public administration showed breaks at 2018 and 2019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respectively (Figure 5B, appendix Table A1)—timing consistent with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austerity-driven rather than VBP-driven mechanisms. The supplementary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Markov switching model (appendix pp 3–4), while overparameterised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(6 parameters with 10 observations), produced qualitatively consistent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results with a high-to-low regime probability shift around 2018–2019.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Among non-health industries, the Bai-Perron test identified structural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breaks at 2018 for education and 2019 for public administration, with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four remaining industries showing no significant break (ΔBIC &lt; 2).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Markov switching placebo analysis yielded qualitatively similar results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(appendix Table A1). This pattern is consistent with ITM prediction 3: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austerity affects all public-sector industries through a shared pathway,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while the additional VBP–revenue–compensation transmission renders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health industry's break more pronounced and statistically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distinguishable.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drawing>
          <wp:inline>
            <wp:extent cx="62630" cy="29227"/>
            <wp:effectExtent b="0" l="0" r="0" t="0"/>
            <wp:docPr descr="" title="Figure 5: Regime-shift detection and ITS analysis. (A) Health industry ratio trajectory with filtered regime probabilities from the supplementary Markov switching model (shift around 2018–2019); the primary Bai-Perron structural break is at 2022. (B) Placebo industries: Bai-Perron breaks in Education (2018) and Public Administration (2019), with no significant break in the remaining four industries, indicating shared fiscal drivers. (C) ITS analysis: industry-to-average wage ratio trajectories with segmented regression fits. (D) Differential slope analysis with Newey-West HAC standard errors: health vs manufacturing significant (p&lt;0·001), vs education not significant." id="22" name="Picture"/>
            <a:graphic>
              <a:graphicData uri="http://schemas.openxmlformats.org/drawingml/2006/picture">
                <pic:pic>
                  <pic:nvPicPr>
                    <pic:cNvPr descr="_work/media/media/image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9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i/>
          <w:iCs/>
          <w:sz w:val="24"/>
        </w:rPr>
        <w:t xml:space="preserve">Figure 5: Regime-shift detection and ITS analysis. (A) Markov switching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model: health industry ratio trajectory with filtered regime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probabilities showing shift at 2018. (B) Placebo industries: regime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shifts in Education (2018), Public Admin (2018), Manufacturing (2019),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indicating shared fiscal drivers. (C) ITS analysis: industry-to-average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wage ratio trajectories with segmented regression fits. (D) Differential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slope analysis with Newey-West HAC standard errors: health vs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manufacturing significant (p&lt;0·001), vs education not significant.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Bootstrap test and ITS analysis: shared austerity versus</w:t>
      </w:r>
      <w:r>
        <w:rPr>
          <w:rFonts w:ascii="Times New Roman" w:hAnsi="Times New Roman" w:eastAsia="Times New Roman"/>
          <w:b/>
          <w:bCs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health-specific amplification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The health industry’s ratio decline of −0.062 (2023→2025) was larger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than the mean decline of −0.026 across the six non-health comparison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industries (Cohen’s d = −2.01). A bootstrap null distribution (N=10,000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resamples from non-health industries, stratified by public-sector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status) yielded a small bootstrap p-value (95% bootstrap CI for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differential: −0.050 to −0.025). We caution that the bootstrap does not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create information beyond the seven underlying industry observations: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with n = 7 the exact permutation test has a minimum achievable p of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1/7 = 0·143, and the large effect size should therefore be interpreted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descriptively given the very small sample rather than as a definitive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significance test.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ITS analysis with Newey-West HAC-corrected standard errors provided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further decomposition (Figure 5C,D, Table 3). Durbin-Watson statistics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ranged from 1·6 to 2·6 across model specifications, indicating no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serious autocorrelation. Compared with manufacturing, the health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industry showed a significantly more negative post-VBP slope change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(b7=−0·033, HAC SE=0·007, t=−4·79, p&lt;0·001; Bonferroni-corrected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significant at α=0·017). Compared with education and public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administration, no significant differential was found. The positive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coefficient for public administration (b7=+0·022) reflects a relative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improvement in that sector's ratio during 2020–2025, likely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attributable to civil service salary reform </w:t>
      </w:r>
      <w:r>
        <w:rPr>
          <w:rFonts w:hint="eastAsia" w:ascii="Times New Roman" w:hAnsi="Times New Roman" w:eastAsia="Times New Roman"/>
          <w:sz w:val="24"/>
        </w:rPr>
        <w:t xml:space="preserve">(职级并行制度,</w:t>
      </w:r>
      <w:r>
        <w:rPr>
          <w:rFonts w:ascii="Times New Roman" w:hAnsi="Times New Roman" w:eastAsia="Times New Roman"/>
          <w:sz w:val="24"/>
        </w:rPr>
        <w:t xml:space="preserve"> implemented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2019) that raised base-level public administration wages, rather than a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genuine positive effect of VBP on the health–public administration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differential. This pattern indicates that the health industry's decline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is not statistically distinguishable from other publicly funded sectors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but is significantly worse than private-sector industries. Sensitivity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analysis confirmed that the ITS result was robust to VBP start year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specification (2018: b7=−0·044, p=0·003; 2019: b7=−0·030, p=0·003; 2020: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b7=−0·033, p&lt;0·001).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i/>
          <w:iCs/>
          <w:sz w:val="24"/>
        </w:rPr>
        <w:t xml:space="preserve">Table 3: Interrupted time series analysis with non-health industry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controls (Newey-West HAC standard errors)</w:t>
      </w:r>
    </w:p>
    <w:tbl>
      <w:tblPr>
        <w:tblStyle w:val="Table"/>
        <w:tblW w:type="pct" w:w="4900"/>
        <w:tblLayout w:type="fixed"/>
        <w:tblLook w:firstRow="1" w:lastRow="0" w:firstColumn="0" w:lastColumn="0" w:noHBand="0" w:noVBand="0" w:val="0020"/>
        <w:tblBorders>
          <w:top w:val="single" w:sz="12" w:space="0" w:color="000000"/>
          <w:bottom w:val="single" w:sz="12" w:space="0" w:color="000000"/>
          <w:left w:val="none"/>
          <w:right w:val="none"/>
          <w:insideV w:val="none"/>
          <w:insideH w:val="none"/>
        </w:tblBorders>
      </w:tblPr>
      <w:tblGrid>
        <w:gridCol w:w="1267"/>
        <w:gridCol w:w="712"/>
        <w:gridCol w:w="633"/>
        <w:gridCol w:w="792"/>
        <w:gridCol w:w="792"/>
        <w:gridCol w:w="1188"/>
        <w:gridCol w:w="712"/>
        <w:gridCol w:w="1663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Control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b7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HAC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SE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t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(HAC)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p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(HAC)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Bonferroni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p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DW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Interpretation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Manufacturing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−0·033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0·007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−4·79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&lt;0·001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&lt;0·003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1·62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Significant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Public Admin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+0·022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0·005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4·54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&lt;0·001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2·55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Opposite direction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(civil service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reform)</w:t>
            </w:r>
          </w:p>
        </w:tc>
      </w:tr>
    </w:tbl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Cross-country temporal analog: China vs Japan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Despite the shared-austerity finding, China’s health industry decline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is quantitatively more severe than Japan’s (appendix Table A2). Japan’s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decline rate was −0·0015/year versus China’s −0·010/year (6·7× faster;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bootstrap 95% CI 3·4–9·8). The policy elasticity differential was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5·5-fold (China −0·20 vs Japan +0·04). Chow tests identified significant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structural breaks at 2020 (F=5·60, p=0·035) and 2022 (F=5·58, p=0·036).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Granger causality testing showed borderline temporal precedence of VBP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intensity (F=4·78, p=0·072). Japan’s recovery followed an exponential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trajectory with τ=24·4 years (R²=0·49).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Cascading effects: medical school admission crisis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The remuneration decline has triggered downstream effects on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physician pipeline. In Shandong province, 17 medical programmes saw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uniformly deteriorating admission ranks from 2024 to 2025 (mean +37·2%;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Wilcoxon signed-rank p&lt;0·001). The deterioration was not limited to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lower-ranked programmes: Tsinghua University medical programme dropped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26 positions (+31·3%), Peking University Health Science Centre dropped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39 positions (+21·4%), and Shanghai Jiao Tong University School of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Medicine dropped 60 positions (+24·3%). The largest absolute shift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occurred at West China Hospital of Sichuan University (5-year programme: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+2046 positions, +69·1%). Multi-province data confirmed the pattern: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Guangdong (−2001 positions), Liaoning (−2403 positions), and Zhejiang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(−661 positions). Given the 8-year training pipeline, these admission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declines will translate to physician supply shocks beginning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approximately 2033.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International comparison and Monte Carlo scenarios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Among seven countries, South Korea’s physician-to-average remuneration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ratio increased from 6·08 to 7·42 (2015–2024)</w:t>
      </w:r>
      <w:r>
        <w:rPr>
          <w:rFonts w:ascii="Times New Roman" w:hAnsi="Times New Roman" w:eastAsia="Times New Roman"/>
          <w:sz w:val="24"/>
          <w:vertAlign w:val="superscript"/>
        </w:rPr>
        <w:t xml:space="preserve">16,18,19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despite similar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drug price negotiation, directionally consistent with structural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decoupling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of physician compensation from drug revenue as a moderating factor.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China’s ratio is industry-level at approximately 1·13–1·19, whereas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OECD ratios are physician-specific at 3–7×; direct numerical comparison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is inappropriate, and the directional contrast—Korea rising versus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China declining—is the key observation. Monte Carlo projections under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business-as-usual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yielded a mean 2030 ratio of 1·08 (95% CI 1·02–1·14) with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P(ratio&lt;1·10)=74%; under comprehensive reform, 1·19 (95% CI 1·13–1·25)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with P(ratio&lt;1·15)=10%. Sensitivity analysis (appendix p 4) showed that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BAU P(ratio&lt;1·10) ranged from 37% (drift=−0·005) to 93%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(drift=−0·015).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drawing>
          <wp:inline>
            <wp:extent cx="62630" cy="20876"/>
            <wp:effectExtent b="0" l="0" r="0" t="0"/>
            <wp:docPr descr="" title="Figure 6: International comparison and institutional analysis. (A) Remuneration ratio across seven countries (China: industry-level, others: physician-level—direct comparison inappropriate; directional contrast is key). (B) Monte Carlo projections to 2030 under three policy scenarios with 95% CIs. (C) Three-country institutional comparison: remuneration ratio trajectories for South Korea (physician-level, decoupled), UK (consultant-level, partial decoupling + strikes), and China (industry-level, no decoupling). (D) Institutional framework comparison showing key moderators." id="25" name="Picture"/>
            <a:graphic>
              <a:graphicData uri="http://schemas.openxmlformats.org/drawingml/2006/picture">
                <pic:pic>
                  <pic:nvPicPr>
                    <pic:cNvPr descr="_work/media/media/image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i/>
          <w:iCs/>
          <w:sz w:val="24"/>
        </w:rPr>
        <w:t xml:space="preserve">Figure 6: International comparison and institutional analysis. (A)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Remuneration ratio across seven countries (China: industry-level,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others: physician-level—direct comparison inappropriate; directional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contrast is key). (B) Monte Carlo projections to 2030 under three policy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scenarios with 95% CIs. (C) Three-country institutional comparison: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remuneration ratio trajectories for South Korea (physician-level,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decoupled), UK (consultant-level, partial decoupling + strikes), and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China (industry-level, no decoupling). (D) Institutional framework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comparison showing key moderators.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Three-country institutional comparison: policy, structure, and</w:t>
      </w:r>
      <w:r>
        <w:rPr>
          <w:rFonts w:ascii="Times New Roman" w:hAnsi="Times New Roman" w:eastAsia="Times New Roman"/>
          <w:b/>
          <w:bCs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outcome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the drug price reductions in Korea were comparable in magnitude to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China's VBP: Korea's actual transaction price revisions achieved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cumulative reductions of approximately 30–40% for listed drugs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(2012–2020), while China's VBP achieved average reductions of 53%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(first batch) to over 80% (consumables). Despite similarly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aggressive--or even more aggressive--price regulation, Korean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physician remuneration rose rather than fell, strengthening the ITM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prediction that institutional coupling, not price reduction magnitude,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determines the remuneration outcome.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i/>
          <w:iCs/>
          <w:sz w:val="24"/>
        </w:rPr>
        <w:t xml:space="preserve">Table 4: Institutional Transmission Model–prediction verification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summary</w:t>
      </w:r>
    </w:p>
    <w:tbl>
      <w:tblPr>
        <w:tblStyle w:val="Table"/>
        <w:tblW w:type="pct" w:w="4875"/>
        <w:tblLayout w:type="fixed"/>
        <w:tblLook w:firstRow="1" w:lastRow="0" w:firstColumn="0" w:lastColumn="0" w:noHBand="0" w:noVBand="0" w:val="0020"/>
        <w:tblBorders>
          <w:top w:val="single" w:sz="12" w:space="0" w:color="000000"/>
          <w:bottom w:val="single" w:sz="12" w:space="0" w:color="000000"/>
          <w:left w:val="none"/>
          <w:right w:val="none"/>
          <w:insideV w:val="none"/>
          <w:insideH w:val="none"/>
        </w:tblBorders>
      </w:tblPr>
      <w:tblGrid>
        <w:gridCol w:w="1584"/>
        <w:gridCol w:w="2079"/>
        <w:gridCol w:w="2673"/>
        <w:gridCol w:w="1386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ITM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prediction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Test method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Key result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P1: Decoupled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systems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insulated from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drug price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effects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Three-country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comparison (South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Korea D~1, UK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D~0.5, China D~0)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Korea +22%, UK -9%, China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-5.2%; directional gradient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only (levels not comparable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Suggestive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P2: Effect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scales with VBP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intensity in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coupled systems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Provincial DID +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confirmed-province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validation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beta=-0.0009, p=0.005;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Guangdong -0.049, Jiangsu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-0.062 &gt; national -0.038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Consistent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P3: Fiscal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austerity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affects all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public-sector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industries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Markov switching +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placebo tests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Education (2018, P=0.52),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Public Admin (2019,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P=0.50) also shifted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Partial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Robustness: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measurement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error in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estimated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provinces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Manski bounds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analysis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DID significant under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+0.0003 ratio bias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(p=0.046); confirmed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provinces show larger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effects (see text)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Robust*</w:t>
            </w:r>
          </w:p>
        </w:tc>
      </w:tr>
    </w:tbl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Manski bounds analysis characterised the robustness of the DID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coefficient to systematic measurement error in the estimated provincial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data. The DID coefficient (β=−0·0009) remained statistically significant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(p&lt;0·05) under systematic upward bias of up to +0·0003 in the ratio for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estimated provinces, and became borderline at +0·0004 bias (β=−0·0005,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p=0·096). Under downward bias, the coefficient became more negative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(−0·0003 bias: β=−0·0013, p=0·002; −0·0005 bias: β=−0·0016, p=0·001),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as expected mechanically. The five confirmed provinces showed larger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ratio declines (Guangdong −0·049, Jiangsu −0·062) than the full-sample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estimate (−0·038); however, because the confirmed provinces are all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among the larger provincial economies, this difference could reflect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genuine heterogeneity rather than the direction of measurement-error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bias in estimated provinces. We therefore use the Manski analysis only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to show that the DID sign is robust to plausible bias magnitudes, not to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bound the true effect.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ITM coupling coefficient estimation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Using confirmed provincial data, we estimated the coupling coefficient κ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(the fraction of drug revenue loss per health worker that transmits to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personal wage decline) at order-of-magnitude level. In Guangdong,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nominal health wage decline of ¥609 per worker (197,354 to 196,745)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against an estimated VBP-attributable drug revenue loss of approximately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¥60,000 per health worker yields κ≈0·010 (order-of-magnitude 95% CI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0·003–0·030, derived by delta method with drug revenue loss per worker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assumed to have 95% CI ¥30,000–100,000). In Jiangsu, the larger decline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of ¥2,467 per worker against an estimated ¥62,500 drug revenue loss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yields κ≈0·040 (95% CI 0·015–0·100). The two-province average κ≈0·025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(95% CI 0·005–0·060) suggests that approximately 2–3% of per-worker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drug revenue loss transmits directly to wage decline in the first year.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wide confidence intervals reflect primarily the uncertainty in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denominator (drug revenue loss per worker), which is an aggregate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estimate rather than a directly observed quantity. This apparently low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transmission rate is consistent with institutional buffering: hospitals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initially absorb drug revenue losses through reserve funds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cost-shifting, with the full wage effect emerging only after buffers are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exhausted. Adjusted for the coupled wage share (performance-based pay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≈50% of total, of which drug-linked ≈60%, yielding a coupled share of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≈30%), the effective coupling coefficient on the coupled component 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κ_adjusted≈0·08 (95% CI 0·02–0·20), indicating that approximately 8% of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drug revenue loss transmits through the coupled channel. This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accumulation explains the observed pattern of delayed but accelerating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wage decline: the ratio drop was −0·017 during 2019–2022 (VBP+COVID)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but −0·032 during 2022–2024 (post-COVID)—nearly twice as steep—as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institutional buffers were progressively exhausted. Sensitivity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analyses. Because κ is estimated from only two province-level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observations and the denominator (per-worker drug revenue loss) 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uncertain (±50%), we performed sensitivity analyses at three κ values: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lower bound (κ=0.005), central estimate (κ=0.025), and upper bound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(κ=0.060). The VBP-attributable annual wage gap ranges from ¥0.3 billion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(κ=0.005) to ¥3.1 billion (κ=0.060), representing 0.6% to 6.0% of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total wage gap. Policy scenario costs are reported under all three κ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scenarios in Table 6. The qualitative conclusion—that coupling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accounts for a minority of the total wage gap relative to the austerity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channel—is robust across this range.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To identify the institutional moderators of drug price regulation's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effect on health remuneration, we compared China with South Korea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United Kingdom—three countries that all implemented drug price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controls but with different institutional structures governing physician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compensation (Figure 6, Table 5). South Korea introduced drug price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negotiation in 2012, yet the physician-to-average remuneration ratio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increased from 6·08 to 7·42 (+22·0%; linear slope +0·156/year,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p&lt;0·001). The United Kingdom's NHS consultant ratio declined from 3·25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to 2·97 (−8·6%) amid public fiscal austerity, but doctors exercised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legal strike action in 2022–2024, securing pay restoration. China's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health industry ratio declined from 1·192 to 1·130 (−5·2%, or −6·2pp).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key institutional differences are: (1) South Korea structurally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decoupled physician compensation from drug revenue—physicians earn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primarily through fee-for-service, so drug price reductions do not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directly reduce income; (2) the UK maintains partial decoupling but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provides a strike mechanism as an institutional pressure valve; (3)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China has neither decoupling nor a legal strike mechanism (noting that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China's ratio is industry-level at approximately 1·15, whereas Korea's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and the UK's ratios are physician-level at 6–7 and 3 respectively;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direct numerical comparison is inappropriate, but the directional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contrast—increasing versus declining—holds regardless of measurement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level), meaning drug revenue losses from VBP are transmitted directly to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health worker compensation. This three-country comparison is suggestive only—limited by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differing measurement levels across countries—and is consistent with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interpretation that drug price regulation per se is not sufficient to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explain remuneration outcomes; the structural insulation of physician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compensation from institutional revenue is a plausible moderator.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i/>
          <w:iCs/>
          <w:sz w:val="24"/>
        </w:rPr>
        <w:t xml:space="preserve">Table 5: Three-country institutional comparison of drug price</w:t>
      </w:r>
      <w:r>
        <w:rPr>
          <w:rFonts w:ascii="Times New Roman" w:hAnsi="Times New Roman" w:eastAsia="Times New Roman"/>
          <w:i/>
          <w:iCs/>
          <w:sz w:val="24"/>
        </w:rPr>
        <w:t xml:space="preserve"> </w:t>
      </w:r>
      <w:r>
        <w:rPr>
          <w:rFonts w:ascii="Times New Roman" w:hAnsi="Times New Roman" w:eastAsia="Times New Roman"/>
          <w:i/>
          <w:iCs/>
          <w:sz w:val="24"/>
        </w:rPr>
        <w:t xml:space="preserve">regulation and health remuneration outcomes</w:t>
      </w:r>
    </w:p>
    <w:tbl>
      <w:tblPr>
        <w:tblStyle w:val="Table"/>
        <w:tblW w:type="pct" w:w="4872"/>
        <w:tblLayout w:type="fixed"/>
        <w:tblLook w:firstRow="1" w:lastRow="0" w:firstColumn="0" w:lastColumn="0" w:noHBand="0" w:noVBand="0" w:val="0020"/>
        <w:tblBorders>
          <w:top w:val="single" w:sz="12" w:space="0" w:color="000000"/>
          <w:bottom w:val="single" w:sz="12" w:space="0" w:color="000000"/>
          <w:left w:val="none"/>
          <w:right w:val="none"/>
          <w:insideV w:val="none"/>
          <w:insideH w:val="none"/>
        </w:tblBorders>
      </w:tblPr>
      <w:tblGrid>
        <w:gridCol w:w="2132"/>
        <w:gridCol w:w="1827"/>
        <w:gridCol w:w="1827"/>
        <w:gridCol w:w="1929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Feature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South Korea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United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Kingdom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China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Drug price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regulation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Yes (since 2012)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Yes (NHS pricing)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Yes (VBP, 2018–)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Data level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Physician-level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Physician-level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Industry-level*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Physician–revenue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decoupling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Yes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Partial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Legal strike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mechanism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Yes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Yes (2022–24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strikes)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No (illegal)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Ratio change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(2015–2024)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+22·0%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−8·6%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−5·2% (−6·2pp)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Key moderator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Decoupled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compensation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Strike pressure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valve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Neither</w:t>
            </w:r>
          </w:p>
        </w:tc>
      </w:tr>
    </w:tbl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Mediation analysis: VBP intensity, salary cuts, and wage decline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Mediation analysis: VBP intensity, salary cuts, and wage decline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sz w:val="24"/>
        </w:rPr>
        <w:t xml:space="preserve">We tested whether salary cuts mediated the relationship between VBP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intensity and the health-to-average wage ratio using a Baron-Kenny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framework. Path a (VBP intensity → salary cut rate) was significant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(β=0·530, p=0·009). Path b (salary cut rate → ratio change, controlling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for VBP) was also significant (β=−0·003, p=0·032). The indirect effect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(a × b) was in the predicted direction. However, bias-corrected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accelerated (BCa) bootstrap analysis (N=10,000 resamples) yielded a 95%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confidence interval for the indirect effect that included zero (−0·0008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to 0·0006), indicating that the mediation hypothesis is suggestive but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not established by non-parametric resampling. This lack of robustness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likely reflects the small sample (n=6 years with complete data),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definitive mediation testing awaits individual-level longitudinal data.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Discussion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sz w:val="24"/>
        </w:rPr>
        <w:t xml:space="preserve">This study documents a previously unreported pattern: China's health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industry wages declined in absolute nominal terms in five confirmed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provinces, while all-industry averages rose or remained flat. We propose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Institutional Transmission Model (ITM) as a framework for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interpreting these patterns. The ITM framework suggests that drug price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regulation may affect health worker remuneration when compensation 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structurally coupled to institutional drug revenue, and that fiscal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austerity may operate through a separate pathway. Three independent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empirical approaches—provincial DID, structural break detection,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three-country institutional comparison—yield patterns that are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consistent with the ITM framework, though each approach has limitations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inherent to observational data with short time series and ecological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measurement (Table 4). Individual-level physician surveys provide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corroborating evidence: two independent annual surveys (Huayiwang,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n=29,469; Yixuejie) both document accelerating salary cuts from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2022–2024, with the proportion of physicians reporting income decline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rising from approximately one-third to nearly three-fifths, paralleling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NBS industry-level trajectory.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The three-country institutional comparison provides suggestive,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directional evidence consistent with the ITM framework, limited by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differing measurement levels across countries. South Korea, which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implemented drug price negotiation through a fee-for-service system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where physician compensation is decoupled from drug revenue, was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associated with a +22% increase in physician remuneration ratio.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United Kingdom, with partial decoupling through NHS salary bands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supplemented by institutional strike mechanisms, was associated with a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moderate −9% decline. China, with neither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structural decoupling nor institutional voice mechanisms, experienced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most severe outcome. This gradient is precisely what ITM predicts: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same drug price policy produces opposite outcomes depending on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coupling coefficient κ and the decoupling index D. The Korean result 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particularly powerful because it serves as a positive control—it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illustrates that drug price regulation can coincide with rising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physician remuneration under decoupled institutional arrangements.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Within-China patterns are broadly consistent with the ITM framework.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provincial DID showed that greater VBP intensity was independently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associated with greater wage decline, consistent with prediction 2 that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effect scales with ΔDrugRevenue in coupled systems. However, this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result must be interpreted cautiously: R1 pilot provinces had higher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pre-VBP health ratios than R2 provinces (balance test significant),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unobserved provincial characteristics correlated with both VBP timing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and economic trends may bias the estimate; most provincial wage data are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estimated rather than confirmed, and the confirmed-data subsample was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underpowered. The Markov switching model identified a regime shift at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2018, but education and public administration also shifted, consistent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with ITM prediction 3 that austerity affects all public-sector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industries through the separate βausterity pathway. ITS confirmed a more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pronounced trajectory for health versus manufacturing, while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health–education similarity is consistent with shared public-sector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fiscal austerity. The health–manufacturing divergence may reflect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additional drug revenue channel unique to the health sector, though this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interpretation cannot be distinguished from other sector-specific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factors with the available data.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The COVID-19 decomposition suggests the pandemic is unlikely to be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sole driver. Post-COVID wage differentials substantially exceeded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COVID-period gaps, and the 2024 nominal decline was markedly larger than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any observed during the pandemic. The 2019→2022 ratio change (VBP+COVID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period) was −0·017, whereas the 2022→2024 change (post-COVID) was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−0·032—nearly twice as steep—indicating acceleration rather than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recovery. The anti-corruption campaign (2023–) cannot be separated from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VBP institutionally, as both reduce hospital revenue, but the DID result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suggests that VBP intensity is associated with wage decline beyond any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aggregate anti-corruption effect.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A simple counterfactual illustrates the magnitude of the coupling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effect. If health industry wages had grown at the national average rate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from 2019 onward (the counterfactual of zero coupling, D=1), the 2024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health wage would have been approximately ¥153,300 rather than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¥143,173—a gap of ¥10,100 per worker, or 7·1% of actual wages. This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counterfactual gap represents the cumulative effect of the coupled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transmission channel over five years. Scaling by the coupling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coefficient (κ≈0·025), the VBP-attributable component is estimated at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approximately ¥2,500 per worker (17·4% of the gap), with the remainder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attributable to the broader austerity channel (βausterity). This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decomposition suggests that while VBP-specific coupling accounts for a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minority of the total wage gap, it is the component amenable to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institutional reform—whereas the austerity channel requires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economy-wide fiscal policy.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DRG/DIP reform as a second shock through the same coupling mechanism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An important limitation is that VBP implementation coincided with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concurrent rollout of DRG/DIP payment reform</w:t>
      </w:r>
      <w:r>
        <w:rPr>
          <w:rFonts w:ascii="Times New Roman" w:hAnsi="Times New Roman" w:eastAsia="Times New Roman"/>
          <w:sz w:val="24"/>
          <w:vertAlign w:val="superscript"/>
        </w:rPr>
        <w:t xml:space="preserve">42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which expanded from 30% to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90.7% of hospital discharges during 2022–2024. Both policies may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operate through similar institutional coupling mechanisms, and their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effects cannot be separated with the available data. We therefore cannot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attribute the observed wage decline to VBP specifically, and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patterns we document may reflect the combined effect of multiple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simultaneous health financing reforms. VBP reduces drug revenue (a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supply-side income shock); DRG/DIP constrains per-episode reimbursement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(a demand-side expenditure cap). Both reduce hospital surplus, and under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coupled compensation system (D≈0), both transmit to individual wages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through performance-based pay. A reported case in which cardiac-surgery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DRG overruns of ¥8.90 million at a Chengdu tertiary hospital were fully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deducted from departmental performance pay, with average physician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income declining by 37%, illustrates this transmission: the overrun was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 institutional-level financial event, but the performance-pay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mechanism converted it into personal income loss.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Critically, South Korea also implemented DRG-based payment (the Cancer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DRG pilot in 2011, expanded nationally under the Adjudicated Co-payment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System), yet Korean physician remuneration rose rather than fell because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DRG system reimburses hospitals a per-case payment while physicians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bill separately through the fee-for-service schedule—DRG overruns were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absorbed at the institutional level, not deducted from individual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performance pay. This parallel is consistent with the coupling mechanism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(D≈0 in China vs D≈1 in Korea), not the specific policy instrument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(VBP vs DRG/DIP), determining the remuneration outcome. Under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ITM, VBP and DRG/DIP are not confounders requiring separation—they are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two simultaneous shocks through the same transmission channel, both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governed by the coupling coefficient κ. Implications for other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countries. China's experience may be relevant to other low-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middle-income countries adopting drug price regulation. Vietnam launched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national drug price negotiation in 2023, Thailand has expanded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compulsory licensing, Indonesia implemented pharmaceutical price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controls in 2024, and Brazil's CMED drug pricing system continues to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evolve. The ITM framework predicts that the effect of these policies 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health worker remuneration will depend on the local degree of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institutional coupling. Countries with decoupled physician payment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(e.g., Brazil's predominantly fee-for-service private practice) may be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insulated, while those with revenue-sharing performance systems may face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risks similar to China's. Systematic wage monitoring in these countries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could provide a critical test of the ITM framework's generalisability.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If the patterns documented here reflect causal mechanisms as hypothesised by the ITM framework, several policy responses warrant prospective investigation rather than recommendation. Three tiers, each targeting the compensation–drug-revenue coupling with increasing ambition, are: (1) short-term (1–2 years): remove drug and device revenue from the departmental performance accounting base, retaining only service revenue and quality indicators (estimated fiscal cost ¥300–500 billion/year; Zhejiang county-level pilots offer precedents); (2) medium-term (3–5 years): a dual-track salary system raising the base-salary share from 40–50% to 70%+ with quality-linked supplements, reducing structural dependence on non-service income (medical service income is only 29·59% of tertiary hospital revenue</w:t>
      </w:r>
      <w:r>
        <w:rPr>
          <w:rFonts w:ascii="Times New Roman" w:hAnsi="Times New Roman" w:eastAsia="Times New Roman"/>
          <w:sz w:val="24"/>
          <w:vertAlign w:val="superscript"/>
        </w:rPr>
        <w:t xml:space="preserve">31</w:t>
      </w:r>
      <w:r>
        <w:rPr>
          <w:rFonts w:ascii="Times New Roman" w:hAnsi="Times New Roman" w:eastAsia="Times New Roman"/>
          <w:sz w:val="24"/>
        </w:rPr>
        <w:t xml:space="preserve">; estimated cost ¥2,000–3,000 billion/year, 1·5–2·3% of 2024 GDP); (3) long-term (5–10 years): a Korean-model salary-plus-quality-incentive system under which DRG overruns are absorbed institutionally rather than deducted from individual pay (cost ¥4,000–5,000 billion/year, restoring the ratio to ~1·18). All three address the coupling that may mechanically transmit drug price reductions to personal income, though the transmission magnitude is uncertain. The medical school admission deterioration (mean +37·2% rank decline in Shandong, p&lt;0·001) suggests that if remuneration trends persist and causally affect career choices, a physician supply shock could begin around 2033</w:t>
      </w:r>
      <w:r>
        <w:rPr>
          <w:rFonts w:ascii="Times New Roman" w:hAnsi="Times New Roman" w:eastAsia="Times New Roman"/>
          <w:sz w:val="24"/>
          <w:vertAlign w:val="superscript"/>
        </w:rPr>
        <w:t xml:space="preserve">27</w:t>
      </w:r>
      <w:r>
        <w:rPr>
          <w:rFonts w:ascii="Times New Roman" w:hAnsi="Times New Roman" w:eastAsia="Times New Roman"/>
          <w:sz w:val="24"/>
        </w:rPr>
        <w:t xml:space="preserve">; attribution to wage trends requires further study.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Cost–benefit context.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Had 2024 health wages grown at the national +2·8%, the counterfactual wage would have been ¥147,845 versus the actual ¥143,173—a gap of ¥4,672 per worker (~¥51·4 billion for the ~11-million workforce). Applying κ≈0·025, the VBP-attributable component is ~¥1·3 billion; the remaining ~¥50·1 billion reflects the broader austerity channel, consistent with the parallel −1·9% decline in public administration wages. The fiscal cost of decoupling reform (¥300–500 billion/year) substantially exceeds the VBP-attributable wage loss it would directly prevent, but this narrow framing omits downstream costs—admission crisis, future supply shocks (~2033), and workforce morale deterioration (57% salary-cut rate in 2024)—and the insulation from future VBP rounds. The National Tertiary Hospital Performance Monitoring Report</w:t>
      </w:r>
      <w:r>
        <w:rPr>
          <w:rFonts w:ascii="Times New Roman" w:hAnsi="Times New Roman" w:eastAsia="Times New Roman"/>
          <w:sz w:val="24"/>
          <w:vertAlign w:val="superscript"/>
        </w:rPr>
        <w:t xml:space="preserve">31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shows medical service income at 29·59% of tertiary revenue (42·5% secondary)</w:t>
      </w:r>
      <w:r>
        <w:rPr>
          <w:rFonts w:ascii="Times New Roman" w:hAnsi="Times New Roman" w:eastAsia="Times New Roman"/>
          <w:sz w:val="24"/>
          <w:vertAlign w:val="superscript"/>
        </w:rPr>
        <w:t xml:space="preserve">48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while personnel costs are 39·18% and 42·5% of expenditure respectively; the rising personnel-cost ratio (+0·13pp tertiary, +0·8pp secondary, 2022→2023) alongside declining wages is consistent with workforce expansion absorbing a growing share of constrained budgets, underscoring the structural dependence on non-service income that decoupling would reduce.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i/>
          <w:iCs/>
          <w:sz w:val="24"/>
        </w:rPr>
        <w:t xml:space="preserve">Table 6: ITM-derived policy scenario analysis</w:t>
      </w:r>
    </w:p>
    <w:tbl>
      <w:tblPr>
        <w:tblStyle w:val="Table"/>
        <w:tblW w:type="pct" w:w="4514"/>
        <w:tblLayout w:type="fixed"/>
        <w:tblLook w:firstRow="1" w:lastRow="0" w:firstColumn="0" w:lastColumn="0" w:noHBand="0" w:noVBand="0" w:val="0020"/>
        <w:tblBorders>
          <w:top w:val="single" w:sz="12" w:space="0" w:color="000000"/>
          <w:bottom w:val="single" w:sz="12" w:space="0" w:color="000000"/>
          <w:left w:val="none"/>
          <w:right w:val="none"/>
          <w:insideV w:val="none"/>
          <w:insideH w:val="none"/>
        </w:tblBorders>
      </w:tblPr>
      <w:tblGrid>
        <w:gridCol w:w="1870"/>
        <w:gridCol w:w="1540"/>
        <w:gridCol w:w="1870"/>
        <w:gridCol w:w="187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</w:pP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Status quo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(A)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Partial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decoupling (B)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Full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decoupling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bCs/>
                <w:sz w:val="24"/>
              </w:rPr>
              <w:t xml:space="preserve">(C)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Coupling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coefficient (κ)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0·5–0·6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0·2–0·3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~0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Decoupling index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(D)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~0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~0·5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~1·0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Predicted 2030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ratio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1·08 (95% CI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1·02–1·14)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1·12–1·15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~1·18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P(ratio &lt; 1·10)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74%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&lt;20%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&lt;5%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Est. fiscal cost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(¥ billion/yr)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2,000–3,000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4,000–5,000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% of 2024 GDP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0%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1·5–2·3%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3·0–3·8%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International</w:t>
            </w:r>
            <w:r>
              <w:rPr>
                <w:rFonts w:ascii="Times New Roman" w:hAnsi="Times New Roman" w:eastAsia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sz w:val="24"/>
              </w:rPr>
              <w:t xml:space="preserve">precedent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None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UK (partial)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South Korea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Feasibility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Current path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Moderate reform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Major reform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Policy window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Closing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5–7 years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rFonts w:ascii="Times New Roman" w:hAnsi="Times New Roman" w:eastAsia="Times New Roman"/>
                <w:sz w:val="24"/>
              </w:rPr>
              <w:t xml:space="preserve">10+ years</w:t>
            </w:r>
          </w:p>
        </w:tc>
      </w:tr>
    </w:tbl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A distinctive feature of China's health workforce crisis is the absence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of institutional voice mechanisms. In South Korea, the Korean Medical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Association has negotiated fee schedules that protected physician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remuneration during drug price reform. In the UK, the British Medical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Association organised junior doctor strikes (2016, 2022–24)</w:t>
      </w:r>
      <w:r>
        <w:rPr>
          <w:rFonts w:ascii="Times New Roman" w:hAnsi="Times New Roman" w:eastAsia="Times New Roman"/>
          <w:sz w:val="24"/>
          <w:vertAlign w:val="superscript"/>
        </w:rPr>
        <w:t xml:space="preserve">17,28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that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forced policy concessions on pay. In China, health workers have neither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collective bargaining rights nor legal strike mechanisms, and public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criticism of policy can be construed as political dissent. This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institutional silence means that wage decline can proceed without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policy feedback that would otherwise trigger correction. The 57%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physician salary cut rate (2024) was documented by academic survey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research, not by institutional complaint mechanisms—a distinction with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profound implications for policy responsiveness. ITM's voice mechanism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variable (Figure 1) captures this: without institutional channels for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workforce voice, the system lacks negative feedback, allowing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coupling-driven decline to proceed unchecked. Creating such channels 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not merely a labour rights issue; it is a system-safety requirement for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any policy that affects health workforce income through institutional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coupling.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As a robustness check, we verified that the core findings do not depend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on the 2025 observation (now confirmed from the NBS 2026-05 release).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absolute nominal wage decline occurred in 2024, not 2025; excluding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2025, the ratio decline is 3·8pp (2023–2024) rather than 6·2pp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(2023–2025), but the direction and statistical significance are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unchanged; the provincial DID remains significant without 2025 data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(β=−0·0006, p=0·045); and all confirmed provincial data (Guangdong,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Jiangsu) are for 2023→2024, independent of 2025. The 2024 nominal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decline and the ratio fall from 1·192 to 1·154 (3·8pp) alone are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unprecedented in the time series, so the decline narrative does not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rely on the 2025 value.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Limitations include: (1) a short Chinese time series (11 years), limiting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power for regime-shift models—results are indicative, not definitive;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(2) 2015–2018 health-industry wage values, while confirmed against NBS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releases, were cross-validated against adjacent confirmed values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reported growth rates rather than independently re-verified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year-by-year (2015–2016 and 2025 were independently web-verified); (3) 26 of 31 provincial wage series are estimated rather than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confirmed—only five provinces (Guangdong, Jiangsu, Shandong, Henan,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Sichuan) have quality-A confirmed data—introducing measurement error in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provincial DID; (4) Japanese pre-2000 data are partially estimated;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(5) ITS cannot separate VBP from COVID, anti-corruption, or DRG/DIP,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though the COVID decomposition shows post-COVID acceleration; (6) VBP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DRG/DIP reforms were implemented concurrently and their effects cannot be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separated, so observed patterns should be attributed to the combined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health-financing reform bundle rather than to VBP specifically; (7)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international comparison conflates industry-level (China, Japan) with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physician-specific data (OECD), limiting cross-country comparability,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directional contrast is suggestive rather than definitive; (8)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provincial DID may suffer from omitted variable bias given pre-treatment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differences between R1 and R2 provinces; (9) with only seven industries,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permutation test cannot reach significance regardless of effect size,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and the bootstrap does not resolve this fundamental power limitation;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(10) observational ecological data cannot establish causation. Despite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these, convergence of evidence from the ITM-predicted three-country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directional gradient, provincial DID, structural break detection, placebo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tests, ITS, and COVID decomposition is consistent with the combined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austerity-plus-coupling framework. We identified and corrected a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characterisation of the health industry as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“only”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sector experiencing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nominal decline: public administration wages also declined (−1.9% in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2024). The mediation indirect effect is not robust to BCa bootstrap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(95% CI includes zero). The cost–benefit analysis (κ≈0·025) 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order-of-magnitude.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We emphasise that the current evidence is descriptive and associational.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Causal interpretation of the ITM framework requires: (1)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individual-level longitudinal wage data to distinguish composition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effects from genuine wage changes; (2) a valid instrumental variable or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natural experiment for VBP exposure to address the fundamental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identification challenge that all Chinese provinces were eventually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treated; (3) hospital-level revenue and compensation data to directly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estimate the coupling coefficient κ. Pending such evidence, the ITM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framework should be regarded as a hypothesis-generating structure rather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than a confirmed model. Future research should: (1) obtain confirmed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provincial panel data for difference-in-differences exploiting staggered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VBP rollout; (2) collect physician-level salary data by specialty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seniority to directly estimate the coupling coefficient κ; (3)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incorporate hospital-level revenue data as a mediator to test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VBP→revenue→compensation causal chain directly; (4) exploit the natural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experiment of the anti-corruption campaign's provincial timing; and (5)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extend ITM to other countries implementing drug price regulation to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validate the model's generalisability.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Author contributions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ZS Dai: conceptualisation, data curation, formal analysis, methodology,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investigation, writing–original draft, writing–review and editing,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supervision, correspondence. YL Jin: investigation, validation,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writing–review and editing. All authors had full access to all the data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 the study and had final responsibility for the decision to submit for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publication.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Funding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No external funding was received for this study.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Role of the funding source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No funding body had any role in study design, data collection, data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analysis, data interpretation, or writing of the report.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Conflict of interest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We declare no competing interests.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Ethics declaration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This study used publicly available aggregate data from national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statistical agencies. No individual participant data were used. Ethical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approval was not required per Fudan University institutional guidelines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for studies using publicly available de-identified data.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Data availability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The compiled dataset and all analysis code (Python 3.10) are available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at https://github.com/tongyuanzhongzhi/vbp-itm-china, archived at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https://doi.org/10.5281/zenodo.20844884. All data are from publicly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available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sources with URLs documented in the appendix.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Open access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This is an open access article published under the CC BY 4.0 licence,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which permits unrestricted use, distribution, and reproduction in any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medium, provided the original work is properly cited.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Acknowledgments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AI-assisted technologies were used during the preparation of this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manuscript for literature search and manuscript formatting. All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AI-generated content was reviewed, verified, and edited by the authors,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who take full responsibility for the final manuscript. We thank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provincial education examination authorities for making admission data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publicly available, and the National Bureau of Statistics and Japan MHLW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for their open data policies.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Appendix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The appendix includes: (1) full data source documentation with URL links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(pp 1–2); (2) MHLW Excel extraction methodology (p 2); (3) Japanese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pre-2000 data compilation details (p 3); (4) Markov switching model EM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algorithm specification (pp 3–4); (5) cusp catastrophe model full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results including coefficient tables for all industries and placebo test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details (pp 4–6); (6) ITS full regression output (pp 6–7); (7)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sensitivity analysis on VBP start year (p 7); (8) Monte Carlo simulation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parameters, convergence diagnostics, and sensitivity analysis on drift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and σ parameters (pp 7–8).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References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1. Chen Y, Ji X, Xiao H, Unger JM, Cai Y, Mao Z, et al. Impact of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pilot volume-based drug purchasing policy in China: interrupted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time-series analysis with controls. Front Pharmacol. 2021;12:804237.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2. National Healthcare Security Administration. Notice on the ninth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batch of nationally centralised drug procurement </w:t>
      </w:r>
      <w:r>
        <w:rPr>
          <w:rFonts w:hint="eastAsia" w:ascii="Times New Roman" w:hAnsi="Times New Roman" w:eastAsia="Times New Roman"/>
          <w:sz w:val="24"/>
        </w:rPr>
        <w:t xml:space="preserve">(国采第九批).</w:t>
      </w:r>
      <w:r>
        <w:rPr>
          <w:rFonts w:ascii="Times New Roman" w:hAnsi="Times New Roman" w:eastAsia="Times New Roman"/>
          <w:sz w:val="24"/>
        </w:rPr>
        <w:t xml:space="preserve"> Beijing: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NHSA; 2024.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3. Duke Kunshan University Global Health Research Center. International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physician compensation models and their implications for China. Policy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Brief No 1. Kunshan: Duke Kunshan University; 2023.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4. National Bureau of Statistics of China. China Statistical Yearbook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2024. Beijing: China Statistics Press; 2024.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5. Hua Yi Wang. 2024 physician salary and employment survey report.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Beijing: Hua Yi Wang; 2024.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6. Japan Pharmaceutical Association. History of Yakka Kaisei (drug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price revision) in Japan. Tokyo: JPA; 2020.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7. Ikegami N, Campbell JC. Health care reform in Japan: the virtues of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muddling through. Health Aff (Millwood). 1999;18(3):56–75.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8. Ministry of Health, Labour and Welfare of Japan. Wage Structure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Basic Survey (R4–R6). Tokyo: MHLW; 2022–2024.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9. Hamilton JD. A new approach to the economic analysis of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nonstationary time series and the business cycle. Econometrica.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1989;57(2):357–84.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10. Scheffer M, et al. Early-warning signals for critical transitions.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Nature. 2009;461(7260):53–9.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11. Scheffer M, et al. Catastrophic shifts in ecosystems. Nature.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2001;413(6856):591–6.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12. Scheffer M. Critical Transitions in Nature and Society. Princeton: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Princeton University Press; 2009.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13. National Bureau of Statistics of China. 2024 nian chengzhen danwei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jiuye renyuan nian pingjun gongzi qingkuang [Annual average wages of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urban unit employees in 2024]. Beijing: NBS; 2025.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14. National Bureau of Statistics of China. 2025 nian chengzhen danwei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jiuye renyuan nian pingjun gongzi qingkuang [Annual average wages of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urban unit employees in 2025]. Beijing: NBS; 2026.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15. Provincial Education Examination Authorities of Shandong, Zhejiang,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Guangdong, Liaoning, and Jiangsu. 2025 university admission data.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16. Korean Medical Association. Analysis of OECD physician remuneration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data for Korea. Seoul: KMA; 2023.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17. British Medical Association. NHS doctor pay scales 2015–2025.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London: BMA; 2025.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18. OECD Health Statistics 2024/2025. Remuneration of physicians.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Paris: OECD; 2025.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19. Medscape. Physician compensation report 2025. New York: WebMD;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2025.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20. Dempster AP, Laird NM, Rubin DB. Maximum likelihood from incomplete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data via the EM algorithm. J R Stat Soc Series B. 1977;39(1):1–38.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21. Cobb L. Stochastic catastrophe models and multimodal distributions.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Behav Sci. 1978;23:360–74.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22. Wagner AK, et al. Segmented regression analysis of interrupted time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series studies in medication use research. J Clin Pharm Ther.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2002;27(4):299–309.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23. Abadie A, Diamond A, Hainmueller J. Synthetic control methods for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comparative case studies: estimating the effect of California's tobacco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control program. J Am Stat Assoc. 2010;105(490):493–505.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24. Chow GC. Tests of equality between sets of coefficients in two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linear regressions. Econometrica. 1960;28(3):591–605.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25. Granger CWJ. Investigating causal relations by econometric models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and cross-spectral methods. Econometrica. 1969;37(3):424–38.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26. Burnham KP, Anderson DR. Model Selection and Multimodel Inference.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2nd ed. New York: Springer; 2002.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27. Scheffler RM, Liu JX, Kinfu Y, Dal Poz MR. Forecasting the global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shortage of physicians: an economic- and needs-based approach. Bull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World Health Organ. 2008;86(7):516–523B.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28. British Medical Association. NHS pay: the case for full pay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restoration. London: BMA; 2024.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29. Chinese Medical Doctor Association. Chinese Physician Practice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Conditions White Paper. Beijing: CMDA; 2015.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30. Dingxiangyuan &amp; China Youth Online. 2024 China Hospital Human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Resources Survey Report. Beijing; 2024.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31. National Health Commission. 2023 National Tertiary Public Hospital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Performance Monitoring Report. Beijing: NHC; 2025.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32. National Health Commission. 2022 National Tertiary Public Hospital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Performance Monitoring Report. Beijing: NHC; 2024.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33. Guangdong Provincial Bureau of Statistics. 2024 Guangdong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provincial average wage by industry. Guangzhou: GPBS; 2025.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34. Jiangsu Provincial Bureau of Statistics. 2024 Jiangsu provincial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average wage by industry. Nanjing: JPBS; 2025.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35. Henan Provincial Bureau of Statistics. 2024 Henan provincial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average wage by industry. Zhengzhou: HNBS; 2025.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36. Shandong Provincial Bureau of Statistics. 2024 Shandong provincial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average wage by industry. Jinan: SPBS; 2025.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37. Sichuan Provincial Bureau of Statistics. 2024 Sichuan provincial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average wage by industry. Chengdu: SPBS; 2025.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38. Kwon HY, Godman B. Drug pricing in South Korea. Appl Health Econ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Health Policy. 2017;15(4):447–53.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39. Robinson JC. Theory and practice in the design of physician payment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incentives. Milbank Q. 2001;79(2):149–77.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40. Eggleston K, Hsieh CR. Healthcare payment incentives: a comparative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analysis of reforms in Taiwan, South Korea and China. Appl Health Econ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Health Policy. 2004;3(1):47–56.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41. Yip W, Hafez R. Improving health system efficiency: reforms for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improving the efficiency of health systems: lessons from 10 country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cases. Geneva: World Health Organization; 2015.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42. National Healthcare Security Administration. DRG/DIP payment reform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national progress report 2024. Beijing: NHSA; 2025.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43. Baron RM, Kenny DA. The moderator-mediator variable distinction in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social psychological research: conceptual, strategic, and statistical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considerations. J Pers Soc Psychol. 1986;51(6):1173–82.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44. Bai J, Perron P. Estimating and testing linear models with multiple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structural changes. Econometrica. 1998;66(1):47–78.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45. Bai J, Perron P. Computation and analysis of multiple structural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change models. J Appl Econom. 2003;18(1):1–22.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46. Cameron AC, Miller DL. A practitioner's guide to cluster-robust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inference. J Hum Resour. 2015;50(2):317–72.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47. von Elm E, Altman DG, Egger M, et al. The Strengthening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Reporting of Observational Studies in Epidemiology (STROBE) statement: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guidelines for reporting observational studies. Lancet.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2007;370(9596):1453–7.</w:t>
      </w:r>
    </w:p>
    <w:p>
      <w:pPr>
        <w:pStyle w:val="BodyText"/>
        <w:spacing w:line="480" w:lineRule="auto"/>
      </w:pPr>
      <w:r>
        <w:rPr>
          <w:rFonts w:ascii="Times New Roman" w:hAnsi="Times New Roman" w:eastAsia="Times New Roman"/>
          <w:sz w:val="24"/>
        </w:rPr>
        <w:t xml:space="preserve">48. National Health Commission. 2022–2023 National Secondary Public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Hospital Performance Monitoring Report. Beijing: NHC; 2025.</w:t>
      </w:r>
    </w:p>
    <w:sectPr>
      <w:footnotePr>
        <w:numRestart w:val="eachSect"/>
      </w:footnotePr>
      <w:pgMar w:top="1440" w:bottom="1440" w:left="1440" w:right="1440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2" Type="http://schemas.openxmlformats.org/officeDocument/2006/relationships/image" Target="media/rId12.png"/><Relationship Id="rId15" Type="http://schemas.openxmlformats.org/officeDocument/2006/relationships/image" Target="media/rId15.png"/><Relationship Id="rId18" Type="http://schemas.openxmlformats.org/officeDocument/2006/relationships/image" Target="media/rId18.png"/><Relationship Id="rId21" Type="http://schemas.openxmlformats.org/officeDocument/2006/relationships/image" Target="media/rId21.png"/><Relationship Id="rId24" Type="http://schemas.openxmlformats.org/officeDocument/2006/relationships/image" Target="media/rId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2026-06-25T11:55:56Z</dcterms:created>
  <dcterms:modified xsi:type="dcterms:W3CDTF">2026-06-25T11:55:56Z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