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3 · LOGISTICS · BROWNFIELD FEATURE</w:t>
      </w:r>
    </w:p>
    <w:p>
      <w:pPr>
        <w:spacing w:after="120"/>
      </w:pPr>
      <w:r>
        <w:rPr>
          <w:rFonts w:ascii="Calibri" w:cs="Calibri" w:eastAsia="Calibri" w:hAnsi="Calibri"/>
          <w:b/>
          <w:bCs/>
          <w:color w:val="232F3E"/>
          <w:sz w:val="56"/>
          <w:szCs w:val="56"/>
        </w:rPr>
        <w:t xml:space="preserve">ParcelTrack</w:t>
      </w:r>
    </w:p>
    <w:p>
      <w:pPr>
        <w:spacing w:after="200"/>
      </w:pPr>
      <w:r>
        <w:rPr>
          <w:rFonts w:ascii="Calibri" w:cs="Calibri" w:eastAsia="Calibri" w:hAnsi="Calibri"/>
          <w:color w:val="6B7A8F"/>
          <w:sz w:val="26"/>
          <w:szCs w:val="26"/>
        </w:rPr>
        <w:t xml:space="preserve">COD Reconciliation &amp; Merchant Webhooks for Thunder Express</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Thunder Express delivers 12,000 parcels a day, 60% cash-on-delivery. The ParcelTrack service in your starter-code folder is real, running, and undocumented — the developer left, and three merchant platforms depend on its API exactly as it is.</w:t>
      </w:r>
    </w:p>
    <w:p>
      <w:pPr>
        <w:spacing w:after="120" w:line="276"/>
      </w:pPr>
      <w:r>
        <w:rPr>
          <w:rFonts w:ascii="Calibri" w:cs="Calibri" w:eastAsia="Calibri" w:hAnsi="Calibri"/>
          <w:color w:val="333333"/>
          <w:sz w:val="22"/>
          <w:szCs w:val="22"/>
        </w:rPr>
        <w:t xml:space="preserve">Operations has filed CR-2026-081: merchants need status webhooks (they currently poll 20 times a second), and finance needs daily COD reconciliation per rider. Your job is to extend the running system without breaking it — which starts with understanding it.</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Let AI-DLC's Reverse Engineering stage document the existing system FIRST — then review its output critically: at least two questionable patterns are in that code, and your team must find and dispose of them (fix, contain, or record).</w:t>
      </w:r>
    </w:p>
    <w:p>
      <w:pPr>
        <w:pStyle w:val="ListParagraph"/>
        <w:numPr>
          <w:ilvl w:val="0"/>
          <w:numId w:val="2"/>
        </w:numPr>
        <w:spacing w:after="70" w:line="264"/>
      </w:pPr>
      <w:r>
        <w:rPr>
          <w:rFonts w:ascii="Calibri" w:cs="Calibri" w:eastAsia="Calibri" w:hAnsi="Calibri"/>
          <w:color w:val="333333"/>
          <w:sz w:val="22"/>
          <w:szCs w:val="22"/>
        </w:rPr>
        <w:t xml:space="preserve">Implement CR-2026-081 (webhooks + COD reconciliation) through the workflow, with zero breaking changes to existing endpoints.</w:t>
      </w:r>
    </w:p>
    <w:p>
      <w:pPr>
        <w:pStyle w:val="ListParagraph"/>
        <w:numPr>
          <w:ilvl w:val="0"/>
          <w:numId w:val="2"/>
        </w:numPr>
        <w:spacing w:after="70" w:line="264"/>
      </w:pPr>
      <w:r>
        <w:rPr>
          <w:rFonts w:ascii="Calibri" w:cs="Calibri" w:eastAsia="Calibri" w:hAnsi="Calibri"/>
          <w:color w:val="333333"/>
          <w:sz w:val="22"/>
          <w:szCs w:val="22"/>
        </w:rPr>
        <w:t xml:space="preserve">Prove backward compatibility: the existing pytest suite must pass untouched at every point.</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starter-code/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running FastAPI + SQLite service, its tests, and its (thin) README</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change-request.md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CR-2026-081 verbatim from operations, incl. the settlement-day rule and the acceptance demo script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context: why COD variance and WISMO calls matter</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Brownfield hard rules: what must not change, additive-only migrations, HMAC webhook spec</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sample-cod-day.csv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31 deliveries with Bangkok-local deliveredAt / recordedAt timestamps, rows on both sides of the 20:00 cutoff, and two seeded discrepancies (R-017 short 120 THB, R-023 one collection never recorded)</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starter-code/seed_cod.py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Loads the COD day into the existing tables (the TEX-2026-0040xx ids cannot be created through the API). Run: python seed_cod.py ../sample-cod-day.csv</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webhook_receiver.py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merchant test receiver - standard library only. Verifies your HMAC signature, --fail makes it answer 500 for the retry demo</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merchants.csv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M-100 / M-113 / M-121 with callback URL and webhook secret - register these through your new API</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expected-cod-summary.csv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Finance's hand-worked answer for 15 and 16 September - the ground truth your /cod/summary endpoint must reproduce</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implement change request CR-2026-081 for the existing ParcelTrack service in this workspace: add merchant status webhooks, daily COD reconciliation, and the finance reconciliation screen, per vision-document.md and technical-environment.md. This is a brownfield project — analyze the existing code first.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Reverse Engineering artifacts generated and REVIEWED — quirks found and decisions recorded; Requirements from the CR</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Execution plan approved (should be leaner than a greenfield plan — challenge it if not); design of webhooks + COD units against the existing schema</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webhook registration, signed delivery, retry with backoff, delivery log</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COD summary endpoint against sample-cod-day.csv; Build &amp; Test; acceptance demo from the CR (kill the receiver, watch retries)</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The acceptance snapshot in CR-2026-081 demos exactly as written, and GET /cod/summary matches expected-cod-summary.csv for BOTH 15 and 16 September</w:t>
      </w:r>
    </w:p>
    <w:p>
      <w:pPr>
        <w:pStyle w:val="ListParagraph"/>
        <w:numPr>
          <w:ilvl w:val="0"/>
          <w:numId w:val="2"/>
        </w:numPr>
        <w:spacing w:after="70" w:line="264"/>
      </w:pPr>
      <w:r>
        <w:rPr>
          <w:rFonts w:ascii="Calibri" w:cs="Calibri" w:eastAsia="Calibri" w:hAnsi="Calibri"/>
          <w:color w:val="333333"/>
          <w:sz w:val="22"/>
          <w:szCs w:val="22"/>
        </w:rPr>
        <w:t>The finance screen works: pick a date, see every rider's expected against recorded, the problem riders stand out, and a rider's day can be marked settled</w:t>
      </w:r>
    </w:p>
    <w:p>
      <w:pPr>
        <w:pStyle w:val="ListParagraph"/>
        <w:numPr>
          <w:ilvl w:val="0"/>
          <w:numId w:val="2"/>
        </w:numPr>
        <w:spacing w:after="70" w:line="264"/>
      </w:pPr>
      <w:r>
        <w:rPr>
          <w:rFonts w:ascii="Calibri" w:cs="Calibri" w:eastAsia="Calibri" w:hAnsi="Calibri"/>
          <w:color w:val="333333"/>
          <w:sz w:val="22"/>
          <w:szCs w:val="22"/>
        </w:rPr>
        <w:t xml:space="preserve">All pre-existing tests pass unmodified; existing endpoint responses byte-compatible</w:t>
      </w:r>
    </w:p>
    <w:p>
      <w:pPr>
        <w:pStyle w:val="ListParagraph"/>
        <w:numPr>
          <w:ilvl w:val="0"/>
          <w:numId w:val="2"/>
        </w:numPr>
        <w:spacing w:after="70" w:line="264"/>
      </w:pPr>
      <w:r>
        <w:rPr>
          <w:rFonts w:ascii="Calibri" w:cs="Calibri" w:eastAsia="Calibri" w:hAnsi="Calibri"/>
          <w:color w:val="333333"/>
          <w:sz w:val="22"/>
          <w:szCs w:val="22"/>
        </w:rPr>
        <w:t xml:space="preserve">New money fields are integer satang; any money-handling defect found in the old code is at minimum documented with a remediation note</w:t>
      </w:r>
    </w:p>
    <w:p>
      <w:pPr>
        <w:pStyle w:val="ListParagraph"/>
        <w:numPr>
          <w:ilvl w:val="0"/>
          <w:numId w:val="2"/>
        </w:numPr>
        <w:spacing w:after="70" w:line="264"/>
      </w:pPr>
      <w:r>
        <w:rPr>
          <w:rFonts w:ascii="Calibri" w:cs="Calibri" w:eastAsia="Calibri" w:hAnsi="Calibri"/>
          <w:color w:val="333333"/>
          <w:sz w:val="22"/>
          <w:szCs w:val="22"/>
        </w:rPr>
        <w:t xml:space="preserve">Webhook events signed (HMAC-SHA256, X-Tex-Signature) and duplicate-tolerant by design</w:t>
      </w:r>
    </w:p>
    <w:p>
      <w:pPr>
        <w:pStyle w:val="ListParagraph"/>
        <w:numPr>
          <w:ilvl w:val="0"/>
          <w:numId w:val="2"/>
        </w:numPr>
        <w:spacing w:after="70" w:line="264"/>
      </w:pPr>
      <w:r>
        <w:rPr>
          <w:rFonts w:ascii="Calibri" w:cs="Calibri" w:eastAsia="Calibri" w:hAnsi="Calibri"/>
          <w:color w:val="333333"/>
          <w:sz w:val="22"/>
          <w:szCs w:val="22"/>
        </w:rPr>
        <w:t xml:space="preserve">RE artifacts corrected by the team where the AI guessed wrong — corrections visible in aidlc-docs/</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No rewrite, no framework change, no DB migration to Postgres — extend in place</w:t>
      </w:r>
    </w:p>
    <w:p>
      <w:pPr>
        <w:pStyle w:val="ListParagraph"/>
        <w:numPr>
          <w:ilvl w:val="0"/>
          <w:numId w:val="2"/>
        </w:numPr>
        <w:spacing w:after="70" w:line="264"/>
      </w:pPr>
      <w:r>
        <w:rPr>
          <w:rFonts w:ascii="Calibri" w:cs="Calibri" w:eastAsia="Calibri" w:hAnsi="Calibri"/>
          <w:color w:val="333333"/>
          <w:sz w:val="22"/>
          <w:szCs w:val="22"/>
        </w:rPr>
        <w:t xml:space="preserve">No queues/brokers — in-process retry with a persistent delivery log, and a documented Phase-2 upgrade path</w:t>
      </w:r>
    </w:p>
    <w:p>
      <w:pPr>
        <w:pStyle w:val="ListParagraph"/>
        <w:numPr>
          <w:ilvl w:val="0"/>
          <w:numId w:val="2"/>
        </w:numPr>
        <w:spacing w:after="70" w:line="264"/>
      </w:pPr>
      <w:r>
        <w:rPr>
          <w:rFonts w:ascii="Calibri" w:cs="Calibri" w:eastAsia="Calibri" w:hAnsi="Calibri"/>
          <w:color w:val="333333"/>
          <w:sz w:val="22"/>
          <w:szCs w:val="22"/>
        </w:rPr>
        <w:t>The 20:00 Asia/Bangkok cutoff is a business rule, not a UTC rule. Finance described how their day closes in change-request.md; turning that into a rule about stored timestamps is your job</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2026-08-10T03:52:40.141Z</dcterms:created>
  <dcterms:modified xsi:type="dcterms:W3CDTF">2026-08-10T03:52:40.141Z</dcterms:modified>
</cp:coreProperties>
</file>

<file path=docProps/custom.xml><?xml version="1.0" encoding="utf-8"?>
<Properties xmlns="http://schemas.openxmlformats.org/officeDocument/2006/custom-properties" xmlns:vt="http://schemas.openxmlformats.org/officeDocument/2006/docPropsVTypes"/>
</file>