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6D2E46"/>
          <w:sz w:val="40"/>
          <w:szCs w:val="40"/>
        </w:rPr>
        <w:t xml:space="preserve">APEX AUTO PARTS</w:t>
      </w:r>
    </w:p>
    <w:p>
      <w:pPr>
        <w:pBdr>
          <w:bottom w:val="single" w:color="6D2E46" w:sz="12"/>
        </w:pBdr>
        <w:spacing w:after="160"/>
      </w:pPr>
      <w:r>
        <w:rPr>
          <w:rFonts w:ascii="Calibri" w:cs="Calibri" w:eastAsia="Calibri" w:hAnsi="Calibri"/>
          <w:b/>
          <w:bCs/>
          <w:color w:val="6B7A8F"/>
          <w:sz w:val="20"/>
          <w:szCs w:val="20"/>
        </w:rPr>
        <w:t xml:space="preserve">INTERNAL PROJECT AUTHORIZATION MEMO</w:t>
      </w:r>
    </w:p>
    <w:tbl>
      <w:tblPr>
        <w:tblW w:type="dxa" w:w="9400"/>
        <w:tblBorders>
          <w:top w:val="single" w:color="C9D2DC" w:sz="4"/>
          <w:left w:val="single" w:color="C9D2DC" w:sz="4"/>
          <w:bottom w:val="single" w:color="C9D2DC" w:sz="4"/>
          <w:right w:val="single" w:color="C9D2DC" w:sz="4"/>
          <w:insideH w:val="single" w:color="C9D2DC" w:sz="4"/>
          <w:insideV w:val="single" w:color="C9D2DC" w:sz="4"/>
        </w:tblBorders>
      </w:tblPr>
      <w:tblGrid>
        <w:gridCol w:w="2200"/>
        <w:gridCol w:w="7200"/>
      </w:tblGrid>
      <w:tr>
        <w:trPr>
          <w:tblHeader/>
        </w:trPr>
        <w:tc>
          <w:tcPr>
            <w:tcW w:type="dxa" w:w="2200"/>
            <w:shd w:fill="232F3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7200"/>
            <w:shd w:fill="232F3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Project code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APX-2026-INC-03  ·  LineMetrics Incident Recovery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From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Khun Direk Chaiyasit — Plant Director, Rayong Plant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To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Engineering Group 4 (delivery team)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CC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Production Engineering · Shift Supervisors · HR (bonus committee)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Date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Issued at project kickoff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Priority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URGENT — management has stopped trusting the OEE numbers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Budget envelope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THB 900K — fix and harden; a rewrite will not be approved</w:t>
            </w:r>
          </w:p>
        </w:tc>
      </w:tr>
    </w:tbl>
    <w:p>
      <w:pPr>
        <w:spacing w:after="120"/>
      </w:pP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232F3E"/>
        </w:rPr>
        <w:t xml:space="preserve">1. Why we are doing this</w:t>
      </w:r>
    </w:p>
    <w:p>
      <w:pPr>
        <w:spacing w:after="130" w:line="280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Every morning at 08:00 my managers stand in front of the OEE dashboard and make decisions about eight production lines — staffing, maintenance, overtime. Two weeks ago the dashboard crashed in the middle of that meeting. A production engineer then hand-checked the numbers and found the dashboard has been overstating OEE. Since part of the plant bonus is tied to OEE, this is now an HR problem and a trust problem, not just an IT problem.</w:t>
      </w:r>
    </w:p>
    <w:p>
      <w:pPr>
        <w:spacing w:after="130" w:line="280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The three incident tickets are attached, verbatim. </w:t>
      </w:r>
      <w:r>
        <w:rPr>
          <w:rFonts w:ascii="Calibri" w:cs="Calibri" w:eastAsia="Calibri" w:hAnsi="Calibri"/>
          <w:color w:val="333333"/>
          <w:sz w:val="22"/>
          <w:szCs w:val="22"/>
        </w:rPr>
        <w:t xml:space="preserve">I do not want a new system. I want this one fixed, proven correct against hand calculations, and hardened so this class of mistake cannot quietly return.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232F3E"/>
        </w:rPr>
        <w:t xml:space="preserve">2. What the business needs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Correct numbers, provably: </w:t>
      </w:r>
      <w:r>
        <w:rPr>
          <w:rFonts w:ascii="Calibri" w:cs="Calibri" w:eastAsia="Calibri" w:hAnsi="Calibri"/>
          <w:color w:val="333333"/>
          <w:sz w:val="22"/>
          <w:szCs w:val="22"/>
        </w:rPr>
        <w:t xml:space="preserve">our engineer's hand calculations (attached) are the ground truth. The fixed system must match them exactly.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No more 08:00 surprises: </w:t>
      </w:r>
      <w:r>
        <w:rPr>
          <w:rFonts w:ascii="Calibri" w:cs="Calibri" w:eastAsia="Calibri" w:hAnsi="Calibri"/>
          <w:color w:val="333333"/>
          <w:sz w:val="22"/>
          <w:szCs w:val="22"/>
        </w:rPr>
        <w:t xml:space="preserve">a maintenance day, an idle line, a flaky Wi-Fi morning — none of these may crash or corrupt the dashboard again.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Evidence, not assurances: </w:t>
      </w:r>
      <w:r>
        <w:rPr>
          <w:rFonts w:ascii="Calibri" w:cs="Calibri" w:eastAsia="Calibri" w:hAnsi="Calibri"/>
          <w:color w:val="333333"/>
          <w:sz w:val="22"/>
          <w:szCs w:val="22"/>
        </w:rPr>
        <w:t xml:space="preserve">for each ticket I expect to see the bug reproduced by a test that fails on the old code and passes on the fix. Production Engineering will check.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An answer to an uncomfortable question: </w:t>
      </w:r>
      <w:r>
        <w:rPr>
          <w:rFonts w:ascii="Calibri" w:cs="Calibri" w:eastAsia="Calibri" w:hAnsi="Calibri"/>
          <w:color w:val="333333"/>
          <w:sz w:val="22"/>
          <w:szCs w:val="22"/>
        </w:rPr>
        <w:t xml:space="preserve">the system had tests, and they passed the whole time the numbers were wrong. Why? Your written answer goes to the steering committee.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232F3E"/>
        </w:rPr>
        <w:t xml:space="preserve">3. Constraints from the plant floor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The gateway firmware is frozen by the vendor — the data it sends will not change; your system must cope with its retries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Our production day is 08:00 to 08:00, Thailand time. That is how shifts, targets and bonuses are counted. The system must count the same way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Budget covers fix + hardening only. New features beyond the three incidents will be rejected at review – but the OEE dashboard page is not a new feature. It is what INC-1042 is about, and rebuilding it is inside this budget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232F3E"/>
        </w:rPr>
        <w:t xml:space="preserve">4. How success will be measured</w:t>
      </w:r>
    </w:p>
    <w:tbl>
      <w:tblPr>
        <w:tblW w:type="dxa" w:w="9400"/>
        <w:tblBorders>
          <w:top w:val="single" w:color="C9D2DC" w:sz="4"/>
          <w:left w:val="single" w:color="C9D2DC" w:sz="4"/>
          <w:bottom w:val="single" w:color="C9D2DC" w:sz="4"/>
          <w:right w:val="single" w:color="C9D2DC" w:sz="4"/>
          <w:insideH w:val="single" w:color="C9D2DC" w:sz="4"/>
          <w:insideV w:val="single" w:color="C9D2DC" w:sz="4"/>
        </w:tblBorders>
      </w:tblPr>
      <w:tblGrid>
        <w:gridCol w:w="3600"/>
        <w:gridCol w:w="2600"/>
        <w:gridCol w:w="3200"/>
      </w:tblGrid>
      <w:tr>
        <w:trPr>
          <w:tblHeader/>
        </w:trPr>
        <w:tc>
          <w:tcPr>
            <w:tcW w:type="dxa" w:w="3600"/>
            <w:shd w:fill="232F3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2600"/>
            <w:shd w:fill="232F3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Today</w:t>
            </w:r>
          </w:p>
        </w:tc>
        <w:tc>
          <w:tcPr>
            <w:tcW w:type="dxa" w:w="3200"/>
            <w:shd w:fill="232F3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Target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L-03 OEE vs hand calculation (15 Sep)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dashboard 0.908 (wrong)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0.823 — exact match to ground truth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Dashboard availability on maintenance days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crashes (HTTP 500)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sane result, zero crashes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Duplicate-inflated counts on bad-WiFi days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recurring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zero (idempotent ingestion, proven by test)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Confidence in the KPI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management overriding by hand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morning meeting runs on the dashboard again</w:t>
            </w:r>
          </w:p>
        </w:tc>
      </w:tr>
    </w:tbl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232F3E"/>
        </w:rPr>
        <w:t xml:space="preserve">5. Attachments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onsolas" w:cs="Consolas" w:eastAsia="Consolas" w:hAnsi="Consolas"/>
          <w:color w:val="333333"/>
          <w:sz w:val="22"/>
          <w:szCs w:val="22"/>
        </w:rPr>
        <w:t xml:space="preserve">bug-reports.md</w:t>
      </w:r>
      <w:r>
        <w:rPr>
          <w:rFonts w:ascii="Calibri" w:cs="Calibri" w:eastAsia="Calibri" w:hAnsi="Calibri"/>
          <w:color w:val="333333"/>
          <w:sz w:val="22"/>
          <w:szCs w:val="22"/>
        </w:rPr>
        <w:t xml:space="preserve"> — the three incident tickets (your primary requirements input)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onsolas" w:cs="Consolas" w:eastAsia="Consolas" w:hAnsi="Consolas"/>
          <w:color w:val="333333"/>
          <w:sz w:val="22"/>
          <w:szCs w:val="22"/>
        </w:rPr>
        <w:t xml:space="preserve">starter-code/</w:t>
      </w:r>
      <w:r>
        <w:rPr>
          <w:rFonts w:ascii="Calibri" w:cs="Calibri" w:eastAsia="Calibri" w:hAnsi="Calibri"/>
          <w:color w:val="333333"/>
          <w:sz w:val="22"/>
          <w:szCs w:val="22"/>
        </w:rPr>
        <w:t xml:space="preserve"> — LineMetrics as it runs today, including its (insufficient) tests and a data seed script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onsolas" w:cs="Consolas" w:eastAsia="Consolas" w:hAnsi="Consolas"/>
          <w:color w:val="333333"/>
          <w:sz w:val="22"/>
          <w:szCs w:val="22"/>
        </w:rPr>
        <w:t xml:space="preserve">sample-readings.jsonl</w:t>
      </w:r>
      <w:r>
        <w:rPr>
          <w:rFonts w:ascii="Calibri" w:cs="Calibri" w:eastAsia="Calibri" w:hAnsi="Calibri"/>
          <w:color w:val="333333"/>
          <w:sz w:val="22"/>
          <w:szCs w:val="22"/>
        </w:rPr>
        <w:t xml:space="preserve"> — September readings incl. a Wi-Fi retry burst and night-shift readings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onsolas" w:cs="Consolas" w:eastAsia="Consolas" w:hAnsi="Consolas"/>
          <w:color w:val="333333"/>
          <w:sz w:val="22"/>
          <w:szCs w:val="22"/>
        </w:rPr>
        <w:t xml:space="preserve">expected-oee-l03.csv</w:t>
      </w:r>
      <w:r>
        <w:rPr>
          <w:rFonts w:ascii="Calibri" w:cs="Calibri" w:eastAsia="Calibri" w:hAnsi="Calibri"/>
          <w:color w:val="333333"/>
          <w:sz w:val="22"/>
          <w:szCs w:val="22"/>
        </w:rPr>
        <w:t xml:space="preserve"> — Production Engineering's hand-calculated ground truth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onsolas" w:cs="Consolas" w:eastAsia="Consolas" w:hAnsi="Consolas"/>
          <w:color w:val="333333"/>
          <w:sz w:val="22"/>
          <w:szCs w:val="22"/>
        </w:rPr>
        <w:t xml:space="preserve">vision-document.md</w:t>
      </w:r>
      <w:r>
        <w:rPr>
          <w:rFonts w:ascii="Calibri" w:cs="Calibri" w:eastAsia="Calibri" w:hAnsi="Calibri"/>
          <w:color w:val="333333"/>
          <w:sz w:val="22"/>
          <w:szCs w:val="22"/>
        </w:rPr>
        <w:t xml:space="preserve"> + </w:t>
      </w:r>
      <w:r>
        <w:rPr>
          <w:rFonts w:ascii="Consolas" w:cs="Consolas" w:eastAsia="Consolas" w:hAnsi="Consolas"/>
          <w:color w:val="333333"/>
          <w:sz w:val="22"/>
          <w:szCs w:val="22"/>
        </w:rPr>
        <w:t xml:space="preserve">technical-environment.md</w:t>
      </w:r>
      <w:r>
        <w:rPr>
          <w:rFonts w:ascii="Calibri" w:cs="Calibri" w:eastAsia="Calibri" w:hAnsi="Calibri"/>
          <w:color w:val="333333"/>
          <w:sz w:val="22"/>
          <w:szCs w:val="22"/>
        </w:rPr>
        <w:t xml:space="preserve"> — scope limits and plant rules</w:t>
      </w:r>
    </w:p>
    <w:p>
      <w:pPr>
        <w:spacing w:after="30" w:before="260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Approved for execution,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232F3E"/>
          <w:sz w:val="22"/>
          <w:szCs w:val="22"/>
        </w:rPr>
        <w:t xml:space="preserve">Direk Chaiyasit</w:t>
      </w:r>
      <w:r>
        <w:rPr>
          <w:rFonts w:ascii="Calibri" w:cs="Calibri" w:eastAsia="Calibri" w:hAnsi="Calibri"/>
          <w:color w:val="6B7A8F"/>
          <w:sz w:val="20"/>
          <w:szCs w:val="20"/>
        </w:rPr>
        <w:t xml:space="preserve">   —   Plant Director, Rayong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232F3E"/>
          <w:sz w:val="22"/>
          <w:szCs w:val="22"/>
        </w:rPr>
        <w:t xml:space="preserve">Naruemon Saengthong</w:t>
      </w:r>
      <w:r>
        <w:rPr>
          <w:rFonts w:ascii="Calibri" w:cs="Calibri" w:eastAsia="Calibri" w:hAnsi="Calibri"/>
          <w:color w:val="6B7A8F"/>
          <w:sz w:val="20"/>
          <w:szCs w:val="20"/>
        </w:rPr>
        <w:t xml:space="preserve">   —   Production Engineering Lead (ground-truth owner)</w:t>
      </w:r>
    </w:p>
    <w:p>
      <w:pPr>
        <w:spacing w:before="160"/>
      </w:pPr>
      <w:r>
        <w:rPr>
          <w:rFonts w:ascii="Calibri" w:cs="Calibri" w:eastAsia="Calibri" w:hAnsi="Calibri"/>
          <w:i/>
          <w:iCs/>
          <w:color w:val="6B7A8F"/>
          <w:sz w:val="19"/>
          <w:szCs w:val="19"/>
        </w:rPr>
        <w:t xml:space="preserve">This memo and its attachments are the complete business input. The engineering team is expected to challenge ambiguities through its structured workflow — not to assume.</w:t>
      </w:r>
    </w:p>
    <w:sectPr>
      <w:pgSz w:w="11906" w:h="16838" w:orient="portrait"/>
      <w:pgMar w:top="1080" w:right="1240" w:bottom="1080" w:left="12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2026-08-10T04:10:12.640Z</dcterms:created>
  <dcterms:modified xsi:type="dcterms:W3CDTF">2026-08-10T04:10:12.640Z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