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1 · RETAIL · GREENFIELD</w:t>
      </w:r>
    </w:p>
    <w:p>
      <w:pPr>
        <w:spacing w:after="120"/>
      </w:pPr>
      <w:r>
        <w:rPr>
          <w:rFonts w:ascii="Calibri" w:cs="Calibri" w:eastAsia="Calibri" w:hAnsi="Calibri"/>
          <w:b/>
          <w:bCs/>
          <w:color w:val="232F3E"/>
          <w:sz w:val="56"/>
          <w:szCs w:val="56"/>
        </w:rPr>
        <w:t xml:space="preserve">PointHub</w:t>
      </w:r>
    </w:p>
    <w:p>
      <w:pPr>
        <w:spacing w:after="200"/>
      </w:pPr>
      <w:r>
        <w:rPr>
          <w:rFonts w:ascii="Calibri" w:cs="Calibri" w:eastAsia="Calibri" w:hAnsi="Calibri"/>
          <w:color w:val="6B7A8F"/>
          <w:sz w:val="26"/>
          <w:szCs w:val="26"/>
        </w:rPr>
        <w:t xml:space="preserve">Loyalty Points &amp; Rewards Service for Siam MegaMart</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Siam MegaMart runs 120 stores and a mobile app with 800,000 members — but its loyalty points are calculated in three different systems that regularly disagree, and every marketing campaign needs a 3–4 week IT change request. You are the engineering team hired to build PointHub: one central points service behind an API.</w:t>
      </w:r>
    </w:p>
    <w:p>
      <w:pPr>
        <w:spacing w:after="120" w:line="276"/>
      </w:pPr>
      <w:r>
        <w:rPr>
          <w:rFonts w:ascii="Calibri" w:cs="Calibri" w:eastAsia="Calibri" w:hAnsi="Calibri"/>
          <w:color w:val="333333"/>
          <w:sz w:val="22"/>
          <w:szCs w:val="22"/>
        </w:rPr>
        <w:t xml:space="preserve">Marketing, the POS team, customer service, and finance have all been interviewed; their notes are in your folder — including a few places where they contradict each other. That is not an accident.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Take PointHub from business intent to working, tested code using the full AI-DLC workflow (this is your team's first greenfield run — expect the richest Inception phase of all four groups).</w:t>
      </w:r>
    </w:p>
    <w:p>
      <w:pPr>
        <w:pStyle w:val="ListParagraph"/>
        <w:numPr>
          <w:ilvl w:val="0"/>
          <w:numId w:val="2"/>
        </w:numPr>
        <w:spacing w:after="70" w:line="264"/>
      </w:pPr>
      <w:r>
        <w:rPr>
          <w:rFonts w:ascii="Calibri" w:cs="Calibri" w:eastAsia="Calibri" w:hAnsi="Calibri"/>
          <w:color w:val="333333"/>
          <w:sz w:val="22"/>
          <w:szCs w:val="22"/>
        </w:rPr>
        <w:t xml:space="preserve">Design a campaign rules engine that passes all 5 marketing campaign examples, including the overlap cases.</w:t>
      </w:r>
    </w:p>
    <w:p>
      <w:pPr>
        <w:pStyle w:val="ListParagraph"/>
        <w:numPr>
          <w:ilvl w:val="0"/>
          <w:numId w:val="2"/>
        </w:numPr>
        <w:spacing w:after="70" w:line="264"/>
      </w:pPr>
      <w:r>
        <w:rPr>
          <w:rFonts w:ascii="Calibri" w:cs="Calibri" w:eastAsia="Calibri" w:hAnsi="Calibri"/>
          <w:color w:val="333333"/>
          <w:sz w:val="22"/>
          <w:szCs w:val="22"/>
        </w:rPr>
        <w:t xml:space="preserve">End with 2–3 Units of Work, each fully designed and built through the Construction loop.</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scope, out-of-scope, success metrics — your primary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Company stack standards, prohibited libraries, integration contracts, NFRs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Raw interview notes from 4 stakeholders — contains decisions AND contradictions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sample-data/transactions.csv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40 POS sales (81 line items) plus 3 refunds - 2 full, 1 partial - with type and originalTransactionId columns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sample-data/campaign-examples.md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5 campaigns your rules engine must handle, the overlap traps, and how to keep the x2.5 multiplier out of floating point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sample-data/members.csv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8 members with tier and join date - stub the Member DB from this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ANSWER KEY - the points your earn API must post for every transaction, with the reasoning for the twelve deliberately tricky ones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sample-data/expected-points-by-line.csv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same answer per line item: winning campaign, multiplier, milli-points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local-environment/</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Node 20 + a local PostgreSQL, and nothing else. There is deliberately no starter project: the framework, the layout, the test runner and how you reach the database are decisions your Application Design has to produce. local-environment/ holds only a docker-compose.yml for the database - run docker compose up -d &amp;&amp; node check-db.mjs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PointHub loyalty points service described in vision-document.md and technical-environment.md in this workspace. This is a new greenfield project.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Through Requirements Analysis (decline all extensions — record why) and into User Stories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Workflow Planning approved; Application Design and Units Generation done (2–3 units, e.g. points-engine / campaign-management / reporting)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loop: points-engine unit complete (earn/burn/ledger with idempotency), second unit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Build &amp; Test executed; demo: replay transactions.csv against your API and match expected-points.csv, including the partial refund</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Earn API reproduces every row of sample-data/expected-points.csv exactly. Check it before your demo: node sample-data/check-points.mjs &lt;your-output.csv&gt;</w:t>
      </w:r>
    </w:p>
    <w:p>
      <w:pPr>
        <w:pStyle w:val="ListParagraph"/>
        <w:numPr>
          <w:ilvl w:val="0"/>
          <w:numId w:val="2"/>
        </w:numPr>
        <w:spacing w:after="70" w:line="264"/>
      </w:pPr>
      <w:r>
        <w:rPr>
          <w:rFonts w:ascii="Calibri" w:cs="Calibri" w:eastAsia="Calibri" w:hAnsi="Calibri"/>
          <w:color w:val="333333"/>
          <w:sz w:val="22"/>
          <w:szCs w:val="22"/>
        </w:rPr>
        <w:t>The customer-service screen works: look up a member and see the balance, the tier and the history with the reason behind each entry, then make an adjustment with a reason code. The balance on screen is the one in expected-points.csv</w:t>
      </w:r>
    </w:p>
    <w:p>
      <w:pPr>
        <w:pStyle w:val="ListParagraph"/>
        <w:numPr>
          <w:ilvl w:val="0"/>
          <w:numId w:val="2"/>
        </w:numPr>
        <w:spacing w:after="70" w:line="264"/>
      </w:pPr>
      <w:r>
        <w:rPr>
          <w:rFonts w:ascii="Calibri" w:cs="Calibri" w:eastAsia="Calibri" w:hAnsi="Calibri"/>
          <w:color w:val="333333"/>
          <w:sz w:val="22"/>
          <w:szCs w:val="22"/>
        </w:rPr>
        <w:t>Refund clawback works for full AND partial refunds (RF90001-3), negative balances allowed; every change is a ledger entry</w:t>
      </w:r>
    </w:p>
    <w:p>
      <w:pPr>
        <w:pStyle w:val="ListParagraph"/>
        <w:numPr>
          <w:ilvl w:val="0"/>
          <w:numId w:val="2"/>
        </w:numPr>
        <w:spacing w:after="70" w:line="264"/>
      </w:pPr>
      <w:r>
        <w:rPr>
          <w:rFonts w:ascii="Calibri" w:cs="Calibri" w:eastAsia="Calibri" w:hAnsi="Calibri"/>
          <w:color w:val="333333"/>
          <w:sz w:val="22"/>
          <w:szCs w:val="22"/>
        </w:rPr>
        <w:t xml:space="preserve">Earn is idempotent by transactionId (POS retry-safe) — show the test</w:t>
      </w:r>
    </w:p>
    <w:p>
      <w:pPr>
        <w:pStyle w:val="ListParagraph"/>
        <w:numPr>
          <w:ilvl w:val="0"/>
          <w:numId w:val="2"/>
        </w:numPr>
        <w:spacing w:after="70" w:line="264"/>
      </w:pPr>
      <w:r>
        <w:rPr>
          <w:rFonts w:ascii="Calibri" w:cs="Calibri" w:eastAsia="Calibri" w:hAnsi="Calibri"/>
          <w:color w:val="333333"/>
          <w:sz w:val="22"/>
          <w:szCs w:val="22"/>
        </w:rPr>
        <w:t>Point liability summary endpoint returns totals by tier, and replaying the whole file gives the eight member balances in technical-environment.md</w:t>
      </w:r>
    </w:p>
    <w:p>
      <w:pPr>
        <w:pStyle w:val="ListParagraph"/>
        <w:numPr>
          <w:ilvl w:val="0"/>
          <w:numId w:val="2"/>
        </w:numPr>
        <w:spacing w:after="70" w:line="264"/>
      </w:pPr>
      <w:r>
        <w:rPr>
          <w:rFonts w:ascii="Calibri" w:cs="Calibri" w:eastAsia="Calibri" w:hAnsi="Calibri"/>
          <w:color w:val="333333"/>
          <w:sz w:val="22"/>
          <w:szCs w:val="22"/>
        </w:rPr>
        <w:t xml:space="preserve">aidlc-docs/ complete: requirements, stories, execution plan (Mermaid), design, unit docs, audit trail</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Member registration is NOT yours — stub the member DB exactly as the tech-env contract describes</w:t>
      </w:r>
    </w:p>
    <w:p>
      <w:pPr>
        <w:pStyle w:val="ListParagraph"/>
        <w:numPr>
          <w:ilvl w:val="0"/>
          <w:numId w:val="2"/>
        </w:numPr>
        <w:spacing w:after="70" w:line="264"/>
      </w:pPr>
      <w:r>
        <w:rPr>
          <w:rFonts w:ascii="Calibri" w:cs="Calibri" w:eastAsia="Calibri" w:hAnsi="Calibri"/>
          <w:color w:val="333333"/>
          <w:sz w:val="22"/>
          <w:szCs w:val="22"/>
        </w:rPr>
        <w:t>No ORMs, no floats for money/points - multipliers are integers scaled by 1000, points are integer milli-points until the final floor (tech-env prohibited list is enforced)</w:t>
      </w:r>
    </w:p>
    <w:p>
      <w:pPr>
        <w:pStyle w:val="ListParagraph"/>
        <w:numPr>
          <w:ilvl w:val="0"/>
          <w:numId w:val="2"/>
        </w:numPr>
        <w:spacing w:after="70" w:line="264"/>
      </w:pPr>
      <w:r>
        <w:rPr>
          <w:rFonts w:ascii="Calibri" w:cs="Calibri" w:eastAsia="Calibri" w:hAnsi="Calibri"/>
          <w:color w:val="333333"/>
          <w:sz w:val="22"/>
          <w:szCs w:val="22"/>
        </w:rPr>
        <w:t xml:space="preserve">The campaign budget cap idea from marketing is a scope decision — decide it explicitly, don't silently build it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2026-08-10T03:52:40.045Z</dcterms:created>
  <dcterms:modified xsi:type="dcterms:W3CDTF">2026-08-10T03:52:40.062Z</dcterms:modified>
</cp:coreProperties>
</file>

<file path=docProps/custom.xml><?xml version="1.0" encoding="utf-8"?>
<Properties xmlns="http://schemas.openxmlformats.org/officeDocument/2006/custom-properties" xmlns:vt="http://schemas.openxmlformats.org/officeDocument/2006/docPropsVTypes"/>
</file>