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pPr>
      <w:r>
        <w:rPr>
          <w:rFonts w:ascii="Calibri" w:cs="Calibri" w:eastAsia="Calibri" w:hAnsi="Calibri"/>
          <w:b/>
          <w:bCs/>
          <w:color w:val="E8590C"/>
          <w:sz w:val="22"/>
          <w:szCs w:val="22"/>
        </w:rPr>
        <w:t xml:space="preserve">GROUP 2 · CONSUMER LENDING · GREENFIELD + SECURITY</w:t>
      </w:r>
    </w:p>
    <w:p>
      <w:pPr>
        <w:spacing w:after="120"/>
      </w:pPr>
      <w:r>
        <w:rPr>
          <w:rFonts w:ascii="Calibri" w:cs="Calibri" w:eastAsia="Calibri" w:hAnsi="Calibri"/>
          <w:b/>
          <w:bCs/>
          <w:color w:val="232F3E"/>
          <w:sz w:val="56"/>
          <w:szCs w:val="56"/>
        </w:rPr>
        <w:t xml:space="preserve">SwiftKYC</w:t>
      </w:r>
    </w:p>
    <w:p>
      <w:pPr>
        <w:spacing w:after="200"/>
      </w:pPr>
      <w:r>
        <w:rPr>
          <w:rFonts w:ascii="Calibri" w:cs="Calibri" w:eastAsia="Calibri" w:hAnsi="Calibri"/>
          <w:color w:val="6B7A8F"/>
          <w:sz w:val="26"/>
          <w:szCs w:val="26"/>
        </w:rPr>
        <w:t xml:space="preserve">Digital Onboarding &amp; e-KYC API for Metro Finance</w:t>
      </w:r>
    </w:p>
    <w:p>
      <w:pPr>
        <w:spacing w:after="40"/>
      </w:pPr>
      <w:r>
        <w:rPr>
          <w:rFonts w:ascii="Calibri" w:cs="Calibri" w:eastAsia="Calibri" w:hAnsi="Calibri"/>
          <w:color w:val="6B7A8F"/>
          <w:sz w:val="20"/>
          <w:szCs w:val="20"/>
        </w:rPr>
        <w:t xml:space="preserve">AI-DLC V1 Workshop · 2 days</w:t>
      </w:r>
    </w:p>
    <w:p>
      <w:pPr>
        <w:spacing w:after="40"/>
      </w:pPr>
      <w:r>
        <w:rPr>
          <w:rFonts w:ascii="Calibri" w:cs="Calibri" w:eastAsia="Calibri" w:hAnsi="Calibri"/>
          <w:color w:val="6B7A8F"/>
          <w:sz w:val="20"/>
          <w:szCs w:val="20"/>
        </w:rPr>
        <w:t xml:space="preserve">Read everything in your folder before answering the AI's first question.</w:t>
      </w:r>
    </w:p>
    <w:p>
      <w:pPr>
        <w:pBdr>
          <w:bottom w:val="single" w:color="C9D2DC" w:sz="8"/>
        </w:pBdr>
        <w:spacing w:after="200"/>
      </w:pPr>
    </w:p>
    <w:p>
      <w:pPr>
        <w:pStyle w:val="Heading1"/>
        <w:spacing w:after="140" w:before="300"/>
      </w:pPr>
      <w:r>
        <w:rPr>
          <w:rFonts w:ascii="Calibri" w:cs="Calibri" w:eastAsia="Calibri" w:hAnsi="Calibri"/>
          <w:b/>
          <w:bCs/>
          <w:color w:val="232F3E"/>
        </w:rPr>
        <w:t xml:space="preserve">1. The situation</w:t>
      </w:r>
    </w:p>
    <w:p>
      <w:pPr>
        <w:spacing w:after="120" w:line="276"/>
      </w:pPr>
      <w:r>
        <w:rPr>
          <w:rFonts w:ascii="Calibri" w:cs="Calibri" w:eastAsia="Calibri" w:hAnsi="Calibri"/>
          <w:color w:val="333333"/>
          <w:sz w:val="22"/>
          <w:szCs w:val="22"/>
        </w:rPr>
        <w:t xml:space="preserve">Metro Finance is launching a digital personal-loan product. Everything about onboarding is currently paper, branch-only, and failing compliance audits. Your team builds the onboarding backend: application lifecycle, PDPA consent, document intake, an external e-KYC vendor integration (mock provided), blocklist screening, and a manual-review queue.</w:t>
      </w:r>
    </w:p>
    <w:p>
      <w:pPr>
        <w:spacing w:after="120" w:line="276"/>
      </w:pPr>
      <w:r>
        <w:rPr>
          <w:rFonts w:ascii="Calibri" w:cs="Calibri" w:eastAsia="Calibri" w:hAnsi="Calibri"/>
          <w:color w:val="333333"/>
          <w:sz w:val="22"/>
          <w:szCs w:val="22"/>
        </w:rPr>
        <w:t xml:space="preserve">This is a regulated build. On Day 2 the facilitator will play the compliance auditor and walk your audit trail. The AI-DLC Security extension exists for exactly this kind of project — your team is expected to opt IN when Requirements Analysis asks.</w:t>
      </w:r>
    </w:p>
    <w:p>
      <w:pPr>
        <w:pStyle w:val="Heading1"/>
        <w:spacing w:after="140" w:before="300"/>
      </w:pPr>
      <w:r>
        <w:rPr>
          <w:rFonts w:ascii="Calibri" w:cs="Calibri" w:eastAsia="Calibri" w:hAnsi="Calibri"/>
          <w:b/>
          <w:bCs/>
          <w:color w:val="232F3E"/>
        </w:rPr>
        <w:t xml:space="preserve">2. Your mission</w:t>
      </w:r>
    </w:p>
    <w:p>
      <w:pPr>
        <w:pStyle w:val="ListParagraph"/>
        <w:numPr>
          <w:ilvl w:val="0"/>
          <w:numId w:val="2"/>
        </w:numPr>
        <w:spacing w:after="70" w:line="264"/>
      </w:pPr>
      <w:r>
        <w:rPr>
          <w:rFonts w:ascii="Calibri" w:cs="Calibri" w:eastAsia="Calibri" w:hAnsi="Calibri"/>
          <w:color w:val="333333"/>
          <w:sz w:val="22"/>
          <w:szCs w:val="22"/>
        </w:rPr>
        <w:t xml:space="preserve">Build the SwiftKYC API end-to-end with the AI-DLC workflow, opting into the Security baseline extension (its 15 rules become blocking checks at your gates — feel what that does to the process).</w:t>
      </w:r>
    </w:p>
    <w:p>
      <w:pPr>
        <w:pStyle w:val="ListParagraph"/>
        <w:numPr>
          <w:ilvl w:val="0"/>
          <w:numId w:val="2"/>
        </w:numPr>
        <w:spacing w:after="70" w:line="264"/>
      </w:pPr>
      <w:r>
        <w:rPr>
          <w:rFonts w:ascii="Calibri" w:cs="Calibri" w:eastAsia="Calibri" w:hAnsi="Calibri"/>
          <w:color w:val="333333"/>
          <w:sz w:val="22"/>
          <w:szCs w:val="22"/>
        </w:rPr>
        <w:t xml:space="preserve">Integrate the VerifyMe mock correctly: async webhooks, signature verification, duplicate deliveries, no double-billing.</w:t>
      </w:r>
    </w:p>
    <w:p>
      <w:pPr>
        <w:pStyle w:val="ListParagraph"/>
        <w:numPr>
          <w:ilvl w:val="0"/>
          <w:numId w:val="2"/>
        </w:numPr>
        <w:spacing w:after="70" w:line="264"/>
      </w:pPr>
      <w:r>
        <w:rPr>
          <w:rFonts w:ascii="Calibri" w:cs="Calibri" w:eastAsia="Calibri" w:hAnsi="Calibri"/>
          <w:color w:val="333333"/>
          <w:sz w:val="22"/>
          <w:szCs w:val="22"/>
        </w:rPr>
        <w:t xml:space="preserve">Survive the Day-2 audit: consent records, state-change audit trail, masked PII in every log line.</w:t>
      </w:r>
    </w:p>
    <w:p>
      <w:pPr>
        <w:pStyle w:val="Heading1"/>
        <w:spacing w:after="140" w:before="300"/>
      </w:pPr>
      <w:r>
        <w:rPr>
          <w:rFonts w:ascii="Calibri" w:cs="Calibri" w:eastAsia="Calibri" w:hAnsi="Calibri"/>
          <w:b/>
          <w:bCs/>
          <w:color w:val="232F3E"/>
        </w:rPr>
        <w:t xml:space="preserve">3. What you have been given</w:t>
      </w:r>
    </w:p>
    <w:tbl>
      <w:tblPr>
        <w:tblW w:type="dxa" w:w="9400"/>
        <w:tblBorders>
          <w:top w:val="single" w:color="C9D2DC" w:sz="4"/>
          <w:left w:val="single" w:color="C9D2DC" w:sz="4"/>
          <w:bottom w:val="single" w:color="C9D2DC" w:sz="4"/>
          <w:right w:val="single" w:color="C9D2DC" w:sz="4"/>
          <w:insideH w:val="single" w:color="C9D2DC" w:sz="4"/>
          <w:insideV w:val="single" w:color="C9D2DC" w:sz="4"/>
        </w:tblBorders>
      </w:tblPr>
      <w:tblGrid>
        <w:gridCol w:w="3400"/>
        <w:gridCol w:w="6000"/>
      </w:tblGrid>
      <w:tr>
        <w:trPr>
          <w:tblHeader/>
        </w:trPr>
        <w:tc>
          <w:tcPr>
            <w:tcW w:type="dxa" w:w="3400"/>
            <w:shd w:fill="232F3E"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File</w:t>
            </w:r>
          </w:p>
        </w:tc>
        <w:tc>
          <w:tcPr>
            <w:tcW w:type="dxa" w:w="6000"/>
            <w:shd w:fill="232F3E"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What it is</w:t>
            </w:r>
          </w:p>
        </w:tc>
      </w:tr>
      <w:tr>
        <w:trPr>
          <w:tblHeader w:val="false"/>
        </w:trPr>
        <w:tc>
          <w:tcPr>
            <w:tcW w:type="dxa" w:w="3400"/>
            <w:tcMar>
              <w:top w:type="dxa" w:w="60"/>
              <w:left w:type="dxa" w:w="100"/>
              <w:bottom w:type="dxa" w:w="60"/>
              <w:right w:type="dxa" w:w="100"/>
            </w:tcMar>
          </w:tcPr>
          <w:p>
            <w:pPr>
              <w:spacing w:after="0" w:line="252"/>
            </w:pPr>
            <w:r>
              <w:rPr>
                <w:rFonts w:ascii="Consolas" w:cs="Consolas" w:eastAsia="Consolas" w:hAnsi="Consolas"/>
                <w:color w:val="333333"/>
                <w:sz w:val="20"/>
                <w:szCs w:val="20"/>
              </w:rPr>
              <w:t xml:space="preserve">vision-document.md</w:t>
            </w:r>
          </w:p>
        </w:tc>
        <w:tc>
          <w:tcPr>
            <w:tcW w:type="dxa" w:w="6000"/>
            <w:tcMar>
              <w:top w:type="dxa" w:w="60"/>
              <w:left w:type="dxa" w:w="100"/>
              <w:bottom w:type="dxa" w:w="60"/>
              <w:right w:type="dxa" w:w="100"/>
            </w:tcMar>
          </w:tcPr>
          <w:p>
            <w:pPr>
              <w:spacing w:after="0" w:line="252"/>
            </w:pPr>
            <w:r>
              <w:rPr>
                <w:rFonts w:ascii="Calibri" w:cs="Calibri" w:eastAsia="Calibri" w:hAnsi="Calibri"/>
                <w:color w:val="333333"/>
                <w:sz w:val="20"/>
                <w:szCs w:val="20"/>
              </w:rPr>
              <w:t xml:space="preserve">Business goals, the decision rules (0.95 / 0.80 thresholds), scope, PDPA obligations</w:t>
            </w:r>
          </w:p>
        </w:tc>
      </w:tr>
      <w:tr>
        <w:trPr>
          <w:tblHeader w:val="false"/>
        </w:trPr>
        <w:tc>
          <w:tcPr>
            <w:tcW w:type="dxa" w:w="3400"/>
            <w:tcMar>
              <w:top w:type="dxa" w:w="60"/>
              <w:left w:type="dxa" w:w="100"/>
              <w:bottom w:type="dxa" w:w="60"/>
              <w:right w:type="dxa" w:w="100"/>
            </w:tcMar>
          </w:tcPr>
          <w:p>
            <w:pPr>
              <w:spacing w:after="0" w:line="252"/>
            </w:pPr>
            <w:r>
              <w:rPr>
                <w:rFonts w:ascii="Consolas" w:cs="Consolas" w:eastAsia="Consolas" w:hAnsi="Consolas"/>
                <w:color w:val="333333"/>
                <w:sz w:val="20"/>
                <w:szCs w:val="20"/>
              </w:rPr>
              <w:t xml:space="preserve">technical-environment.md</w:t>
            </w:r>
          </w:p>
        </w:tc>
        <w:tc>
          <w:tcPr>
            <w:tcW w:type="dxa" w:w="6000"/>
            <w:tcMar>
              <w:top w:type="dxa" w:w="60"/>
              <w:left w:type="dxa" w:w="100"/>
              <w:bottom w:type="dxa" w:w="60"/>
              <w:right w:type="dxa" w:w="100"/>
            </w:tcMar>
          </w:tcPr>
          <w:p>
            <w:pPr>
              <w:spacing w:after="0" w:line="252"/>
            </w:pPr>
            <w:r>
              <w:rPr>
                <w:rFonts w:ascii="Calibri" w:cs="Calibri" w:eastAsia="Calibri" w:hAnsi="Calibri"/>
                <w:color w:val="333333"/>
                <w:sz w:val="20"/>
                <w:szCs w:val="20"/>
              </w:rPr>
              <w:t xml:space="preserve">Stack, crypto requirements, prohibited practices, role model</w:t>
            </w:r>
          </w:p>
        </w:tc>
      </w:tr>
      <w:tr>
        <w:trPr>
          <w:tblHeader w:val="false"/>
        </w:trPr>
        <w:tc>
          <w:tcPr>
            <w:tcW w:type="dxa" w:w="3400"/>
            <w:tcMar>
              <w:top w:type="dxa" w:w="60"/>
              <w:left w:type="dxa" w:w="100"/>
              <w:bottom w:type="dxa" w:w="60"/>
              <w:right w:type="dxa" w:w="100"/>
            </w:tcMar>
          </w:tcPr>
          <w:p>
            <w:pPr>
              <w:spacing w:after="0" w:line="252"/>
            </w:pPr>
            <w:r>
              <w:rPr>
                <w:rFonts w:ascii="Consolas" w:cs="Consolas" w:eastAsia="Consolas" w:hAnsi="Consolas"/>
                <w:color w:val="333333"/>
                <w:sz w:val="20"/>
                <w:szCs w:val="20"/>
              </w:rPr>
              <w:t xml:space="preserve">verifyme-api-contract.md</w:t>
            </w:r>
          </w:p>
        </w:tc>
        <w:tc>
          <w:tcPr>
            <w:tcW w:type="dxa" w:w="6000"/>
            <w:tcMar>
              <w:top w:type="dxa" w:w="60"/>
              <w:left w:type="dxa" w:w="100"/>
              <w:bottom w:type="dxa" w:w="60"/>
              <w:right w:type="dxa" w:w="100"/>
            </w:tcMar>
          </w:tcPr>
          <w:p>
            <w:pPr>
              <w:spacing w:after="0" w:line="252"/>
            </w:pPr>
            <w:r>
              <w:rPr>
                <w:rFonts w:ascii="Calibri" w:cs="Calibri" w:eastAsia="Calibri" w:hAnsi="Calibri"/>
                <w:color w:val="333333"/>
                <w:sz w:val="20"/>
                <w:szCs w:val="20"/>
              </w:rPr>
              <w:t>The vendor API + the mock's behaviour map: the last digit of your reference picks the score AND the identity returned, and three of those identities are on the blocklist</w:t>
            </w:r>
          </w:p>
        </w:tc>
      </w:tr>
      <w:tr>
        <w:trPr>
          <w:tblHeader w:val="false"/>
        </w:trPr>
        <w:tc>
          <w:tcPr>
            <w:tcW w:type="dxa" w:w="3400"/>
            <w:tcMar>
              <w:top w:type="dxa" w:w="60"/>
              <w:left w:type="dxa" w:w="100"/>
              <w:bottom w:type="dxa" w:w="60"/>
              <w:right w:type="dxa" w:w="100"/>
            </w:tcMar>
          </w:tcPr>
          <w:p>
            <w:pPr>
              <w:spacing w:after="0" w:line="252"/>
            </w:pPr>
            <w:r>
              <w:rPr>
                <w:rFonts w:ascii="Consolas" w:cs="Consolas" w:eastAsia="Consolas" w:hAnsi="Consolas"/>
                <w:color w:val="333333"/>
                <w:sz w:val="20"/>
                <w:szCs w:val="20"/>
              </w:rPr>
              <w:t xml:space="preserve">blocklist.csv</w:t>
            </w:r>
          </w:p>
        </w:tc>
        <w:tc>
          <w:tcPr>
            <w:tcW w:type="dxa" w:w="6000"/>
            <w:tcMar>
              <w:top w:type="dxa" w:w="60"/>
              <w:left w:type="dxa" w:w="100"/>
              <w:bottom w:type="dxa" w:w="60"/>
              <w:right w:type="dxa" w:w="100"/>
            </w:tcMar>
          </w:tcPr>
          <w:p>
            <w:pPr>
              <w:spacing w:after="0" w:line="252"/>
            </w:pPr>
            <w:r>
              <w:rPr>
                <w:rFonts w:ascii="Calibri" w:cs="Calibri" w:eastAsia="Calibri" w:hAnsi="Calibri"/>
                <w:color w:val="333333"/>
                <w:sz w:val="20"/>
                <w:szCs w:val="20"/>
              </w:rPr>
              <w:t>25 screening entries - a mix of exact-ID rows (13-digit Thai national IDs) and name-only rows, including the inconsistent romanizations your fuzzy match must catch</w:t>
            </w:r>
          </w:p>
        </w:tc>
      </w:tr>
      <w:tr>
        <w:trPr>
          <w:tblHeader w:val="false"/>
        </w:trPr>
        <w:tc>
          <w:tcPr>
            <w:tcW w:type="dxa" w:w="3400"/>
            <w:tcMar>
              <w:top w:type="dxa" w:w="60"/>
              <w:left w:type="dxa" w:w="100"/>
              <w:bottom w:type="dxa" w:w="60"/>
              <w:right w:type="dxa" w:w="100"/>
            </w:tcMar>
          </w:tcPr>
          <w:p>
            <w:pPr>
              <w:spacing w:after="0" w:line="252"/>
            </w:pPr>
            <w:r>
              <w:rPr>
                <w:rFonts w:ascii="Consolas" w:cs="Consolas" w:eastAsia="Consolas" w:hAnsi="Consolas"/>
                <w:color w:val="333333"/>
                <w:sz w:val="20"/>
                <w:szCs w:val="20"/>
              </w:rPr>
              <w:t xml:space="preserve">consent-text-v1.md</w:t>
            </w:r>
          </w:p>
        </w:tc>
        <w:tc>
          <w:tcPr>
            <w:tcW w:type="dxa" w:w="6000"/>
            <w:tcMar>
              <w:top w:type="dxa" w:w="60"/>
              <w:left w:type="dxa" w:w="100"/>
              <w:bottom w:type="dxa" w:w="60"/>
              <w:right w:type="dxa" w:w="100"/>
            </w:tcMar>
          </w:tcPr>
          <w:p>
            <w:pPr>
              <w:spacing w:after="0" w:line="252"/>
            </w:pPr>
            <w:r>
              <w:rPr>
                <w:rFonts w:ascii="Calibri" w:cs="Calibri" w:eastAsia="Calibri" w:hAnsi="Calibri"/>
                <w:color w:val="333333"/>
                <w:sz w:val="20"/>
                <w:szCs w:val="20"/>
              </w:rPr>
              <w:t xml:space="preserve">The versioned consent text and what must be recorded per consent</w:t>
            </w:r>
          </w:p>
        </w:tc>
      </w:tr>
      <w:tr>
        <w:trPr>
          <w:tblHeader w:val="false"/>
        </w:trPr>
        <w:tc>
          <w:tcPr>
            <w:tcW w:type="dxa" w:w="3400"/>
            <w:tcMar>
              <w:top w:type="dxa" w:w="60"/>
              <w:left w:type="dxa" w:w="100"/>
              <w:bottom w:type="dxa" w:w="60"/>
              <w:right w:type="dxa" w:w="100"/>
            </w:tcMar>
          </w:tcPr>
          <w:p>
            <w:pPr>
              <w:spacing w:after="0" w:line="252"/>
            </w:pPr>
            <w:r>
              <w:rPr>
                <w:rFonts w:ascii="Consolas" w:cs="Consolas" w:eastAsia="Consolas" w:hAnsi="Consolas"/>
                <w:color w:val="333333"/>
                <w:sz w:val="20"/>
                <w:szCs w:val="20"/>
              </w:rPr>
              <w:t>mock_verifyme.py</w:t>
            </w:r>
          </w:p>
        </w:tc>
        <w:tc>
          <w:tcPr>
            <w:tcW w:type="dxa" w:w="6000"/>
            <w:tcMar>
              <w:top w:type="dxa" w:w="60"/>
              <w:left w:type="dxa" w:w="100"/>
              <w:bottom w:type="dxa" w:w="60"/>
              <w:right w:type="dxa" w:w="100"/>
            </w:tcMar>
          </w:tcPr>
          <w:p>
            <w:pPr>
              <w:spacing w:after="0" w:line="252"/>
            </w:pPr>
            <w:r>
              <w:rPr>
                <w:rFonts w:ascii="Calibri" w:cs="Calibri" w:eastAsia="Calibri" w:hAnsi="Calibri"/>
                <w:color w:val="333333"/>
                <w:sz w:val="20"/>
                <w:szCs w:val="20"/>
              </w:rPr>
              <w:t>The VerifyMe mock vendor - run it with: pip install fastapi uvicorn httpx &amp;&amp; python mock_verifyme.py (port 9310). Enforces 402/429 and retries webhooks; GET /_admin/billing is what the Day-2 auditor reads</w:t>
            </w:r>
          </w:p>
        </w:tc>
      </w:tr>
      <w:tr>
        <w:trPr>
          <w:tblHeader w:val="false"/>
        </w:trPr>
        <w:tc>
          <w:tcPr>
            <w:tcW w:type="dxa" w:w="3400"/>
            <w:tcMar>
              <w:top w:type="dxa" w:w="60"/>
              <w:left w:type="dxa" w:w="100"/>
              <w:bottom w:type="dxa" w:w="60"/>
              <w:right w:type="dxa" w:w="100"/>
            </w:tcMar>
          </w:tcPr>
          <w:p>
            <w:pPr>
              <w:spacing w:after="0" w:line="252"/>
            </w:pPr>
            <w:r>
              <w:rPr>
                <w:rFonts w:ascii="Consolas" w:cs="Consolas" w:eastAsia="Consolas" w:hAnsi="Consolas"/>
                <w:color w:val="333333"/>
                <w:sz w:val="20"/>
                <w:szCs w:val="20"/>
              </w:rPr>
              <w:t>sample-images/</w:t>
            </w:r>
          </w:p>
        </w:tc>
        <w:tc>
          <w:tcPr>
            <w:tcW w:type="dxa" w:w="6000"/>
            <w:tcMar>
              <w:top w:type="dxa" w:w="60"/>
              <w:left w:type="dxa" w:w="100"/>
              <w:bottom w:type="dxa" w:w="60"/>
              <w:right w:type="dxa" w:w="100"/>
            </w:tcMar>
          </w:tcPr>
          <w:p>
            <w:pPr>
              <w:spacing w:after="0" w:line="252"/>
            </w:pPr>
            <w:r>
              <w:rPr>
                <w:rFonts w:ascii="Calibri" w:cs="Calibri" w:eastAsia="Calibri" w:hAnsi="Calibri"/>
                <w:color w:val="333333"/>
                <w:sz w:val="20"/>
                <w:szCs w:val="20"/>
              </w:rPr>
              <w:t>Base64 ID-card and selfie payloads plus a ready-to-post sample-submit.json</w:t>
            </w:r>
          </w:p>
        </w:tc>
      </w:tr>
      <w:tr>
        <w:trPr>
          <w:tblHeader w:val="false"/>
        </w:trPr>
        <w:tc>
          <w:tcPr>
            <w:tcW w:type="dxa" w:w="3400"/>
            <w:tcMar>
              <w:top w:type="dxa" w:w="60"/>
              <w:left w:type="dxa" w:w="100"/>
              <w:bottom w:type="dxa" w:w="60"/>
              <w:right w:type="dxa" w:w="100"/>
            </w:tcMar>
          </w:tcPr>
          <w:p>
            <w:pPr>
              <w:spacing w:after="0" w:line="252"/>
            </w:pPr>
            <w:r>
              <w:rPr>
                <w:rFonts w:ascii="Consolas" w:cs="Consolas" w:eastAsia="Consolas" w:hAnsi="Consolas"/>
                <w:color w:val="333333"/>
                <w:sz w:val="20"/>
                <w:szCs w:val="20"/>
              </w:rPr>
              <w:t>stakeholder-notes.md</w:t>
            </w:r>
          </w:p>
        </w:tc>
        <w:tc>
          <w:tcPr>
            <w:tcW w:type="dxa" w:w="6000"/>
            <w:tcMar>
              <w:top w:type="dxa" w:w="60"/>
              <w:left w:type="dxa" w:w="100"/>
              <w:bottom w:type="dxa" w:w="60"/>
              <w:right w:type="dxa" w:w="100"/>
            </w:tcMar>
          </w:tcPr>
          <w:p>
            <w:pPr>
              <w:spacing w:after="0" w:line="252"/>
            </w:pPr>
            <w:r>
              <w:rPr>
                <w:rFonts w:ascii="Calibri" w:cs="Calibri" w:eastAsia="Calibri" w:hAnsi="Calibri"/>
                <w:color w:val="333333"/>
                <w:sz w:val="20"/>
                <w:szCs w:val="20"/>
              </w:rPr>
              <w:t>Raw interview notes from Compliance, Operations, the Vendor Manager, the mobile squad and Finance - two real contradictions, and one instruction you must NOT follow</w:t>
            </w:r>
          </w:p>
        </w:tc>
      </w:tr>
      <w:tr>
        <w:trPr>
          <w:tblHeader w:val="false"/>
        </w:trPr>
        <w:tc>
          <w:tcPr>
            <w:tcW w:type="dxa" w:w="3400"/>
            <w:tcMar>
              <w:top w:type="dxa" w:w="60"/>
              <w:left w:type="dxa" w:w="100"/>
              <w:bottom w:type="dxa" w:w="60"/>
              <w:right w:type="dxa" w:w="100"/>
            </w:tcMar>
          </w:tcPr>
          <w:p>
            <w:pPr>
              <w:spacing w:after="0" w:line="252"/>
            </w:pPr>
            <w:r>
              <w:rPr>
                <w:rFonts w:ascii="Consolas" w:cs="Consolas" w:eastAsia="Consolas" w:hAnsi="Consolas"/>
                <w:color w:val="333333"/>
                <w:sz w:val="20"/>
                <w:szCs w:val="20"/>
              </w:rPr>
              <w:t>local-environment/</w:t>
            </w:r>
          </w:p>
        </w:tc>
        <w:tc>
          <w:tcPr>
            <w:tcW w:type="dxa" w:w="6000"/>
            <w:tcMar>
              <w:top w:type="dxa" w:w="60"/>
              <w:left w:type="dxa" w:w="100"/>
              <w:bottom w:type="dxa" w:w="60"/>
              <w:right w:type="dxa" w:w="100"/>
            </w:tcMar>
          </w:tcPr>
          <w:p>
            <w:pPr>
              <w:spacing w:after="0" w:line="252"/>
            </w:pPr>
            <w:r>
              <w:rPr>
                <w:rFonts w:ascii="Calibri" w:cs="Calibri" w:eastAsia="Calibri" w:hAnsi="Calibri"/>
                <w:color w:val="333333"/>
                <w:sz w:val="20"/>
                <w:szCs w:val="20"/>
              </w:rPr>
              <w:t>Python 3.12 + a local PostgreSQL, and nothing else. There is deliberately no starter project: in a regulated build the framework, layout, test runner and data access have to be chosen and defended at a gate, not inherited. local-environment/ holds only a docker-compose.yml for the database - run docker compose up -d &amp;&amp; python check_db.py before you start.</w:t>
            </w:r>
          </w:p>
        </w:tc>
      </w:tr>
      <w:tr>
        <w:trPr>
          <w:tblHeader w:val="false"/>
        </w:trPr>
        <w:tc>
          <w:tcPr>
            <w:tcW w:type="dxa" w:w="3400"/>
            <w:tcMar>
              <w:top w:type="dxa" w:w="60"/>
              <w:left w:type="dxa" w:w="100"/>
              <w:bottom w:type="dxa" w:w="60"/>
              <w:right w:type="dxa" w:w="100"/>
            </w:tcMar>
          </w:tcPr>
          <w:p>
            <w:pPr>
              <w:spacing w:after="0" w:line="252"/>
            </w:pPr>
            <w:r>
              <w:rPr>
                <w:rFonts w:ascii="Consolas" w:cs="Consolas" w:eastAsia="Consolas" w:hAnsi="Consolas"/>
                <w:color w:val="333333"/>
                <w:sz w:val="20"/>
                <w:szCs w:val="20"/>
              </w:rPr>
              <w:t>team-log.md</w:t>
            </w:r>
          </w:p>
        </w:tc>
        <w:tc>
          <w:tcPr>
            <w:tcW w:type="dxa" w:w="6000"/>
            <w:tcMar>
              <w:top w:type="dxa" w:w="60"/>
              <w:left w:type="dxa" w:w="100"/>
              <w:bottom w:type="dxa" w:w="60"/>
              <w:right w:type="dxa" w:w="100"/>
            </w:tcMar>
          </w:tcPr>
          <w:p>
            <w:pPr>
              <w:spacing w:after="0" w:line="252"/>
            </w:pPr>
            <w:r>
              <w:rPr>
                <w:rFonts w:ascii="Calibri" w:cs="Calibri" w:eastAsia="Calibri" w:hAnsi="Calibri"/>
                <w:color w:val="333333"/>
                <w:sz w:val="20"/>
                <w:szCs w:val="20"/>
              </w:rPr>
              <w:t>Your decision log, gate record and retro. The Scribe fills it in AS YOU GO - it is what the facilitator reads when scoring decision quality, and it cannot be reconstructed convincingly on Day 2 afternoon</w:t>
            </w:r>
          </w:p>
        </w:tc>
      </w:tr>
      <w:tr>
        <w:trPr>
          <w:tblHeader w:val="false"/>
        </w:trPr>
        <w:tc>
          <w:tcPr>
            <w:tcW w:type="dxa" w:w="3400"/>
            <w:tcMar>
              <w:top w:type="dxa" w:w="60"/>
              <w:left w:type="dxa" w:w="100"/>
              <w:bottom w:type="dxa" w:w="60"/>
              <w:right w:type="dxa" w:w="100"/>
            </w:tcMar>
          </w:tcPr>
          <w:p>
            <w:pPr>
              <w:spacing w:after="0" w:line="252"/>
            </w:pPr>
            <w:r>
              <w:rPr>
                <w:rFonts w:ascii="Consolas" w:cs="Consolas" w:eastAsia="Consolas" w:hAnsi="Consolas"/>
                <w:color w:val="333333"/>
                <w:sz w:val="20"/>
                <w:szCs w:val="20"/>
              </w:rPr>
              <w:t>traceability-worksheet.md</w:t>
            </w:r>
          </w:p>
        </w:tc>
        <w:tc>
          <w:tcPr>
            <w:tcW w:type="dxa" w:w="6000"/>
            <w:tcMar>
              <w:top w:type="dxa" w:w="60"/>
              <w:left w:type="dxa" w:w="100"/>
              <w:bottom w:type="dxa" w:w="60"/>
              <w:right w:type="dxa" w:w="100"/>
            </w:tcMar>
          </w:tcPr>
          <w:p>
            <w:pPr>
              <w:spacing w:after="0" w:line="252"/>
            </w:pPr>
            <w:r>
              <w:rPr>
                <w:rFonts w:ascii="Calibri" w:cs="Calibri" w:eastAsia="Calibri" w:hAnsi="Calibri"/>
                <w:color w:val="333333"/>
                <w:sz w:val="20"/>
                <w:szCs w:val="20"/>
              </w:rPr>
              <w:t>Fill this in on Day 2 BEFORE your demo. Pick five behaviours your system has and walk each one backwards to the sentence that caused it. This is what your demo is built on, and it is the thing you actually take home</w:t>
            </w:r>
          </w:p>
        </w:tc>
      </w:tr>
    </w:tbl>
    <w:p>
      <w:pPr>
        <w:pStyle w:val="Heading1"/>
        <w:spacing w:after="140" w:before="300"/>
      </w:pPr>
      <w:r>
        <w:rPr>
          <w:rFonts w:ascii="Calibri" w:cs="Calibri" w:eastAsia="Calibri" w:hAnsi="Calibri"/>
          <w:b/>
          <w:bCs/>
          <w:color w:val="232F3E"/>
        </w:rPr>
        <w:t xml:space="preserve">4. How to start</w:t>
      </w:r>
    </w:p>
    <w:p>
      <w:pPr>
        <w:spacing w:after="120" w:line="276"/>
      </w:pPr>
      <w:r>
        <w:rPr>
          <w:rFonts w:ascii="Calibri" w:cs="Calibri" w:eastAsia="Calibri" w:hAnsi="Calibri"/>
          <w:color w:val="333333"/>
          <w:sz w:val="22"/>
          <w:szCs w:val="22"/>
        </w:rPr>
        <w:t xml:space="preserve">After setup (see the Participant Guide), open a fresh session in your workspace and paste exactly:</w:t>
      </w:r>
    </w:p>
    <w:p>
      <w:pPr>
        <w:shd w:fill="F0F3F7" w:val="clear"/>
        <w:spacing w:after="160" w:before="80"/>
        <w:ind w:left="200" w:right="200"/>
      </w:pPr>
      <w:r>
        <w:rPr>
          <w:rFonts w:ascii="Consolas" w:cs="Consolas" w:eastAsia="Consolas" w:hAnsi="Consolas"/>
          <w:color w:val="232F3E"/>
          <w:sz w:val="20"/>
          <w:szCs w:val="20"/>
        </w:rPr>
        <w:t xml:space="preserve">Using AI-DLC, build the SwiftKYC customer onboarding API described in vision-document.md and technical-environment.md in this workspace. This is a new greenfield project in a regulated environment.</w:t>
      </w:r>
    </w:p>
    <w:p>
      <w:pPr>
        <w:spacing w:after="120" w:line="276"/>
      </w:pPr>
      <w:r>
        <w:rPr>
          <w:rFonts w:ascii="Calibri" w:cs="Calibri" w:eastAsia="Calibri" w:hAnsi="Calibri"/>
          <w:b/>
          <w:bCs/>
          <w:color w:val="333333"/>
          <w:sz w:val="22"/>
          <w:szCs w:val="22"/>
        </w:rPr>
        <w:t xml:space="preserve">Then let the workflow lead. </w:t>
      </w:r>
      <w:r>
        <w:rPr>
          <w:rFonts w:ascii="Calibri" w:cs="Calibri" w:eastAsia="Calibri" w:hAnsi="Calibri"/>
          <w:color w:val="333333"/>
          <w:sz w:val="22"/>
          <w:szCs w:val="22"/>
        </w:rPr>
        <w:t xml:space="preserve">Answer its question files from your documents. Where documents conflict, your Product Owner decides and the Scribe records why.</w:t>
      </w:r>
    </w:p>
    <w:p>
      <w:pPr>
        <w:pStyle w:val="Heading1"/>
        <w:spacing w:after="140" w:before="300"/>
      </w:pPr>
      <w:r>
        <w:rPr>
          <w:rFonts w:ascii="Calibri" w:cs="Calibri" w:eastAsia="Calibri" w:hAnsi="Calibri"/>
          <w:b/>
          <w:bCs/>
          <w:color w:val="232F3E"/>
        </w:rPr>
        <w:t xml:space="preserve">5. Expected shape of your two days</w:t>
      </w:r>
    </w:p>
    <w:tbl>
      <w:tblPr>
        <w:tblW w:type="dxa" w:w="9400"/>
        <w:tblBorders>
          <w:top w:val="single" w:color="C9D2DC" w:sz="4"/>
          <w:left w:val="single" w:color="C9D2DC" w:sz="4"/>
          <w:bottom w:val="single" w:color="C9D2DC" w:sz="4"/>
          <w:right w:val="single" w:color="C9D2DC" w:sz="4"/>
          <w:insideH w:val="single" w:color="C9D2DC" w:sz="4"/>
          <w:insideV w:val="single" w:color="C9D2DC" w:sz="4"/>
        </w:tblBorders>
      </w:tblPr>
      <w:tblGrid>
        <w:gridCol w:w="2100"/>
        <w:gridCol w:w="7300"/>
      </w:tblGrid>
      <w:tr>
        <w:trPr>
          <w:tblHeader/>
        </w:trPr>
        <w:tc>
          <w:tcPr>
            <w:tcW w:type="dxa" w:w="2100"/>
            <w:shd w:fill="232F3E"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When</w:t>
            </w:r>
          </w:p>
        </w:tc>
        <w:tc>
          <w:tcPr>
            <w:tcW w:type="dxa" w:w="7300"/>
            <w:shd w:fill="232F3E"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You should be…</w:t>
            </w:r>
          </w:p>
        </w:tc>
      </w:tr>
      <w:tr>
        <w:trPr>
          <w:tblHeader w:val="false"/>
        </w:trPr>
        <w:tc>
          <w:tcPr>
            <w:tcW w:type="dxa" w:w="2100"/>
            <w:tcMar>
              <w:top w:type="dxa" w:w="60"/>
              <w:left w:type="dxa" w:w="100"/>
              <w:bottom w:type="dxa" w:w="60"/>
              <w:right w:type="dxa" w:w="100"/>
            </w:tcMar>
          </w:tcPr>
          <w:p>
            <w:pPr>
              <w:spacing w:after="0" w:line="252"/>
            </w:pPr>
            <w:r>
              <w:rPr>
                <w:rFonts w:ascii="Calibri" w:cs="Calibri" w:eastAsia="Calibri" w:hAnsi="Calibri"/>
                <w:b/>
                <w:bCs/>
                <w:color w:val="333333"/>
                <w:sz w:val="20"/>
                <w:szCs w:val="20"/>
              </w:rPr>
              <w:t xml:space="preserve">Day 1 morning</w:t>
            </w:r>
          </w:p>
        </w:tc>
        <w:tc>
          <w:tcPr>
            <w:tcW w:type="dxa" w:w="7300"/>
            <w:tcMar>
              <w:top w:type="dxa" w:w="60"/>
              <w:left w:type="dxa" w:w="100"/>
              <w:bottom w:type="dxa" w:w="60"/>
              <w:right w:type="dxa" w:w="100"/>
            </w:tcMar>
          </w:tcPr>
          <w:p>
            <w:pPr>
              <w:spacing w:after="0" w:line="252"/>
            </w:pPr>
            <w:r>
              <w:rPr>
                <w:rFonts w:ascii="Calibri" w:cs="Calibri" w:eastAsia="Calibri" w:hAnsi="Calibri"/>
                <w:color w:val="333333"/>
                <w:sz w:val="20"/>
                <w:szCs w:val="20"/>
              </w:rPr>
              <w:t xml:space="preserve">Requirements Analysis with Security extension OPT-IN recorded; stories drafted</w:t>
            </w:r>
          </w:p>
        </w:tc>
      </w:tr>
      <w:tr>
        <w:trPr>
          <w:tblHeader w:val="false"/>
        </w:trPr>
        <w:tc>
          <w:tcPr>
            <w:tcW w:type="dxa" w:w="2100"/>
            <w:tcMar>
              <w:top w:type="dxa" w:w="60"/>
              <w:left w:type="dxa" w:w="100"/>
              <w:bottom w:type="dxa" w:w="60"/>
              <w:right w:type="dxa" w:w="100"/>
            </w:tcMar>
          </w:tcPr>
          <w:p>
            <w:pPr>
              <w:spacing w:after="0" w:line="252"/>
            </w:pPr>
            <w:r>
              <w:rPr>
                <w:rFonts w:ascii="Calibri" w:cs="Calibri" w:eastAsia="Calibri" w:hAnsi="Calibri"/>
                <w:b/>
                <w:bCs/>
                <w:color w:val="333333"/>
                <w:sz w:val="20"/>
                <w:szCs w:val="20"/>
              </w:rPr>
              <w:t xml:space="preserve">Day 1 afternoon</w:t>
            </w:r>
          </w:p>
        </w:tc>
        <w:tc>
          <w:tcPr>
            <w:tcW w:type="dxa" w:w="7300"/>
            <w:tcMar>
              <w:top w:type="dxa" w:w="60"/>
              <w:left w:type="dxa" w:w="100"/>
              <w:bottom w:type="dxa" w:w="60"/>
              <w:right w:type="dxa" w:w="100"/>
            </w:tcMar>
          </w:tcPr>
          <w:p>
            <w:pPr>
              <w:spacing w:after="0" w:line="252"/>
            </w:pPr>
            <w:r>
              <w:rPr>
                <w:rFonts w:ascii="Calibri" w:cs="Calibri" w:eastAsia="Calibri" w:hAnsi="Calibri"/>
                <w:color w:val="333333"/>
                <w:sz w:val="20"/>
                <w:szCs w:val="20"/>
              </w:rPr>
              <w:t xml:space="preserve">Execution plan approved; Application Design with the state machine + security NFRs; 2 units (application-lifecycle / verification-integration)</w:t>
            </w:r>
          </w:p>
        </w:tc>
      </w:tr>
      <w:tr>
        <w:trPr>
          <w:tblHeader w:val="false"/>
        </w:trPr>
        <w:tc>
          <w:tcPr>
            <w:tcW w:type="dxa" w:w="2100"/>
            <w:tcMar>
              <w:top w:type="dxa" w:w="60"/>
              <w:left w:type="dxa" w:w="100"/>
              <w:bottom w:type="dxa" w:w="60"/>
              <w:right w:type="dxa" w:w="100"/>
            </w:tcMar>
          </w:tcPr>
          <w:p>
            <w:pPr>
              <w:spacing w:after="0" w:line="252"/>
            </w:pPr>
            <w:r>
              <w:rPr>
                <w:rFonts w:ascii="Calibri" w:cs="Calibri" w:eastAsia="Calibri" w:hAnsi="Calibri"/>
                <w:b/>
                <w:bCs/>
                <w:color w:val="333333"/>
                <w:sz w:val="20"/>
                <w:szCs w:val="20"/>
              </w:rPr>
              <w:t xml:space="preserve">Day 2 morning</w:t>
            </w:r>
          </w:p>
        </w:tc>
        <w:tc>
          <w:tcPr>
            <w:tcW w:type="dxa" w:w="7300"/>
            <w:tcMar>
              <w:top w:type="dxa" w:w="60"/>
              <w:left w:type="dxa" w:w="100"/>
              <w:bottom w:type="dxa" w:w="60"/>
              <w:right w:type="dxa" w:w="100"/>
            </w:tcMar>
          </w:tcPr>
          <w:p>
            <w:pPr>
              <w:spacing w:after="0" w:line="252"/>
            </w:pPr>
            <w:r>
              <w:rPr>
                <w:rFonts w:ascii="Calibri" w:cs="Calibri" w:eastAsia="Calibri" w:hAnsi="Calibri"/>
                <w:color w:val="333333"/>
                <w:sz w:val="20"/>
                <w:szCs w:val="20"/>
              </w:rPr>
              <w:t xml:space="preserve">Construction: lifecycle + consent + blocklist unit done; webhook handling underway</w:t>
            </w:r>
          </w:p>
        </w:tc>
      </w:tr>
      <w:tr>
        <w:trPr>
          <w:tblHeader w:val="false"/>
        </w:trPr>
        <w:tc>
          <w:tcPr>
            <w:tcW w:type="dxa" w:w="2100"/>
            <w:tcMar>
              <w:top w:type="dxa" w:w="60"/>
              <w:left w:type="dxa" w:w="100"/>
              <w:bottom w:type="dxa" w:w="60"/>
              <w:right w:type="dxa" w:w="100"/>
            </w:tcMar>
          </w:tcPr>
          <w:p>
            <w:pPr>
              <w:spacing w:after="0" w:line="252"/>
            </w:pPr>
            <w:r>
              <w:rPr>
                <w:rFonts w:ascii="Calibri" w:cs="Calibri" w:eastAsia="Calibri" w:hAnsi="Calibri"/>
                <w:b/>
                <w:bCs/>
                <w:color w:val="333333"/>
                <w:sz w:val="20"/>
                <w:szCs w:val="20"/>
              </w:rPr>
              <w:t xml:space="preserve">Day 2 afternoon</w:t>
            </w:r>
          </w:p>
        </w:tc>
        <w:tc>
          <w:tcPr>
            <w:tcW w:type="dxa" w:w="7300"/>
            <w:tcMar>
              <w:top w:type="dxa" w:w="60"/>
              <w:left w:type="dxa" w:w="100"/>
              <w:bottom w:type="dxa" w:w="60"/>
              <w:right w:type="dxa" w:w="100"/>
            </w:tcMar>
          </w:tcPr>
          <w:p>
            <w:pPr>
              <w:spacing w:after="0" w:line="252"/>
            </w:pPr>
            <w:r>
              <w:rPr>
                <w:rFonts w:ascii="Calibri" w:cs="Calibri" w:eastAsia="Calibri" w:hAnsi="Calibri"/>
                <w:color w:val="333333"/>
                <w:sz w:val="20"/>
                <w:szCs w:val="20"/>
              </w:rPr>
              <w:t xml:space="preserve">Build &amp; Test; audit walkthrough with the facilitator; demo the four mock verification outcomes incl. the duplicate-webhook case</w:t>
            </w:r>
          </w:p>
        </w:tc>
      </w:tr>
    </w:tbl>
    <w:p>
      <w:pPr>
        <w:pStyle w:val="Heading1"/>
        <w:spacing w:after="140" w:before="300"/>
      </w:pPr>
      <w:r>
        <w:rPr>
          <w:rFonts w:ascii="Calibri" w:cs="Calibri" w:eastAsia="Calibri" w:hAnsi="Calibri"/>
          <w:b/>
          <w:bCs/>
          <w:color w:val="232F3E"/>
        </w:rPr>
        <w:t xml:space="preserve">6. Definition of Done</w:t>
      </w:r>
    </w:p>
    <w:p>
      <w:pPr>
        <w:pStyle w:val="ListParagraph"/>
        <w:numPr>
          <w:ilvl w:val="0"/>
          <w:numId w:val="2"/>
        </w:numPr>
        <w:spacing w:after="70" w:line="264"/>
      </w:pPr>
      <w:r>
        <w:rPr>
          <w:rFonts w:ascii="Calibri" w:cs="Calibri" w:eastAsia="Calibri" w:hAnsi="Calibri"/>
          <w:color w:val="333333"/>
          <w:sz w:val="22"/>
          <w:szCs w:val="22"/>
        </w:rPr>
        <w:t>All application states reachable via the mock's scripted outcomes (auto-approve / manual review / reject / vendor failure)</w:t>
      </w:r>
    </w:p>
    <w:p>
      <w:pPr>
        <w:pStyle w:val="ListParagraph"/>
        <w:numPr>
          <w:ilvl w:val="0"/>
          <w:numId w:val="2"/>
        </w:numPr>
        <w:spacing w:after="70" w:line="264"/>
      </w:pPr>
      <w:r>
        <w:rPr>
          <w:rFonts w:ascii="Calibri" w:cs="Calibri" w:eastAsia="Calibri" w:hAnsi="Calibri"/>
          <w:color w:val="333333"/>
          <w:sz w:val="22"/>
          <w:szCs w:val="22"/>
        </w:rPr>
        <w:t xml:space="preserve">Duplicate webhook (reference ending in 8) processed exactly once; signature verified; unsigned requests rejected</w:t>
      </w:r>
    </w:p>
    <w:p>
      <w:pPr>
        <w:pStyle w:val="ListParagraph"/>
        <w:numPr>
          <w:ilvl w:val="0"/>
          <w:numId w:val="2"/>
        </w:numPr>
        <w:spacing w:after="70" w:line="264"/>
      </w:pPr>
      <w:r>
        <w:rPr>
          <w:rFonts w:ascii="Calibri" w:cs="Calibri" w:eastAsia="Calibri" w:hAnsi="Calibri"/>
          <w:color w:val="333333"/>
          <w:sz w:val="22"/>
          <w:szCs w:val="22"/>
        </w:rPr>
        <w:t>Zero duplicate vendor submissions per application - GET /_admin/billing shows an empty double_billed map; re-verification is an explicit OPS_REVIEWER action</w:t>
      </w:r>
    </w:p>
    <w:p>
      <w:pPr>
        <w:pStyle w:val="ListParagraph"/>
        <w:numPr>
          <w:ilvl w:val="0"/>
          <w:numId w:val="2"/>
        </w:numPr>
        <w:spacing w:after="70" w:line="264"/>
      </w:pPr>
      <w:r>
        <w:rPr>
          <w:rFonts w:ascii="Calibri" w:cs="Calibri" w:eastAsia="Calibri" w:hAnsi="Calibri"/>
          <w:color w:val="333333"/>
          <w:sz w:val="22"/>
          <w:szCs w:val="22"/>
        </w:rPr>
        <w:t xml:space="preserve">ID numbers encrypted at rest and masked in 100% of log lines (auditor will grep your logs)</w:t>
      </w:r>
    </w:p>
    <w:p>
      <w:pPr>
        <w:pStyle w:val="ListParagraph"/>
        <w:numPr>
          <w:ilvl w:val="0"/>
          <w:numId w:val="2"/>
        </w:numPr>
        <w:spacing w:after="70" w:line="264"/>
      </w:pPr>
      <w:r>
        <w:rPr>
          <w:rFonts w:ascii="Calibri" w:cs="Calibri" w:eastAsia="Calibri" w:hAnsi="Calibri"/>
          <w:color w:val="333333"/>
          <w:sz w:val="22"/>
          <w:szCs w:val="22"/>
        </w:rPr>
        <w:t>Blocklist screening stops every reference that should be stopped. Several listed identities pass face match at 0.97, so face match alone will not do it - work out which references those are, and why</w:t>
      </w:r>
    </w:p>
    <w:p>
      <w:pPr>
        <w:pStyle w:val="ListParagraph"/>
        <w:numPr>
          <w:ilvl w:val="0"/>
          <w:numId w:val="2"/>
        </w:numPr>
        <w:spacing w:after="70" w:line="264"/>
      </w:pPr>
      <w:r>
        <w:rPr>
          <w:rFonts w:ascii="Calibri" w:cs="Calibri" w:eastAsia="Calibri" w:hAnsi="Calibri"/>
          <w:color w:val="333333"/>
          <w:sz w:val="22"/>
          <w:szCs w:val="22"/>
        </w:rPr>
        <w:t>The operations review screen works: the queue oldest-first with the score visible, the ID card and the selfie side by side, approve/reject with a reason. The auditor will look at the screen, not only at your logs</w:t>
      </w:r>
    </w:p>
    <w:p>
      <w:pPr>
        <w:pStyle w:val="ListParagraph"/>
        <w:numPr>
          <w:ilvl w:val="0"/>
          <w:numId w:val="2"/>
        </w:numPr>
        <w:spacing w:after="70" w:line="264"/>
      </w:pPr>
      <w:r>
        <w:rPr>
          <w:rFonts w:ascii="Calibri" w:cs="Calibri" w:eastAsia="Calibri" w:hAnsi="Calibri"/>
          <w:color w:val="333333"/>
          <w:sz w:val="22"/>
          <w:szCs w:val="22"/>
        </w:rPr>
        <w:t>Erasure endpoint purges biometrics but retains the 7-year audit skeleton</w:t>
      </w:r>
    </w:p>
    <w:p>
      <w:pPr>
        <w:pStyle w:val="ListParagraph"/>
        <w:numPr>
          <w:ilvl w:val="0"/>
          <w:numId w:val="2"/>
        </w:numPr>
        <w:spacing w:after="70" w:line="264"/>
      </w:pPr>
      <w:r>
        <w:rPr>
          <w:rFonts w:ascii="Calibri" w:cs="Calibri" w:eastAsia="Calibri" w:hAnsi="Calibri"/>
          <w:color w:val="333333"/>
          <w:sz w:val="22"/>
          <w:szCs w:val="22"/>
        </w:rPr>
        <w:t xml:space="preserve">aidlc-docs/ complete, with the Security extension decision and its consequences visible in the design docs</w:t>
      </w:r>
    </w:p>
    <w:p>
      <w:pPr>
        <w:pStyle w:val="Heading1"/>
        <w:spacing w:after="140" w:before="300"/>
      </w:pPr>
      <w:r>
        <w:rPr>
          <w:rFonts w:ascii="Calibri" w:cs="Calibri" w:eastAsia="Calibri" w:hAnsi="Calibri"/>
          <w:b/>
          <w:bCs/>
          <w:color w:val="232F3E"/>
        </w:rPr>
        <w:t xml:space="preserve">7. Ground rules</w:t>
      </w:r>
    </w:p>
    <w:p>
      <w:pPr>
        <w:pStyle w:val="ListParagraph"/>
        <w:numPr>
          <w:ilvl w:val="0"/>
          <w:numId w:val="2"/>
        </w:numPr>
        <w:spacing w:after="70" w:line="264"/>
      </w:pPr>
      <w:r>
        <w:rPr>
          <w:rFonts w:ascii="Calibri" w:cs="Calibri" w:eastAsia="Calibri" w:hAnsi="Calibri"/>
          <w:color w:val="333333"/>
          <w:sz w:val="22"/>
          <w:szCs w:val="22"/>
        </w:rPr>
        <w:t xml:space="preserve">Do not call any real service — the mock is the only network dependency</w:t>
      </w:r>
    </w:p>
    <w:p>
      <w:pPr>
        <w:pStyle w:val="ListParagraph"/>
        <w:numPr>
          <w:ilvl w:val="0"/>
          <w:numId w:val="2"/>
        </w:numPr>
        <w:spacing w:after="70" w:line="264"/>
      </w:pPr>
      <w:r>
        <w:rPr>
          <w:rFonts w:ascii="Calibri" w:cs="Calibri" w:eastAsia="Calibri" w:hAnsi="Calibri"/>
          <w:color w:val="333333"/>
          <w:sz w:val="22"/>
          <w:szCs w:val="22"/>
        </w:rPr>
        <w:t xml:space="preserve">Credit scoring is out of scope; your service ends at the identity decision</w:t>
      </w:r>
    </w:p>
    <w:p>
      <w:pPr>
        <w:pStyle w:val="ListParagraph"/>
        <w:numPr>
          <w:ilvl w:val="0"/>
          <w:numId w:val="2"/>
        </w:numPr>
        <w:spacing w:after="70" w:line="264"/>
      </w:pPr>
      <w:r>
        <w:rPr>
          <w:rFonts w:ascii="Calibri" w:cs="Calibri" w:eastAsia="Calibri" w:hAnsi="Calibri"/>
          <w:color w:val="333333"/>
          <w:sz w:val="22"/>
          <w:szCs w:val="22"/>
        </w:rPr>
        <w:t xml:space="preserve">If the Security extension's rules block a gate, fix the design — do not talk the AI out of the rule</w:t>
      </w:r>
    </w:p>
    <w:p>
      <w:pPr>
        <w:pBdr>
          <w:left w:val="single" w:color="E8590C" w:sz="18"/>
        </w:pBdr>
        <w:shd w:fill="FDEFE6" w:val="clear"/>
        <w:spacing w:after="160" w:before="120"/>
        <w:ind w:left="200" w:right="200"/>
      </w:pPr>
      <w:r>
        <w:rPr>
          <w:rFonts w:ascii="Calibri" w:cs="Calibri" w:eastAsia="Calibri" w:hAnsi="Calibri"/>
          <w:b/>
          <w:bCs/>
          <w:color w:val="E8590C"/>
          <w:sz w:val="22"/>
          <w:szCs w:val="22"/>
        </w:rPr>
        <w:t>Remember  You are not judged on how much code you produce. You are judged on whether the process would survive contact with a real project: gates honored, decisions recorded, nothing vibe-coded - and on whether you can still explain, two days later, WHY your software does what it does.</w:t>
      </w:r>
      <w:r>
        <w:rPr>
          <w:rFonts w:ascii="Calibri" w:cs="Calibri" w:eastAsia="Calibri" w:hAnsi="Calibri"/>
          <w:color w:val="333333"/>
          <w:sz w:val="22"/>
          <w:szCs w:val="22"/>
        </w:rPr>
      </w:r>
    </w:p>
    <w:sectPr>
      <w:pgSz w:w="11906" w:h="16838" w:orient="portrait"/>
      <w:pgMar w:top="1080" w:right="1240" w:bottom="1080" w:left="12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abstractNum w:abstractNumId="3" w15:restartNumberingAfterBreak="0">
    <w:multiLevelType w:val="hybridMultilevel"/>
    <w:lvl w:ilvl="0" w15:tentative="1">
      <w:start w:val="1"/>
      <w:numFmt w:val="decimal"/>
      <w:lvlText w:val="%1."/>
      <w:lvlJc w:val="lef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2026-08-10T03:52:40.112Z</dcterms:created>
  <dcterms:modified xsi:type="dcterms:W3CDTF">2026-08-10T03:52:40.112Z</dcterms:modified>
</cp:coreProperties>
</file>

<file path=docProps/custom.xml><?xml version="1.0" encoding="utf-8"?>
<Properties xmlns="http://schemas.openxmlformats.org/officeDocument/2006/custom-properties" xmlns:vt="http://schemas.openxmlformats.org/officeDocument/2006/docPropsVTypes"/>
</file>