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GROUP 3 · LOGISTICS · BROWNFIELD FEATURE</w:t>
      </w:r>
    </w:p>
    <w:p>
      <w:pPr>
        <w:spacing w:after="120"/>
      </w:pPr>
      <w:r>
        <w:rPr>
          <w:rFonts w:ascii="Calibri" w:cs="Calibri" w:eastAsia="Calibri" w:hAnsi="Calibri"/>
          <w:b/>
          <w:bCs/>
          <w:color w:val="232F3E"/>
          <w:sz w:val="56"/>
          <w:szCs w:val="56"/>
        </w:rPr>
        <w:t xml:space="preserve">ParcelTrack</w:t>
      </w:r>
    </w:p>
    <w:p>
      <w:pPr>
        <w:spacing w:after="200"/>
      </w:pPr>
      <w:r>
        <w:rPr>
          <w:rFonts w:ascii="Calibri" w:cs="Calibri" w:eastAsia="Calibri" w:hAnsi="Calibri"/>
          <w:color w:val="6B7A8F"/>
          <w:sz w:val="26"/>
          <w:szCs w:val="26"/>
        </w:rPr>
        <w:t xml:space="preserve">COD Reconciliation &amp; Merchant Webhooks for Thunder Express</w:t>
      </w:r>
    </w:p>
    <w:p>
      <w:pPr>
        <w:spacing w:after="40"/>
      </w:pPr>
      <w:r>
        <w:rPr>
          <w:rFonts w:ascii="Calibri" w:cs="Calibri" w:eastAsia="Calibri" w:hAnsi="Calibri"/>
          <w:color w:val="6B7A8F"/>
          <w:sz w:val="20"/>
          <w:szCs w:val="20"/>
        </w:rPr>
        <w:t xml:space="preserve">AI-DLC V1 Workshop · 2 days</w:t>
      </w:r>
    </w:p>
    <w:p>
      <w:pPr>
        <w:spacing w:after="40"/>
      </w:pPr>
      <w:r>
        <w:rPr>
          <w:rFonts w:ascii="Calibri" w:cs="Calibri" w:eastAsia="Calibri" w:hAnsi="Calibri"/>
          <w:color w:val="6B7A8F"/>
          <w:sz w:val="20"/>
          <w:szCs w:val="20"/>
        </w:rPr>
        <w:t xml:space="preserve">Read everything in your folder before answering the AI's first question.</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The situation</w:t>
      </w:r>
    </w:p>
    <w:p>
      <w:pPr>
        <w:spacing w:after="120" w:line="276"/>
      </w:pPr>
      <w:r>
        <w:rPr>
          <w:rFonts w:ascii="Calibri" w:cs="Calibri" w:eastAsia="Calibri" w:hAnsi="Calibri"/>
          <w:color w:val="333333"/>
          <w:sz w:val="22"/>
          <w:szCs w:val="22"/>
        </w:rPr>
        <w:t xml:space="preserve">Thunder Express delivers 12,000 parcels a day, 60% cash-on-delivery. The ParcelTrack service in your starter-code folder is real, running, and undocumented — the developer left, and three merchant platforms depend on its API exactly as it is.</w:t>
      </w:r>
    </w:p>
    <w:p>
      <w:pPr>
        <w:spacing w:after="120" w:line="276"/>
      </w:pPr>
      <w:r>
        <w:rPr>
          <w:rFonts w:ascii="Calibri" w:cs="Calibri" w:eastAsia="Calibri" w:hAnsi="Calibri"/>
          <w:color w:val="333333"/>
          <w:sz w:val="22"/>
          <w:szCs w:val="22"/>
        </w:rPr>
        <w:t xml:space="preserve">Operations has filed CR-2026-081: merchants need status webhooks (they currently poll 20 times a second), and finance needs daily COD reconciliation per rider. Your job is to extend the running system without breaking it — which starts with understanding it.</w:t>
      </w:r>
    </w:p>
    <w:p>
      <w:pPr>
        <w:pStyle w:val="Heading1"/>
        <w:spacing w:after="140" w:before="300"/>
      </w:pPr>
      <w:r>
        <w:rPr>
          <w:rFonts w:ascii="Calibri" w:cs="Calibri" w:eastAsia="Calibri" w:hAnsi="Calibri"/>
          <w:b/>
          <w:bCs/>
          <w:color w:val="232F3E"/>
        </w:rPr>
        <w:t xml:space="preserve">2. Your mission</w:t>
      </w:r>
    </w:p>
    <w:p>
      <w:pPr>
        <w:pStyle w:val="ListParagraph"/>
        <w:numPr>
          <w:ilvl w:val="0"/>
          <w:numId w:val="2"/>
        </w:numPr>
        <w:spacing w:after="70" w:line="264"/>
      </w:pPr>
      <w:r>
        <w:rPr>
          <w:rFonts w:ascii="Calibri" w:cs="Calibri" w:eastAsia="Calibri" w:hAnsi="Calibri"/>
          <w:color w:val="333333"/>
          <w:sz w:val="22"/>
          <w:szCs w:val="22"/>
        </w:rPr>
        <w:t xml:space="preserve">Let AI-DLC's Reverse Engineering stage document the existing system FIRST — then review its output critically: at least two questionable patterns are in that code, and your team must find and dispose of them (fix, contain, or record).</w:t>
      </w:r>
    </w:p>
    <w:p>
      <w:pPr>
        <w:pStyle w:val="ListParagraph"/>
        <w:numPr>
          <w:ilvl w:val="0"/>
          <w:numId w:val="2"/>
        </w:numPr>
        <w:spacing w:after="70" w:line="264"/>
      </w:pPr>
      <w:r>
        <w:rPr>
          <w:rFonts w:ascii="Calibri" w:cs="Calibri" w:eastAsia="Calibri" w:hAnsi="Calibri"/>
          <w:color w:val="333333"/>
          <w:sz w:val="22"/>
          <w:szCs w:val="22"/>
        </w:rPr>
        <w:t xml:space="preserve">Implement CR-2026-081 (webhooks + COD reconciliation) through the workflow, with zero breaking changes to existing endpoints.</w:t>
      </w:r>
    </w:p>
    <w:p>
      <w:pPr>
        <w:pStyle w:val="ListParagraph"/>
        <w:numPr>
          <w:ilvl w:val="0"/>
          <w:numId w:val="2"/>
        </w:numPr>
        <w:spacing w:after="70" w:line="264"/>
      </w:pPr>
      <w:r>
        <w:rPr>
          <w:rFonts w:ascii="Calibri" w:cs="Calibri" w:eastAsia="Calibri" w:hAnsi="Calibri"/>
          <w:color w:val="333333"/>
          <w:sz w:val="22"/>
          <w:szCs w:val="22"/>
        </w:rPr>
        <w:t xml:space="preserve">Prove backward compatibility: the existing pytest suite must pass untouched at every point.</w:t>
      </w:r>
    </w:p>
    <w:p>
      <w:pPr>
        <w:pStyle w:val="Heading1"/>
        <w:spacing w:after="140" w:before="300"/>
      </w:pPr>
      <w:r>
        <w:rPr>
          <w:rFonts w:ascii="Calibri" w:cs="Calibri" w:eastAsia="Calibri" w:hAnsi="Calibri"/>
          <w:b/>
          <w:bCs/>
          <w:color w:val="232F3E"/>
        </w:rPr>
        <w:t xml:space="preserve">3. What you have been given</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6000"/>
      </w:tblGrid>
      <w:tr>
        <w:trPr>
          <w:tblHeader/>
        </w:trPr>
        <w:tc>
          <w:tcPr>
            <w:tcW w:type="dxa" w:w="34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File</w:t>
            </w:r>
          </w:p>
        </w:tc>
        <w:tc>
          <w:tcPr>
            <w:tcW w:type="dxa" w:w="60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starter-code/</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The running FastAPI + SQLite service, its tests, and its (thin) README</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change-request.md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CR-2026-081 verbatim from operations, incl. the settlement-day rule and the acceptance demo script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vision-document.md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Business context: why COD variance and WISMO calls matter</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technical-environment.md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Brownfield hard rules: what must not change, additive-only migrations, HMAC webhook spec</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sample-cod-day.csv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31 deliveries with Bangkok-local deliveredAt / recordedAt timestamps, rows on both sides of the 20:00 cutoff, and two seeded discrepancies (R-017 short 120 THB, R-023 one collection never recorded)</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starter-code/seed_cod.py</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Loads the COD day into the existing tables (the TEX-2026-0040xx ids cannot be created through the API). Run: python seed_cod.py ../sample-cod-day.csv</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webhook_receiver.py</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merchant test receiver - standard library only. Verifies your HMAC signature, --fail makes it answer 500 for the retry demo</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merchants.csv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M-100 / M-113 / M-121 with callback URL and webhook secret - register these through your new API</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expected-cod-summary.csv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Finance's hand-worked answer for 15 and 16 September - the ground truth your /cod/summary endpoint must reproduce</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team-log.md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Your decision log, gate record and retro. The Scribe fills it in AS YOU GO - it is what the facilitator reads when scoring decision quality, and it cannot be reconstructed convincingly on Day 2 afternoon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traceability-worksheet.md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Fill this in on Day 2 BEFORE your demo. Pick five behaviours your system has and walk each one backwards to the sentence that caused it. This is what your demo is built on, and it is the thing you actually take home</w:t>
            </w:r>
          </w:p>
        </w:tc>
      </w:tr>
    </w:tbl>
    <w:p>
      <w:pPr>
        <w:pStyle w:val="Heading1"/>
        <w:spacing w:after="140" w:before="300"/>
      </w:pPr>
      <w:r>
        <w:rPr>
          <w:rFonts w:ascii="Calibri" w:cs="Calibri" w:eastAsia="Calibri" w:hAnsi="Calibri"/>
          <w:b/>
          <w:bCs/>
          <w:color w:val="232F3E"/>
        </w:rPr>
        <w:t xml:space="preserve">4. How to start</w:t>
      </w:r>
    </w:p>
    <w:p>
      <w:pPr>
        <w:spacing w:after="120" w:line="276"/>
      </w:pPr>
      <w:r>
        <w:rPr>
          <w:rFonts w:ascii="Calibri" w:cs="Calibri" w:eastAsia="Calibri" w:hAnsi="Calibri"/>
          <w:color w:val="333333"/>
          <w:sz w:val="22"/>
          <w:szCs w:val="22"/>
        </w:rPr>
        <w:t xml:space="preserve">After setup (see the Participant Guide), open a fresh session in your workspace and paste exactly:</w:t>
      </w:r>
    </w:p>
    <w:p>
      <w:pPr>
        <w:shd w:fill="F0F3F7" w:val="clear"/>
        <w:spacing w:after="160" w:before="80"/>
        <w:ind w:left="200" w:right="200"/>
      </w:pPr>
      <w:r>
        <w:rPr>
          <w:rFonts w:ascii="Consolas" w:cs="Consolas" w:eastAsia="Consolas" w:hAnsi="Consolas"/>
          <w:color w:val="232F3E"/>
          <w:sz w:val="20"/>
          <w:szCs w:val="20"/>
        </w:rPr>
        <w:t xml:space="preserve">Using AI-DLC, implement change request CR-2026-081 for the existing ParcelTrack service in this workspace: add merchant status webhooks and daily COD reconciliation, per vision-document.md and technical-environment.md. This is a brownfield project — analyze the existing code first.</w:t>
      </w:r>
    </w:p>
    <w:p>
      <w:pPr>
        <w:spacing w:after="120" w:line="276"/>
      </w:pPr>
      <w:r>
        <w:rPr>
          <w:rFonts w:ascii="Calibri" w:cs="Calibri" w:eastAsia="Calibri" w:hAnsi="Calibri"/>
          <w:b/>
          <w:bCs/>
          <w:color w:val="333333"/>
          <w:sz w:val="22"/>
          <w:szCs w:val="22"/>
        </w:rPr>
        <w:t xml:space="preserve">Then let the workflow lead. </w:t>
      </w:r>
      <w:r>
        <w:rPr>
          <w:rFonts w:ascii="Calibri" w:cs="Calibri" w:eastAsia="Calibri" w:hAnsi="Calibri"/>
          <w:color w:val="333333"/>
          <w:sz w:val="22"/>
          <w:szCs w:val="22"/>
        </w:rPr>
        <w:t xml:space="preserve">Answer its question files from your documents. Where documents conflict, your Product Owner decides and the Scribe records why.</w:t>
      </w:r>
    </w:p>
    <w:p>
      <w:pPr>
        <w:pStyle w:val="Heading1"/>
        <w:spacing w:after="140" w:before="300"/>
      </w:pPr>
      <w:r>
        <w:rPr>
          <w:rFonts w:ascii="Calibri" w:cs="Calibri" w:eastAsia="Calibri" w:hAnsi="Calibri"/>
          <w:b/>
          <w:bCs/>
          <w:color w:val="232F3E"/>
        </w:rPr>
        <w:t xml:space="preserve">5. Expected shape of your two days</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7300"/>
      </w:tblGrid>
      <w:tr>
        <w:trPr>
          <w:tblHeader/>
        </w:trPr>
        <w:tc>
          <w:tcPr>
            <w:tcW w:type="dxa" w:w="21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When</w:t>
            </w:r>
          </w:p>
        </w:tc>
        <w:tc>
          <w:tcPr>
            <w:tcW w:type="dxa" w:w="7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should be…</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Reverse Engineering artifacts generated and REVIEWED — quirks found and decisions recorded; Requirements from the CR</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Execution plan approved (should be leaner than a greenfield plan — challenge it if not); design of webhooks + COD units against the existing schema</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Construction: webhook registration, signed delivery, retry with backoff, delivery log</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COD summary endpoint against sample-cod-day.csv; Build &amp; Test; acceptance demo from the CR (kill the receiver, watch retries)</w:t>
            </w:r>
          </w:p>
        </w:tc>
      </w:tr>
    </w:tbl>
    <w:p>
      <w:pPr>
        <w:pStyle w:val="Heading1"/>
        <w:spacing w:after="140" w:before="300"/>
      </w:pPr>
      <w:r>
        <w:rPr>
          <w:rFonts w:ascii="Calibri" w:cs="Calibri" w:eastAsia="Calibri" w:hAnsi="Calibri"/>
          <w:b/>
          <w:bCs/>
          <w:color w:val="232F3E"/>
        </w:rPr>
        <w:t xml:space="preserve">6. Definition of Done</w:t>
      </w:r>
    </w:p>
    <w:p>
      <w:pPr>
        <w:pStyle w:val="ListParagraph"/>
        <w:numPr>
          <w:ilvl w:val="0"/>
          <w:numId w:val="2"/>
        </w:numPr>
        <w:spacing w:after="70" w:line="264"/>
      </w:pPr>
      <w:r>
        <w:rPr>
          <w:rFonts w:ascii="Calibri" w:cs="Calibri" w:eastAsia="Calibri" w:hAnsi="Calibri"/>
          <w:color w:val="333333"/>
          <w:sz w:val="22"/>
          <w:szCs w:val="22"/>
        </w:rPr>
        <w:t>The acceptance snapshot in CR-2026-081 demos exactly as written, and GET /cod/summary matches expected-cod-summary.csv for BOTH 15 and 16 September</w:t>
      </w:r>
    </w:p>
    <w:p>
      <w:pPr>
        <w:pStyle w:val="ListParagraph"/>
        <w:numPr>
          <w:ilvl w:val="0"/>
          <w:numId w:val="2"/>
        </w:numPr>
        <w:spacing w:after="70" w:line="264"/>
      </w:pPr>
      <w:r>
        <w:rPr>
          <w:rFonts w:ascii="Calibri" w:cs="Calibri" w:eastAsia="Calibri" w:hAnsi="Calibri"/>
          <w:color w:val="333333"/>
          <w:sz w:val="22"/>
          <w:szCs w:val="22"/>
        </w:rPr>
        <w:t>The finance screen works: pick a date, see every rider's expected against recorded, the problem riders stand out, and a rider's day can be marked settled</w:t>
      </w:r>
    </w:p>
    <w:p>
      <w:pPr>
        <w:pStyle w:val="ListParagraph"/>
        <w:numPr>
          <w:ilvl w:val="0"/>
          <w:numId w:val="2"/>
        </w:numPr>
        <w:spacing w:after="70" w:line="264"/>
      </w:pPr>
      <w:r>
        <w:rPr>
          <w:rFonts w:ascii="Calibri" w:cs="Calibri" w:eastAsia="Calibri" w:hAnsi="Calibri"/>
          <w:color w:val="333333"/>
          <w:sz w:val="22"/>
          <w:szCs w:val="22"/>
        </w:rPr>
        <w:t xml:space="preserve">All pre-existing tests pass unmodified; existing endpoint responses byte-compatible</w:t>
      </w:r>
    </w:p>
    <w:p>
      <w:pPr>
        <w:pStyle w:val="ListParagraph"/>
        <w:numPr>
          <w:ilvl w:val="0"/>
          <w:numId w:val="2"/>
        </w:numPr>
        <w:spacing w:after="70" w:line="264"/>
      </w:pPr>
      <w:r>
        <w:rPr>
          <w:rFonts w:ascii="Calibri" w:cs="Calibri" w:eastAsia="Calibri" w:hAnsi="Calibri"/>
          <w:color w:val="333333"/>
          <w:sz w:val="22"/>
          <w:szCs w:val="22"/>
        </w:rPr>
        <w:t xml:space="preserve">New money fields are integer satang; any money-handling defect found in the old code is at minimum documented with a remediation note</w:t>
      </w:r>
    </w:p>
    <w:p>
      <w:pPr>
        <w:pStyle w:val="ListParagraph"/>
        <w:numPr>
          <w:ilvl w:val="0"/>
          <w:numId w:val="2"/>
        </w:numPr>
        <w:spacing w:after="70" w:line="264"/>
      </w:pPr>
      <w:r>
        <w:rPr>
          <w:rFonts w:ascii="Calibri" w:cs="Calibri" w:eastAsia="Calibri" w:hAnsi="Calibri"/>
          <w:color w:val="333333"/>
          <w:sz w:val="22"/>
          <w:szCs w:val="22"/>
        </w:rPr>
        <w:t xml:space="preserve">Webhook events signed (HMAC-SHA256, X-Tex-Signature) and duplicate-tolerant by design</w:t>
      </w:r>
    </w:p>
    <w:p>
      <w:pPr>
        <w:pStyle w:val="ListParagraph"/>
        <w:numPr>
          <w:ilvl w:val="0"/>
          <w:numId w:val="2"/>
        </w:numPr>
        <w:spacing w:after="70" w:line="264"/>
      </w:pPr>
      <w:r>
        <w:rPr>
          <w:rFonts w:ascii="Calibri" w:cs="Calibri" w:eastAsia="Calibri" w:hAnsi="Calibri"/>
          <w:color w:val="333333"/>
          <w:sz w:val="22"/>
          <w:szCs w:val="22"/>
        </w:rPr>
        <w:t xml:space="preserve">RE artifacts corrected by the team where the AI guessed wrong — corrections visible in aidlc-docs/</w:t>
      </w:r>
    </w:p>
    <w:p>
      <w:pPr>
        <w:pStyle w:val="Heading1"/>
        <w:spacing w:after="140" w:before="300"/>
      </w:pPr>
      <w:r>
        <w:rPr>
          <w:rFonts w:ascii="Calibri" w:cs="Calibri" w:eastAsia="Calibri" w:hAnsi="Calibri"/>
          <w:b/>
          <w:bCs/>
          <w:color w:val="232F3E"/>
        </w:rPr>
        <w:t xml:space="preserve">7. Ground rules</w:t>
      </w:r>
    </w:p>
    <w:p>
      <w:pPr>
        <w:pStyle w:val="ListParagraph"/>
        <w:numPr>
          <w:ilvl w:val="0"/>
          <w:numId w:val="2"/>
        </w:numPr>
        <w:spacing w:after="70" w:line="264"/>
      </w:pPr>
      <w:r>
        <w:rPr>
          <w:rFonts w:ascii="Calibri" w:cs="Calibri" w:eastAsia="Calibri" w:hAnsi="Calibri"/>
          <w:color w:val="333333"/>
          <w:sz w:val="22"/>
          <w:szCs w:val="22"/>
        </w:rPr>
        <w:t xml:space="preserve">No rewrite, no framework change, no DB migration to Postgres — extend in place</w:t>
      </w:r>
    </w:p>
    <w:p>
      <w:pPr>
        <w:pStyle w:val="ListParagraph"/>
        <w:numPr>
          <w:ilvl w:val="0"/>
          <w:numId w:val="2"/>
        </w:numPr>
        <w:spacing w:after="70" w:line="264"/>
      </w:pPr>
      <w:r>
        <w:rPr>
          <w:rFonts w:ascii="Calibri" w:cs="Calibri" w:eastAsia="Calibri" w:hAnsi="Calibri"/>
          <w:color w:val="333333"/>
          <w:sz w:val="22"/>
          <w:szCs w:val="22"/>
        </w:rPr>
        <w:t xml:space="preserve">No queues/brokers — in-process retry with a persistent delivery log, and a documented Phase-2 upgrade path</w:t>
      </w:r>
    </w:p>
    <w:p>
      <w:pPr>
        <w:pStyle w:val="ListParagraph"/>
        <w:numPr>
          <w:ilvl w:val="0"/>
          <w:numId w:val="2"/>
        </w:numPr>
        <w:spacing w:after="70" w:line="264"/>
      </w:pPr>
      <w:r>
        <w:rPr>
          <w:rFonts w:ascii="Calibri" w:cs="Calibri" w:eastAsia="Calibri" w:hAnsi="Calibri"/>
          <w:color w:val="333333"/>
          <w:sz w:val="22"/>
          <w:szCs w:val="22"/>
        </w:rPr>
        <w:t>The 20:00 Asia/Bangkok cutoff is a business rule, not a UTC rule. Finance described how their day closes in change-request.md; turning that into a rule about stored timestamps is your job</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Remember  You are not judged on how much code you produce. You are judged on whether the process would survive contact with a real project: gates honored, decisions recorded, nothing vibe-coded - and on whether you can still explain, two days later, WHY your software does what it does.</w:t>
      </w:r>
      <w:r>
        <w:rPr>
          <w:rFonts w:ascii="Calibri" w:cs="Calibri" w:eastAsia="Calibri" w:hAnsi="Calibri"/>
          <w:color w:val="333333"/>
          <w:sz w:val="22"/>
          <w:szCs w:val="22"/>
        </w:rPr>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2026-08-10T03:52:40.141Z</dcterms:created>
  <dcterms:modified xsi:type="dcterms:W3CDTF">2026-08-10T03:52:40.141Z</dcterms:modified>
</cp:coreProperties>
</file>

<file path=docProps/custom.xml><?xml version="1.0" encoding="utf-8"?>
<Properties xmlns="http://schemas.openxmlformats.org/officeDocument/2006/custom-properties" xmlns:vt="http://schemas.openxmlformats.org/officeDocument/2006/docPropsVTypes"/>
</file>