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C7293"/>
          <w:sz w:val="40"/>
          <w:szCs w:val="40"/>
        </w:rPr>
        <w:t xml:space="preserve">SIAM MEGAMART</w:t>
      </w:r>
    </w:p>
    <w:p>
      <w:pPr>
        <w:pBdr>
          <w:bottom w:val="single" w:color="1C7293" w:sz="12"/>
        </w:pBdr>
        <w:spacing w:after="160"/>
      </w:pPr>
      <w:r>
        <w:rPr>
          <w:rFonts w:ascii="Calibri" w:cs="Calibri" w:eastAsia="Calibri" w:hAnsi="Calibri"/>
          <w:b/>
          <w:bCs/>
          <w:color w:val="6B7A8F"/>
          <w:sz w:val="20"/>
          <w:szCs w:val="20"/>
        </w:rPr>
        <w:t xml:space="preserve">INTERNAL PROJECT AUTHORIZATION MEMO</w:t>
      </w:r>
    </w:p>
    <w:tbl>
      <w:tblPr>
        <w:tblW w:type="dxa" w:w="9400"/>
        <w:tblBorders>
          <w:top w:val="single" w:color="C9D2DC" w:sz="4"/>
          <w:left w:val="single" w:color="C9D2DC" w:sz="4"/>
          <w:bottom w:val="single" w:color="C9D2DC" w:sz="4"/>
          <w:right w:val="single" w:color="C9D2DC" w:sz="4"/>
          <w:insideH w:val="single" w:color="C9D2DC" w:sz="4"/>
          <w:insideV w:val="single" w:color="C9D2DC" w:sz="4"/>
        </w:tblBorders>
      </w:tblPr>
      <w:tblGrid>
        <w:gridCol w:w="2200"/>
        <w:gridCol w:w="7200"/>
      </w:tblGrid>
      <w:tr>
        <w:trPr>
          <w:tblHeader/>
        </w:trPr>
        <w:tc>
          <w:tcPr>
            <w:tcW w:type="dxa" w:w="22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Field</w:t>
            </w:r>
          </w:p>
        </w:tc>
        <w:tc>
          <w:tcPr>
            <w:tcW w:type="dxa" w:w="72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Detail</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Project code</w:t>
            </w:r>
          </w:p>
        </w:tc>
        <w:tc>
          <w:tcPr>
            <w:tcW w:type="dxa" w:w="72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SMM-2026-LOY-01  ·  “PointHub”</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From</w:t>
            </w:r>
          </w:p>
        </w:tc>
        <w:tc>
          <w:tcPr>
            <w:tcW w:type="dxa" w:w="72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Khun Preeda Wattanakul — Chief Commercial Officer</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To</w:t>
            </w:r>
          </w:p>
        </w:tc>
        <w:tc>
          <w:tcPr>
            <w:tcW w:type="dxa" w:w="72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Engineering Group 1 (delivery team)</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CC</w:t>
            </w:r>
          </w:p>
        </w:tc>
        <w:tc>
          <w:tcPr>
            <w:tcW w:type="dxa" w:w="72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CIO Office · Finance Controller · Head of Marketing</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Date</w:t>
            </w:r>
          </w:p>
        </w:tc>
        <w:tc>
          <w:tcPr>
            <w:tcW w:type="dxa" w:w="72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10 August 2026</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Priority</w:t>
            </w:r>
          </w:p>
        </w:tc>
        <w:tc>
          <w:tcPr>
            <w:tcW w:type="dxa" w:w="72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HIGH — board-visible initiative, Q4 pilot committed</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Budget envelope</w:t>
            </w:r>
          </w:p>
        </w:tc>
        <w:tc>
          <w:tcPr>
            <w:tcW w:type="dxa" w:w="72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THB 4.2M (build) — travel and infra excluded</w:t>
            </w:r>
          </w:p>
        </w:tc>
      </w:tr>
    </w:tbl>
    <w:p>
      <w:pPr>
        <w:spacing w:after="120"/>
      </w:pPr>
    </w:p>
    <w:p>
      <w:pPr>
        <w:pStyle w:val="Heading1"/>
        <w:spacing w:after="120" w:before="280"/>
      </w:pPr>
      <w:r>
        <w:rPr>
          <w:rFonts w:ascii="Calibri" w:cs="Calibri" w:eastAsia="Calibri" w:hAnsi="Calibri"/>
          <w:b/>
          <w:bCs/>
          <w:color w:val="232F3E"/>
        </w:rPr>
        <w:t xml:space="preserve">1. Why we are doing this</w:t>
      </w:r>
    </w:p>
    <w:p>
      <w:pPr>
        <w:spacing w:after="130" w:line="280"/>
      </w:pPr>
      <w:r>
        <w:rPr>
          <w:rFonts w:ascii="Calibri" w:cs="Calibri" w:eastAsia="Calibri" w:hAnsi="Calibri"/>
          <w:color w:val="333333"/>
          <w:sz w:val="22"/>
          <w:szCs w:val="22"/>
        </w:rPr>
        <w:t xml:space="preserve">Our loyalty program is our single biggest commercial lever — 800,000 members generate 61% of revenue — and it is running on three systems that disagree with each other. Last quarter customer service handled over 1,200 point-dispute tickets, our Songkran campaign went live 26 days after Marketing requested it, and Finance still cannot give the board one number for outstanding point liability. Meanwhile our main competitor launches a new points promotion every week.</w:t>
      </w:r>
    </w:p>
    <w:p>
      <w:pPr>
        <w:spacing w:after="130" w:line="280"/>
      </w:pPr>
      <w:r>
        <w:rPr>
          <w:rFonts w:ascii="Calibri" w:cs="Calibri" w:eastAsia="Calibri" w:hAnsi="Calibri"/>
          <w:b/>
          <w:bCs/>
          <w:color w:val="333333"/>
          <w:sz w:val="22"/>
          <w:szCs w:val="22"/>
        </w:rPr>
        <w:t xml:space="preserve">The board has approved a centralized points service. I have committed a 10-store pilot within three months. </w:t>
      </w:r>
      <w:r>
        <w:rPr>
          <w:rFonts w:ascii="Calibri" w:cs="Calibri" w:eastAsia="Calibri" w:hAnsi="Calibri"/>
          <w:color w:val="333333"/>
          <w:sz w:val="22"/>
          <w:szCs w:val="22"/>
        </w:rPr>
        <w:t xml:space="preserve">This memo authorizes your team to build it.</w:t>
      </w:r>
    </w:p>
    <w:p>
      <w:pPr>
        <w:pStyle w:val="Heading1"/>
        <w:spacing w:after="120" w:before="280"/>
      </w:pPr>
      <w:r>
        <w:rPr>
          <w:rFonts w:ascii="Calibri" w:cs="Calibri" w:eastAsia="Calibri" w:hAnsi="Calibri"/>
          <w:b/>
          <w:bCs/>
          <w:color w:val="232F3E"/>
        </w:rPr>
        <w:t xml:space="preserve">2. What the business needs (in business terms)</w:t>
      </w:r>
    </w:p>
    <w:p>
      <w:pPr>
        <w:pStyle w:val="ListParagraph"/>
        <w:numPr>
          <w:ilvl w:val="0"/>
          <w:numId w:val="2"/>
        </w:numPr>
        <w:spacing w:after="70" w:line="268"/>
      </w:pPr>
      <w:r>
        <w:rPr>
          <w:rFonts w:ascii="Calibri" w:cs="Calibri" w:eastAsia="Calibri" w:hAnsi="Calibri"/>
          <w:b/>
          <w:bCs/>
          <w:color w:val="333333"/>
          <w:sz w:val="22"/>
          <w:szCs w:val="22"/>
        </w:rPr>
        <w:t xml:space="preserve">Campaign speed: </w:t>
      </w:r>
      <w:r>
        <w:rPr>
          <w:rFonts w:ascii="Calibri" w:cs="Calibri" w:eastAsia="Calibri" w:hAnsi="Calibri"/>
          <w:color w:val="333333"/>
          <w:sz w:val="22"/>
          <w:szCs w:val="22"/>
        </w:rPr>
        <w:t xml:space="preserve">Marketing configures a promotion on Monday, it is live on Tuesday. No IT change request.</w:t>
      </w:r>
    </w:p>
    <w:p>
      <w:pPr>
        <w:pStyle w:val="ListParagraph"/>
        <w:numPr>
          <w:ilvl w:val="0"/>
          <w:numId w:val="2"/>
        </w:numPr>
        <w:spacing w:after="70" w:line="268"/>
      </w:pPr>
      <w:r>
        <w:rPr>
          <w:rFonts w:ascii="Calibri" w:cs="Calibri" w:eastAsia="Calibri" w:hAnsi="Calibri"/>
          <w:b/>
          <w:bCs/>
          <w:color w:val="333333"/>
          <w:sz w:val="22"/>
          <w:szCs w:val="22"/>
        </w:rPr>
        <w:t xml:space="preserve">One truth: </w:t>
      </w:r>
      <w:r>
        <w:rPr>
          <w:rFonts w:ascii="Calibri" w:cs="Calibri" w:eastAsia="Calibri" w:hAnsi="Calibri"/>
          <w:color w:val="333333"/>
          <w:sz w:val="22"/>
          <w:szCs w:val="22"/>
        </w:rPr>
        <w:t xml:space="preserve">the balance the customer sees in the app is the balance the POS honors at checkout. Always.</w:t>
      </w:r>
    </w:p>
    <w:p>
      <w:pPr>
        <w:pStyle w:val="ListParagraph"/>
        <w:numPr>
          <w:ilvl w:val="0"/>
          <w:numId w:val="2"/>
        </w:numPr>
        <w:spacing w:after="70" w:line="268"/>
      </w:pPr>
      <w:r>
        <w:rPr>
          <w:rFonts w:ascii="Calibri" w:cs="Calibri" w:eastAsia="Calibri" w:hAnsi="Calibri"/>
          <w:b/>
          <w:bCs/>
          <w:color w:val="333333"/>
          <w:sz w:val="22"/>
          <w:szCs w:val="22"/>
        </w:rPr>
        <w:t xml:space="preserve">Audit-proof numbers: </w:t>
      </w:r>
      <w:r>
        <w:rPr>
          <w:rFonts w:ascii="Calibri" w:cs="Calibri" w:eastAsia="Calibri" w:hAnsi="Calibri"/>
          <w:color w:val="333333"/>
          <w:sz w:val="22"/>
          <w:szCs w:val="22"/>
        </w:rPr>
        <w:t xml:space="preserve">Finance and external auditors can reproduce any member's balance from history. Non-negotiable — this went into the audit findings last year.</w:t>
      </w:r>
    </w:p>
    <w:p>
      <w:pPr>
        <w:pStyle w:val="ListParagraph"/>
        <w:numPr>
          <w:ilvl w:val="0"/>
          <w:numId w:val="2"/>
        </w:numPr>
        <w:spacing w:after="70" w:line="268"/>
      </w:pPr>
      <w:r>
        <w:rPr>
          <w:rFonts w:ascii="Calibri" w:cs="Calibri" w:eastAsia="Calibri" w:hAnsi="Calibri"/>
          <w:b/>
          <w:bCs/>
          <w:color w:val="333333"/>
          <w:sz w:val="22"/>
          <w:szCs w:val="22"/>
        </w:rPr>
        <w:t xml:space="preserve">Checkout must never slow down: </w:t>
      </w:r>
      <w:r>
        <w:rPr>
          <w:rFonts w:ascii="Calibri" w:cs="Calibri" w:eastAsia="Calibri" w:hAnsi="Calibri"/>
          <w:color w:val="333333"/>
          <w:sz w:val="22"/>
          <w:szCs w:val="22"/>
        </w:rPr>
        <w:t xml:space="preserve">the POS team has a hard 300 ms budget and will cut your service off beyond it.</w:t>
      </w:r>
    </w:p>
    <w:p>
      <w:pPr>
        <w:pStyle w:val="Heading1"/>
        <w:spacing w:after="120" w:before="280"/>
      </w:pPr>
      <w:r>
        <w:rPr>
          <w:rFonts w:ascii="Calibri" w:cs="Calibri" w:eastAsia="Calibri" w:hAnsi="Calibri"/>
          <w:b/>
          <w:bCs/>
          <w:color w:val="232F3E"/>
        </w:rPr>
        <w:t xml:space="preserve">3. What is NOT in this project</w:t>
      </w:r>
    </w:p>
    <w:p>
      <w:pPr>
        <w:pStyle w:val="ListParagraph"/>
        <w:numPr>
          <w:ilvl w:val="0"/>
          <w:numId w:val="2"/>
        </w:numPr>
        <w:spacing w:after="70" w:line="268"/>
      </w:pPr>
      <w:r>
        <w:rPr>
          <w:rFonts w:ascii="Calibri" w:cs="Calibri" w:eastAsia="Calibri" w:hAnsi="Calibri"/>
          <w:color w:val="333333"/>
          <w:sz w:val="22"/>
          <w:szCs w:val="22"/>
        </w:rPr>
        <w:t xml:space="preserve">Member registration and profiles (existing member platform owns this)</w:t>
      </w:r>
    </w:p>
    <w:p>
      <w:pPr>
        <w:pStyle w:val="ListParagraph"/>
        <w:numPr>
          <w:ilvl w:val="0"/>
          <w:numId w:val="2"/>
        </w:numPr>
        <w:spacing w:after="70" w:line="268"/>
      </w:pPr>
      <w:r>
        <w:rPr>
          <w:rFonts w:ascii="Calibri" w:cs="Calibri" w:eastAsia="Calibri" w:hAnsi="Calibri"/>
          <w:color w:val="333333"/>
          <w:sz w:val="22"/>
          <w:szCs w:val="22"/>
        </w:rPr>
        <w:t xml:space="preserve">Coupons, vouchers, partner-mile exchange, campaign UI, fraud analytics — all Phase 2; do not let scope creep in</w:t>
      </w:r>
    </w:p>
    <w:p>
      <w:pPr>
        <w:pStyle w:val="Heading1"/>
        <w:spacing w:after="120" w:before="280"/>
      </w:pPr>
      <w:r>
        <w:rPr>
          <w:rFonts w:ascii="Calibri" w:cs="Calibri" w:eastAsia="Calibri" w:hAnsi="Calibri"/>
          <w:b/>
          <w:bCs/>
          <w:color w:val="232F3E"/>
        </w:rPr>
        <w:t xml:space="preserve">4. Known organizational friction (read before you start)</w:t>
      </w:r>
    </w:p>
    <w:p>
      <w:pPr>
        <w:spacing w:after="130" w:line="280"/>
      </w:pPr>
      <w:r>
        <w:rPr>
          <w:rFonts w:ascii="Calibri" w:cs="Calibri" w:eastAsia="Calibri" w:hAnsi="Calibri"/>
          <w:color w:val="333333"/>
          <w:sz w:val="22"/>
          <w:szCs w:val="22"/>
        </w:rPr>
        <w:t xml:space="preserve">Marketing, the POS team, Customer Service and Finance have each been interviewed; the notes are attached. They do not fully agree — on promotion stacking, on rounding, and on refund handling. Resolving those conflicts explicitly is part of your job; a system that quietly picks a side will fail acceptance.</w:t>
      </w:r>
    </w:p>
    <w:p>
      <w:pPr>
        <w:pStyle w:val="Heading1"/>
        <w:spacing w:after="120" w:before="280"/>
      </w:pPr>
      <w:r>
        <w:rPr>
          <w:rFonts w:ascii="Calibri" w:cs="Calibri" w:eastAsia="Calibri" w:hAnsi="Calibri"/>
          <w:b/>
          <w:bCs/>
          <w:color w:val="232F3E"/>
        </w:rPr>
        <w:t xml:space="preserve">5. How success will be measured</w:t>
      </w:r>
    </w:p>
    <w:tbl>
      <w:tblPr>
        <w:tblW w:type="dxa" w:w="9400"/>
        <w:tblBorders>
          <w:top w:val="single" w:color="C9D2DC" w:sz="4"/>
          <w:left w:val="single" w:color="C9D2DC" w:sz="4"/>
          <w:bottom w:val="single" w:color="C9D2DC" w:sz="4"/>
          <w:right w:val="single" w:color="C9D2DC" w:sz="4"/>
          <w:insideH w:val="single" w:color="C9D2DC" w:sz="4"/>
          <w:insideV w:val="single" w:color="C9D2DC" w:sz="4"/>
        </w:tblBorders>
      </w:tblPr>
      <w:tblGrid>
        <w:gridCol w:w="3300"/>
        <w:gridCol w:w="2800"/>
        <w:gridCol w:w="3300"/>
      </w:tblGrid>
      <w:tr>
        <w:trPr>
          <w:tblHeader/>
        </w:trPr>
        <w:tc>
          <w:tcPr>
            <w:tcW w:type="dxa" w:w="33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Metric</w:t>
            </w:r>
          </w:p>
        </w:tc>
        <w:tc>
          <w:tcPr>
            <w:tcW w:type="dxa" w:w="28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Today</w:t>
            </w:r>
          </w:p>
        </w:tc>
        <w:tc>
          <w:tcPr>
            <w:tcW w:type="dxa" w:w="33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Target (6 months post-pilot)</w:t>
            </w:r>
          </w:p>
        </w:tc>
      </w:tr>
      <w:tr>
        <w:trPr>
          <w:tblHeader w:val="false"/>
        </w:trPr>
        <w:tc>
          <w:tcPr>
            <w:tcW w:type="dxa" w:w="3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Campaign go-live lead time</w:t>
            </w:r>
          </w:p>
        </w:tc>
        <w:tc>
          <w:tcPr>
            <w:tcW w:type="dxa" w:w="28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3–4 weeks</w:t>
            </w:r>
          </w:p>
        </w:tc>
        <w:tc>
          <w:tcPr>
            <w:tcW w:type="dxa" w:w="33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1 business day</w:t>
            </w:r>
          </w:p>
        </w:tc>
      </w:tr>
      <w:tr>
        <w:trPr>
          <w:tblHeader w:val="false"/>
        </w:trPr>
        <w:tc>
          <w:tcPr>
            <w:tcW w:type="dxa" w:w="3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Point dispute tickets</w:t>
            </w:r>
          </w:p>
        </w:tc>
        <w:tc>
          <w:tcPr>
            <w:tcW w:type="dxa" w:w="28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~400 / month</w:t>
            </w:r>
          </w:p>
        </w:tc>
        <w:tc>
          <w:tcPr>
            <w:tcW w:type="dxa" w:w="33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&lt; 50 / month</w:t>
            </w:r>
          </w:p>
        </w:tc>
      </w:tr>
      <w:tr>
        <w:trPr>
          <w:tblHeader w:val="false"/>
        </w:trPr>
        <w:tc>
          <w:tcPr>
            <w:tcW w:type="dxa" w:w="3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Earn API latency at 50 tx/sec</w:t>
            </w:r>
          </w:p>
        </w:tc>
        <w:tc>
          <w:tcPr>
            <w:tcW w:type="dxa" w:w="28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n/a</w:t>
            </w:r>
          </w:p>
        </w:tc>
        <w:tc>
          <w:tcPr>
            <w:tcW w:type="dxa" w:w="33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p95 &lt; 150 ms</w:t>
            </w:r>
          </w:p>
        </w:tc>
      </w:tr>
      <w:tr>
        <w:trPr>
          <w:tblHeader w:val="false"/>
        </w:trPr>
        <w:tc>
          <w:tcPr>
            <w:tcW w:type="dxa" w:w="3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Balance mismatch incidents</w:t>
            </w:r>
          </w:p>
        </w:tc>
        <w:tc>
          <w:tcPr>
            <w:tcW w:type="dxa" w:w="28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recurring</w:t>
            </w:r>
          </w:p>
        </w:tc>
        <w:tc>
          <w:tcPr>
            <w:tcW w:type="dxa" w:w="33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zero</w:t>
            </w:r>
          </w:p>
        </w:tc>
      </w:tr>
      <w:tr>
        <w:trPr>
          <w:tblHeader w:val="false"/>
        </w:trPr>
        <w:tc>
          <w:tcPr>
            <w:tcW w:type="dxa" w:w="3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Liability report for the board</w:t>
            </w:r>
          </w:p>
        </w:tc>
        <w:tc>
          <w:tcPr>
            <w:tcW w:type="dxa" w:w="28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manual, quarterly, disputed</w:t>
            </w:r>
          </w:p>
        </w:tc>
        <w:tc>
          <w:tcPr>
            <w:tcW w:type="dxa" w:w="33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on-demand endpoint</w:t>
            </w:r>
          </w:p>
        </w:tc>
      </w:tr>
    </w:tbl>
    <w:p>
      <w:pPr>
        <w:pStyle w:val="Heading1"/>
        <w:spacing w:after="120" w:before="280"/>
      </w:pPr>
      <w:r>
        <w:rPr>
          <w:rFonts w:ascii="Calibri" w:cs="Calibri" w:eastAsia="Calibri" w:hAnsi="Calibri"/>
          <w:b/>
          <w:bCs/>
          <w:color w:val="232F3E"/>
        </w:rPr>
        <w:t xml:space="preserve">6. Attachments</w:t>
      </w:r>
    </w:p>
    <w:p>
      <w:pPr>
        <w:pStyle w:val="ListParagraph"/>
        <w:numPr>
          <w:ilvl w:val="0"/>
          <w:numId w:val="2"/>
        </w:numPr>
        <w:spacing w:after="70" w:line="268"/>
      </w:pPr>
      <w:r>
        <w:rPr>
          <w:rFonts w:ascii="Consolas" w:cs="Consolas" w:eastAsia="Consolas" w:hAnsi="Consolas"/>
          <w:color w:val="333333"/>
          <w:sz w:val="22"/>
          <w:szCs w:val="22"/>
        </w:rPr>
        <w:t xml:space="preserve">vision-document.md</w:t>
      </w:r>
      <w:r>
        <w:rPr>
          <w:rFonts w:ascii="Calibri" w:cs="Calibri" w:eastAsia="Calibri" w:hAnsi="Calibri"/>
          <w:color w:val="333333"/>
          <w:sz w:val="22"/>
          <w:szCs w:val="22"/>
        </w:rPr>
        <w:t xml:space="preserve"> — the agreed product vision (CCO-approved)</w:t>
      </w:r>
    </w:p>
    <w:p>
      <w:pPr>
        <w:pStyle w:val="ListParagraph"/>
        <w:numPr>
          <w:ilvl w:val="0"/>
          <w:numId w:val="2"/>
        </w:numPr>
        <w:spacing w:after="70" w:line="268"/>
      </w:pPr>
      <w:r>
        <w:rPr>
          <w:rFonts w:ascii="Consolas" w:cs="Consolas" w:eastAsia="Consolas" w:hAnsi="Consolas"/>
          <w:color w:val="333333"/>
          <w:sz w:val="22"/>
          <w:szCs w:val="22"/>
        </w:rPr>
        <w:t xml:space="preserve">technical-environment.md</w:t>
      </w:r>
      <w:r>
        <w:rPr>
          <w:rFonts w:ascii="Calibri" w:cs="Calibri" w:eastAsia="Calibri" w:hAnsi="Calibri"/>
          <w:color w:val="333333"/>
          <w:sz w:val="22"/>
          <w:szCs w:val="22"/>
        </w:rPr>
        <w:t xml:space="preserve"> — platform standards from the CIO office</w:t>
      </w:r>
    </w:p>
    <w:p>
      <w:pPr>
        <w:pStyle w:val="ListParagraph"/>
        <w:numPr>
          <w:ilvl w:val="0"/>
          <w:numId w:val="2"/>
        </w:numPr>
        <w:spacing w:after="70" w:line="268"/>
      </w:pPr>
      <w:r>
        <w:rPr>
          <w:rFonts w:ascii="Consolas" w:cs="Consolas" w:eastAsia="Consolas" w:hAnsi="Consolas"/>
          <w:color w:val="333333"/>
          <w:sz w:val="22"/>
          <w:szCs w:val="22"/>
        </w:rPr>
        <w:t xml:space="preserve">stakeholder-notes.md</w:t>
      </w:r>
      <w:r>
        <w:rPr>
          <w:rFonts w:ascii="Calibri" w:cs="Calibri" w:eastAsia="Calibri" w:hAnsi="Calibri"/>
          <w:color w:val="333333"/>
          <w:sz w:val="22"/>
          <w:szCs w:val="22"/>
        </w:rPr>
        <w:t xml:space="preserve"> — raw interview notes (contains the conflicts mentioned above)</w:t>
      </w:r>
    </w:p>
    <w:p>
      <w:pPr>
        <w:pStyle w:val="ListParagraph"/>
        <w:numPr>
          <w:ilvl w:val="0"/>
          <w:numId w:val="2"/>
        </w:numPr>
        <w:spacing w:after="70" w:line="268"/>
      </w:pPr>
      <w:r>
        <w:rPr>
          <w:rFonts w:ascii="Consolas" w:cs="Consolas" w:eastAsia="Consolas" w:hAnsi="Consolas"/>
          <w:color w:val="333333"/>
          <w:sz w:val="22"/>
          <w:szCs w:val="22"/>
        </w:rPr>
        <w:t xml:space="preserve">sample-data/</w:t>
      </w:r>
      <w:r>
        <w:rPr>
          <w:rFonts w:ascii="Calibri" w:cs="Calibri" w:eastAsia="Calibri" w:hAnsi="Calibri"/>
          <w:color w:val="333333"/>
          <w:sz w:val="22"/>
          <w:szCs w:val="22"/>
        </w:rPr>
        <w:t xml:space="preserve"> — real transaction shapes and the 5 campaigns Marketing will run first</w:t>
      </w:r>
    </w:p>
    <w:p>
      <w:pPr>
        <w:spacing w:after="30" w:before="260"/>
      </w:pPr>
      <w:r>
        <w:rPr>
          <w:rFonts w:ascii="Calibri" w:cs="Calibri" w:eastAsia="Calibri" w:hAnsi="Calibri"/>
          <w:color w:val="333333"/>
          <w:sz w:val="22"/>
          <w:szCs w:val="22"/>
        </w:rPr>
        <w:t xml:space="preserve">Approved for execution,</w:t>
      </w:r>
    </w:p>
    <w:p>
      <w:pPr>
        <w:spacing w:after="20"/>
      </w:pPr>
      <w:r>
        <w:rPr>
          <w:rFonts w:ascii="Calibri" w:cs="Calibri" w:eastAsia="Calibri" w:hAnsi="Calibri"/>
          <w:b/>
          <w:bCs/>
          <w:color w:val="232F3E"/>
          <w:sz w:val="22"/>
          <w:szCs w:val="22"/>
        </w:rPr>
        <w:t xml:space="preserve">Preeda Wattanakul</w:t>
      </w:r>
      <w:r>
        <w:rPr>
          <w:rFonts w:ascii="Calibri" w:cs="Calibri" w:eastAsia="Calibri" w:hAnsi="Calibri"/>
          <w:color w:val="6B7A8F"/>
          <w:sz w:val="20"/>
          <w:szCs w:val="20"/>
        </w:rPr>
        <w:t xml:space="preserve">   —   Chief Commercial Officer</w:t>
      </w:r>
    </w:p>
    <w:p>
      <w:pPr>
        <w:spacing w:after="20"/>
      </w:pPr>
      <w:r>
        <w:rPr>
          <w:rFonts w:ascii="Calibri" w:cs="Calibri" w:eastAsia="Calibri" w:hAnsi="Calibri"/>
          <w:b/>
          <w:bCs/>
          <w:color w:val="232F3E"/>
          <w:sz w:val="22"/>
          <w:szCs w:val="22"/>
        </w:rPr>
        <w:t xml:space="preserve">Anong Srisuk</w:t>
      </w:r>
      <w:r>
        <w:rPr>
          <w:rFonts w:ascii="Calibri" w:cs="Calibri" w:eastAsia="Calibri" w:hAnsi="Calibri"/>
          <w:color w:val="6B7A8F"/>
          <w:sz w:val="20"/>
          <w:szCs w:val="20"/>
        </w:rPr>
        <w:t xml:space="preserve">   —   CIO (platform standards owner)</w:t>
      </w:r>
    </w:p>
    <w:p>
      <w:pPr>
        <w:spacing w:before="160"/>
      </w:pPr>
      <w:r>
        <w:rPr>
          <w:rFonts w:ascii="Calibri" w:cs="Calibri" w:eastAsia="Calibri" w:hAnsi="Calibri"/>
          <w:i/>
          <w:iCs/>
          <w:color w:val="6B7A8F"/>
          <w:sz w:val="19"/>
          <w:szCs w:val="19"/>
        </w:rPr>
        <w:t xml:space="preserve">This memo and its attachments are the complete business input. The engineering team is expected to challenge ambiguities through its structured workflow — not to assume.</w:t>
      </w:r>
    </w:p>
    <w:sectPr>
      <w:pgSz w:w="11906" w:h="16838"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2026-08-10T04:10:12.523Z</dcterms:created>
  <dcterms:modified xsi:type="dcterms:W3CDTF">2026-08-10T04:10:12.539Z</dcterms:modified>
</cp:coreProperties>
</file>

<file path=docProps/custom.xml><?xml version="1.0" encoding="utf-8"?>
<Properties xmlns="http://schemas.openxmlformats.org/officeDocument/2006/custom-properties" xmlns:vt="http://schemas.openxmlformats.org/officeDocument/2006/docPropsVTypes"/>
</file>