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E8590C"/>
          <w:sz w:val="40"/>
          <w:szCs w:val="40"/>
        </w:rPr>
        <w:t xml:space="preserve">METRO FINANCE</w:t>
      </w:r>
    </w:p>
    <w:p>
      <w:pPr>
        <w:pBdr>
          <w:bottom w:val="single" w:color="E8590C" w:sz="12"/>
        </w:pBdr>
        <w:spacing w:after="160"/>
      </w:pPr>
      <w:r>
        <w:rPr>
          <w:rFonts w:ascii="Calibri" w:cs="Calibri" w:eastAsia="Calibri" w:hAnsi="Calibri"/>
          <w:b/>
          <w:bCs/>
          <w:color w:val="6B7A8F"/>
          <w:sz w:val="20"/>
          <w:szCs w:val="20"/>
        </w:rPr>
        <w:t xml:space="preserve">INTERNAL PROJECT AUTHORIZATION MEMO</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7200"/>
      </w:tblGrid>
      <w:tr>
        <w:trPr>
          <w:tblHeader/>
        </w:trPr>
        <w:tc>
          <w:tcPr>
            <w:tcW w:type="dxa" w:w="2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7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Detail</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Project code</w:t>
            </w:r>
          </w:p>
        </w:tc>
        <w:tc>
          <w:tcPr>
            <w:tcW w:type="dxa" w:w="7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MF-2026-DLP-07  ·  “SwiftKYC”</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From</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Khun Sirikanya Phongsathorn — Chief Digital Officer</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To</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Engineering Group 2 (delivery team)</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CC</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Chief Compliance Officer · CISO · Head of Digital Lending</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Date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10 August 2026</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Priority</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CRITICAL — product launch gate; regulator-visible</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Budget envelope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THB 6.8M — includes vendor per-verification fees (billed per call; treat as real money)</w:t>
            </w:r>
          </w:p>
        </w:tc>
      </w:tr>
    </w:tbl>
    <w:p>
      <w:pPr>
        <w:spacing w:after="120"/>
      </w:pPr>
    </w:p>
    <w:p>
      <w:pPr>
        <w:pStyle w:val="Heading1"/>
        <w:spacing w:after="120" w:before="280"/>
      </w:pPr>
      <w:r>
        <w:rPr>
          <w:rFonts w:ascii="Calibri" w:cs="Calibri" w:eastAsia="Calibri" w:hAnsi="Calibri"/>
          <w:b/>
          <w:bCs/>
          <w:color w:val="232F3E"/>
        </w:rPr>
        <w:t xml:space="preserve">1. Why we are doing this</w:t>
      </w:r>
    </w:p>
    <w:p>
      <w:pPr>
        <w:spacing w:after="130" w:line="280"/>
      </w:pPr>
      <w:r>
        <w:rPr>
          <w:rFonts w:ascii="Calibri" w:cs="Calibri" w:eastAsia="Calibri" w:hAnsi="Calibri"/>
          <w:color w:val="333333"/>
          <w:sz w:val="22"/>
          <w:szCs w:val="22"/>
        </w:rPr>
        <w:t xml:space="preserve">Metro Finance is launching its first fully digital personal-loan product this fiscal year. Every competitor onboards a customer on a phone in minutes; we onboard at a branch, on paper, in two days, at ~350 baht per applicant — and we lose 4 out of 10 interested customers before they finish. Worse: our paper consent records failed the last two internal audits. The digital product cannot launch until onboarding is digital, compliant and fast.</w:t>
      </w:r>
    </w:p>
    <w:p>
      <w:pPr>
        <w:spacing w:after="130" w:line="280"/>
      </w:pPr>
      <w:r>
        <w:rPr>
          <w:rFonts w:ascii="Calibri" w:cs="Calibri" w:eastAsia="Calibri" w:hAnsi="Calibri"/>
          <w:b/>
          <w:bCs/>
          <w:color w:val="333333"/>
          <w:sz w:val="22"/>
          <w:szCs w:val="22"/>
        </w:rPr>
        <w:t xml:space="preserve">Understand the stakes: </w:t>
      </w:r>
      <w:r>
        <w:rPr>
          <w:rFonts w:ascii="Calibri" w:cs="Calibri" w:eastAsia="Calibri" w:hAnsi="Calibri"/>
          <w:color w:val="333333"/>
          <w:sz w:val="22"/>
          <w:szCs w:val="22"/>
        </w:rPr>
        <w:t xml:space="preserve">if the audit trail is not defensible, the regulator can pause the entire lending product. Compliance sign-off is a launch gate, equal in weight to the code working.</w:t>
      </w:r>
    </w:p>
    <w:p>
      <w:pPr>
        <w:pStyle w:val="Heading1"/>
        <w:spacing w:after="120" w:before="280"/>
      </w:pPr>
      <w:r>
        <w:rPr>
          <w:rFonts w:ascii="Calibri" w:cs="Calibri" w:eastAsia="Calibri" w:hAnsi="Calibri"/>
          <w:b/>
          <w:bCs/>
          <w:color w:val="232F3E"/>
        </w:rPr>
        <w:t xml:space="preserve">2. What the business needs</w:t>
      </w:r>
    </w:p>
    <w:p>
      <w:pPr>
        <w:pStyle w:val="ListParagraph"/>
        <w:numPr>
          <w:ilvl w:val="0"/>
          <w:numId w:val="2"/>
        </w:numPr>
        <w:spacing w:after="70" w:line="268"/>
      </w:pPr>
      <w:r>
        <w:rPr>
          <w:rFonts w:ascii="Calibri" w:cs="Calibri" w:eastAsia="Calibri" w:hAnsi="Calibri"/>
          <w:b/>
          <w:bCs/>
          <w:color w:val="333333"/>
          <w:sz w:val="22"/>
          <w:szCs w:val="22"/>
        </w:rPr>
        <w:t xml:space="preserve">10-minute onboarding: </w:t>
      </w:r>
      <w:r>
        <w:rPr>
          <w:rFonts w:ascii="Calibri" w:cs="Calibri" w:eastAsia="Calibri" w:hAnsi="Calibri"/>
          <w:color w:val="333333"/>
          <w:sz w:val="22"/>
          <w:szCs w:val="22"/>
        </w:rPr>
        <w:t xml:space="preserve">application → ID + selfie → verification → decision, all digital.</w:t>
      </w:r>
    </w:p>
    <w:p>
      <w:pPr>
        <w:pStyle w:val="ListParagraph"/>
        <w:numPr>
          <w:ilvl w:val="0"/>
          <w:numId w:val="2"/>
        </w:numPr>
        <w:spacing w:after="70" w:line="268"/>
      </w:pPr>
      <w:r>
        <w:rPr>
          <w:rFonts w:ascii="Calibri" w:cs="Calibri" w:eastAsia="Calibri" w:hAnsi="Calibri"/>
          <w:b/>
          <w:bCs/>
          <w:color w:val="333333"/>
          <w:sz w:val="22"/>
          <w:szCs w:val="22"/>
        </w:rPr>
        <w:t xml:space="preserve">Provable consent: </w:t>
      </w:r>
      <w:r>
        <w:rPr>
          <w:rFonts w:ascii="Calibri" w:cs="Calibri" w:eastAsia="Calibri" w:hAnsi="Calibri"/>
          <w:color w:val="333333"/>
          <w:sz w:val="22"/>
          <w:szCs w:val="22"/>
        </w:rPr>
        <w:t xml:space="preserve">versioned PDPA consent, per purpose, immutable, retrievable per applicant in seconds during an audit.</w:t>
      </w:r>
    </w:p>
    <w:p>
      <w:pPr>
        <w:pStyle w:val="ListParagraph"/>
        <w:numPr>
          <w:ilvl w:val="0"/>
          <w:numId w:val="2"/>
        </w:numPr>
        <w:spacing w:after="70" w:line="268"/>
      </w:pPr>
      <w:r>
        <w:rPr>
          <w:rFonts w:ascii="Calibri" w:cs="Calibri" w:eastAsia="Calibri" w:hAnsi="Calibri"/>
          <w:b/>
          <w:bCs/>
          <w:color w:val="333333"/>
          <w:sz w:val="22"/>
          <w:szCs w:val="22"/>
        </w:rPr>
        <w:t xml:space="preserve">Defensible decisions: </w:t>
      </w:r>
      <w:r>
        <w:rPr>
          <w:rFonts w:ascii="Calibri" w:cs="Calibri" w:eastAsia="Calibri" w:hAnsi="Calibri"/>
          <w:color w:val="333333"/>
          <w:sz w:val="22"/>
          <w:szCs w:val="22"/>
        </w:rPr>
        <w:t xml:space="preserve">every auto-approve / manual-review / reject traceable to the vendor score thresholds we agreed (≥0.95 auto, 0.80–0.95 review, &lt;0.80 reject).</w:t>
      </w:r>
    </w:p>
    <w:p>
      <w:pPr>
        <w:pStyle w:val="ListParagraph"/>
        <w:numPr>
          <w:ilvl w:val="0"/>
          <w:numId w:val="2"/>
        </w:numPr>
        <w:spacing w:after="70" w:line="268"/>
      </w:pPr>
      <w:r>
        <w:rPr>
          <w:rFonts w:ascii="Calibri" w:cs="Calibri" w:eastAsia="Calibri" w:hAnsi="Calibri"/>
          <w:b/>
          <w:bCs/>
          <w:color w:val="333333"/>
          <w:sz w:val="22"/>
          <w:szCs w:val="22"/>
        </w:rPr>
        <w:t xml:space="preserve">Cost discipline: </w:t>
      </w:r>
      <w:r>
        <w:rPr>
          <w:rFonts w:ascii="Calibri" w:cs="Calibri" w:eastAsia="Calibri" w:hAnsi="Calibri"/>
          <w:color w:val="333333"/>
          <w:sz w:val="22"/>
          <w:szCs w:val="22"/>
        </w:rPr>
        <w:t xml:space="preserve">the verification vendor bills per call. Duplicate calls for the same applicant are money on fire — I will see them on the invoice.</w:t>
      </w:r>
    </w:p>
    <w:p>
      <w:pPr>
        <w:pStyle w:val="ListParagraph"/>
        <w:numPr>
          <w:ilvl w:val="0"/>
          <w:numId w:val="2"/>
        </w:numPr>
        <w:spacing w:after="70" w:line="268"/>
      </w:pPr>
      <w:r>
        <w:rPr>
          <w:rFonts w:ascii="Calibri" w:cs="Calibri" w:eastAsia="Calibri" w:hAnsi="Calibri"/>
          <w:b/>
          <w:bCs/>
          <w:color w:val="333333"/>
          <w:sz w:val="22"/>
          <w:szCs w:val="22"/>
        </w:rPr>
        <w:t xml:space="preserve">PII hygiene: </w:t>
      </w:r>
      <w:r>
        <w:rPr>
          <w:rFonts w:ascii="Calibri" w:cs="Calibri" w:eastAsia="Calibri" w:hAnsi="Calibri"/>
          <w:color w:val="333333"/>
          <w:sz w:val="22"/>
          <w:szCs w:val="22"/>
        </w:rPr>
        <w:t xml:space="preserve">CISO requirement: national IDs and face images encrypted at rest, masked in every log, unmasking itself audited.</w:t>
      </w:r>
    </w:p>
    <w:p>
      <w:pPr>
        <w:pStyle w:val="Heading1"/>
        <w:spacing w:after="120" w:before="280"/>
      </w:pPr>
      <w:r>
        <w:rPr>
          <w:rFonts w:ascii="Calibri" w:cs="Calibri" w:eastAsia="Calibri" w:hAnsi="Calibri"/>
          <w:b/>
          <w:bCs/>
          <w:color w:val="232F3E"/>
        </w:rPr>
        <w:t xml:space="preserve">3. What is NOT in this project</w:t>
      </w:r>
    </w:p>
    <w:p>
      <w:pPr>
        <w:pStyle w:val="ListParagraph"/>
        <w:numPr>
          <w:ilvl w:val="0"/>
          <w:numId w:val="2"/>
        </w:numPr>
        <w:spacing w:after="70" w:line="268"/>
      </w:pPr>
      <w:r>
        <w:rPr>
          <w:rFonts w:ascii="Calibri" w:cs="Calibri" w:eastAsia="Calibri" w:hAnsi="Calibri"/>
          <w:color w:val="333333"/>
          <w:sz w:val="22"/>
          <w:szCs w:val="22"/>
        </w:rPr>
        <w:t xml:space="preserve">Credit scoring and loan decisioning (Risk owns it; your service stops at identity decision)</w:t>
      </w:r>
    </w:p>
    <w:p>
      <w:pPr>
        <w:pStyle w:val="ListParagraph"/>
        <w:numPr>
          <w:ilvl w:val="0"/>
          <w:numId w:val="2"/>
        </w:numPr>
        <w:spacing w:after="70" w:line="268"/>
      </w:pPr>
      <w:r>
        <w:rPr>
          <w:rFonts w:ascii="Calibri" w:cs="Calibri" w:eastAsia="Calibri" w:hAnsi="Calibri"/>
          <w:color w:val="333333"/>
          <w:sz w:val="22"/>
          <w:szCs w:val="22"/>
        </w:rPr>
        <w:t xml:space="preserve">NDID / dip-chip channels, AML monitoring, and the mobile app UI — other teams, later phases</w:t>
      </w:r>
    </w:p>
    <w:p>
      <w:pPr>
        <w:pStyle w:val="Heading1"/>
        <w:spacing w:after="120" w:before="280"/>
      </w:pPr>
      <w:r>
        <w:rPr>
          <w:rFonts w:ascii="Calibri" w:cs="Calibri" w:eastAsia="Calibri" w:hAnsi="Calibri"/>
          <w:b/>
          <w:bCs/>
          <w:color w:val="232F3E"/>
        </w:rPr>
        <w:t xml:space="preserve">4. Compliance context you must design around</w:t>
      </w:r>
    </w:p>
    <w:p>
      <w:pPr>
        <w:spacing w:after="130" w:line="280"/>
      </w:pPr>
      <w:r>
        <w:rPr>
          <w:rFonts w:ascii="Calibri" w:cs="Calibri" w:eastAsia="Calibri" w:hAnsi="Calibri"/>
          <w:color w:val="333333"/>
          <w:sz w:val="22"/>
          <w:szCs w:val="22"/>
        </w:rPr>
        <w:t xml:space="preserve">The Compliance Officer will personally walk your audit trail at acceptance, playing the regulator: pick any applicant, reconstruct everything — consent shown and granted, documents received, vendor result, decision, who saw what. The blocklist screening must catch the inconsistent name romanizations in the attached list (we have been burned by SAE-TANG vs SAETANG before). Erasure requests must purge biometrics while retaining the 7-year audit skeleton the law requires.</w:t>
      </w:r>
    </w:p>
    <w:p>
      <w:pPr>
        <w:pStyle w:val="Heading1"/>
        <w:spacing w:after="120" w:before="280"/>
      </w:pPr>
      <w:r>
        <w:rPr>
          <w:rFonts w:ascii="Calibri" w:cs="Calibri" w:eastAsia="Calibri" w:hAnsi="Calibri"/>
          <w:b/>
          <w:bCs/>
          <w:color w:val="232F3E"/>
        </w:rPr>
        <w:t xml:space="preserve">5. How success will be measured</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300"/>
        <w:gridCol w:w="2800"/>
        <w:gridCol w:w="3300"/>
      </w:tblGrid>
      <w:tr>
        <w:trPr>
          <w:tblHeader/>
        </w:trPr>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Metric</w:t>
            </w:r>
          </w:p>
        </w:tc>
        <w:tc>
          <w:tcPr>
            <w:tcW w:type="dxa" w:w="28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Today</w:t>
            </w:r>
          </w:p>
        </w:tc>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Target</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Onboarding time (happy path)</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~2 days, branch only</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&lt; 10 minutes, fully digital</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Cost per onboarded applicant</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~THB 350</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&lt; THB 60 (vendor fee + infra)</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Digital share of new applications</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0%</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70% within 6 months</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Audit findings on consent/trail</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2 consecutive failures</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zero findings</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Duplicate vendor charges</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n/a</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zero per applicant</w:t>
            </w:r>
          </w:p>
        </w:tc>
      </w:tr>
    </w:tbl>
    <w:p>
      <w:pPr>
        <w:pStyle w:val="Heading1"/>
        <w:spacing w:after="120" w:before="280"/>
      </w:pPr>
      <w:r>
        <w:rPr>
          <w:rFonts w:ascii="Calibri" w:cs="Calibri" w:eastAsia="Calibri" w:hAnsi="Calibri"/>
          <w:b/>
          <w:bCs/>
          <w:color w:val="232F3E"/>
        </w:rPr>
        <w:t xml:space="preserve">6. Attachments</w:t>
      </w:r>
    </w:p>
    <w:p>
      <w:pPr>
        <w:pStyle w:val="ListParagraph"/>
        <w:numPr>
          <w:ilvl w:val="0"/>
          <w:numId w:val="2"/>
        </w:numPr>
        <w:spacing w:after="70" w:line="268"/>
      </w:pPr>
      <w:r>
        <w:rPr>
          <w:rFonts w:ascii="Consolas" w:cs="Consolas" w:eastAsia="Consolas" w:hAnsi="Consolas"/>
          <w:color w:val="333333"/>
          <w:sz w:val="22"/>
          <w:szCs w:val="22"/>
        </w:rPr>
        <w:t xml:space="preserve">vision-document.md</w:t>
      </w:r>
      <w:r>
        <w:rPr>
          <w:rFonts w:ascii="Calibri" w:cs="Calibri" w:eastAsia="Calibri" w:hAnsi="Calibri"/>
          <w:color w:val="333333"/>
          <w:sz w:val="22"/>
          <w:szCs w:val="22"/>
        </w:rPr>
        <w:t xml:space="preserve"> — product vision incl. the decision thresholds (CDO + Compliance approved)</w:t>
      </w:r>
    </w:p>
    <w:p>
      <w:pPr>
        <w:pStyle w:val="ListParagraph"/>
        <w:numPr>
          <w:ilvl w:val="0"/>
          <w:numId w:val="2"/>
        </w:numPr>
        <w:spacing w:after="70" w:line="268"/>
      </w:pPr>
      <w:r>
        <w:rPr>
          <w:rFonts w:ascii="Consolas" w:cs="Consolas" w:eastAsia="Consolas" w:hAnsi="Consolas"/>
          <w:color w:val="333333"/>
          <w:sz w:val="22"/>
          <w:szCs w:val="22"/>
        </w:rPr>
        <w:t xml:space="preserve">technical-environment.md</w:t>
      </w:r>
      <w:r>
        <w:rPr>
          <w:rFonts w:ascii="Calibri" w:cs="Calibri" w:eastAsia="Calibri" w:hAnsi="Calibri"/>
          <w:color w:val="333333"/>
          <w:sz w:val="22"/>
          <w:szCs w:val="22"/>
        </w:rPr>
        <w:t xml:space="preserve"> — stack, crypto and role requirements from the CISO office</w:t>
      </w:r>
    </w:p>
    <w:p>
      <w:pPr>
        <w:pStyle w:val="ListParagraph"/>
        <w:numPr>
          <w:ilvl w:val="0"/>
          <w:numId w:val="2"/>
        </w:numPr>
        <w:spacing w:after="70" w:line="268"/>
      </w:pPr>
      <w:r>
        <w:rPr>
          <w:rFonts w:ascii="Consolas" w:cs="Consolas" w:eastAsia="Consolas" w:hAnsi="Consolas"/>
          <w:color w:val="333333"/>
          <w:sz w:val="22"/>
          <w:szCs w:val="22"/>
        </w:rPr>
        <w:t xml:space="preserve">verifyme-api-contract.md</w:t>
      </w:r>
      <w:r>
        <w:rPr>
          <w:rFonts w:ascii="Calibri" w:cs="Calibri" w:eastAsia="Calibri" w:hAnsi="Calibri"/>
          <w:color w:val="333333"/>
          <w:sz w:val="22"/>
          <w:szCs w:val="22"/>
        </w:rPr>
        <w:t xml:space="preserve"> — the signed vendor contract (a sandbox mock is provided for the workshop)</w:t>
      </w:r>
    </w:p>
    <w:p>
      <w:pPr>
        <w:pStyle w:val="ListParagraph"/>
        <w:numPr>
          <w:ilvl w:val="0"/>
          <w:numId w:val="2"/>
        </w:numPr>
        <w:spacing w:after="70" w:line="268"/>
      </w:pPr>
      <w:r>
        <w:rPr>
          <w:rFonts w:ascii="Consolas" w:cs="Consolas" w:eastAsia="Consolas" w:hAnsi="Consolas"/>
          <w:color w:val="333333"/>
          <w:sz w:val="22"/>
          <w:szCs w:val="22"/>
        </w:rPr>
        <w:t xml:space="preserve">blocklist.csv</w:t>
      </w:r>
      <w:r>
        <w:rPr>
          <w:rFonts w:ascii="Calibri" w:cs="Calibri" w:eastAsia="Calibri" w:hAnsi="Calibri"/>
          <w:color w:val="333333"/>
          <w:sz w:val="22"/>
          <w:szCs w:val="22"/>
        </w:rPr>
        <w:t xml:space="preserve"> + </w:t>
      </w:r>
      <w:r>
        <w:rPr>
          <w:rFonts w:ascii="Consolas" w:cs="Consolas" w:eastAsia="Consolas" w:hAnsi="Consolas"/>
          <w:color w:val="333333"/>
          <w:sz w:val="22"/>
          <w:szCs w:val="22"/>
        </w:rPr>
        <w:t xml:space="preserve">consent-text-v1.md</w:t>
      </w:r>
      <w:r>
        <w:rPr>
          <w:rFonts w:ascii="Calibri" w:cs="Calibri" w:eastAsia="Calibri" w:hAnsi="Calibri"/>
          <w:color w:val="333333"/>
          <w:sz w:val="22"/>
          <w:szCs w:val="22"/>
        </w:rPr>
        <w:t xml:space="preserve"> — screening list and the legal consent text</w:t>
      </w:r>
    </w:p>
    <w:p>
      <w:pPr>
        <w:spacing w:after="30" w:before="260"/>
      </w:pPr>
      <w:r>
        <w:rPr>
          <w:rFonts w:ascii="Calibri" w:cs="Calibri" w:eastAsia="Calibri" w:hAnsi="Calibri"/>
          <w:color w:val="333333"/>
          <w:sz w:val="22"/>
          <w:szCs w:val="22"/>
        </w:rPr>
        <w:t xml:space="preserve">Approved for execution,</w:t>
      </w:r>
    </w:p>
    <w:p>
      <w:pPr>
        <w:spacing w:after="20"/>
      </w:pPr>
      <w:r>
        <w:rPr>
          <w:rFonts w:ascii="Calibri" w:cs="Calibri" w:eastAsia="Calibri" w:hAnsi="Calibri"/>
          <w:b/>
          <w:bCs/>
          <w:color w:val="232F3E"/>
          <w:sz w:val="22"/>
          <w:szCs w:val="22"/>
        </w:rPr>
        <w:t xml:space="preserve">Sirikanya Phongsathorn</w:t>
      </w:r>
      <w:r>
        <w:rPr>
          <w:rFonts w:ascii="Calibri" w:cs="Calibri" w:eastAsia="Calibri" w:hAnsi="Calibri"/>
          <w:color w:val="6B7A8F"/>
          <w:sz w:val="20"/>
          <w:szCs w:val="20"/>
        </w:rPr>
        <w:t xml:space="preserve">   —   Chief Digital Officer</w:t>
      </w:r>
    </w:p>
    <w:p>
      <w:pPr>
        <w:spacing w:after="20"/>
      </w:pPr>
      <w:r>
        <w:rPr>
          <w:rFonts w:ascii="Calibri" w:cs="Calibri" w:eastAsia="Calibri" w:hAnsi="Calibri"/>
          <w:b/>
          <w:bCs/>
          <w:color w:val="232F3E"/>
          <w:sz w:val="22"/>
          <w:szCs w:val="22"/>
        </w:rPr>
        <w:t xml:space="preserve">Vorapol Tantiwong</w:t>
      </w:r>
      <w:r>
        <w:rPr>
          <w:rFonts w:ascii="Calibri" w:cs="Calibri" w:eastAsia="Calibri" w:hAnsi="Calibri"/>
          <w:color w:val="6B7A8F"/>
          <w:sz w:val="20"/>
          <w:szCs w:val="20"/>
        </w:rPr>
        <w:t xml:space="preserve">   —   Chief Compliance Officer (acceptance gate owner)</w:t>
      </w:r>
    </w:p>
    <w:p>
      <w:pPr>
        <w:spacing w:before="160"/>
      </w:pPr>
      <w:r>
        <w:rPr>
          <w:rFonts w:ascii="Calibri" w:cs="Calibri" w:eastAsia="Calibri" w:hAnsi="Calibri"/>
          <w:i/>
          <w:iCs/>
          <w:color w:val="6B7A8F"/>
          <w:sz w:val="19"/>
          <w:szCs w:val="19"/>
        </w:rPr>
        <w:t xml:space="preserve">This memo and its attachments are the complete business input. The engineering team is expected to challenge ambiguities through its structured workflow — not to assume.</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2026-08-10T04:10:12.588Z</dcterms:created>
  <dcterms:modified xsi:type="dcterms:W3CDTF">2026-08-10T04:10:12.589Z</dcterms:modified>
</cp:coreProperties>
</file>

<file path=docProps/custom.xml><?xml version="1.0" encoding="utf-8"?>
<Properties xmlns="http://schemas.openxmlformats.org/officeDocument/2006/custom-properties" xmlns:vt="http://schemas.openxmlformats.org/officeDocument/2006/docPropsVTypes"/>
</file>