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rFonts w:ascii="Calibri" w:cs="Calibri" w:eastAsia="Calibri" w:hAnsi="Calibri"/>
          <w:b/>
          <w:bCs/>
          <w:color w:val="E8590C"/>
          <w:sz w:val="22"/>
          <w:szCs w:val="22"/>
        </w:rPr>
        <w:t xml:space="preserve">GROUP 1 · RETAIL · GREENFIELD</w:t>
      </w:r>
    </w:p>
    <w:p>
      <w:pPr>
        <w:spacing w:after="120"/>
      </w:pPr>
      <w:r>
        <w:rPr>
          <w:rFonts w:ascii="Calibri" w:cs="Calibri" w:eastAsia="Calibri" w:hAnsi="Calibri"/>
          <w:b/>
          <w:bCs/>
          <w:color w:val="232F3E"/>
          <w:sz w:val="56"/>
          <w:szCs w:val="56"/>
        </w:rPr>
        <w:t xml:space="preserve">PointHub</w:t>
      </w:r>
    </w:p>
    <w:p>
      <w:pPr>
        <w:spacing w:after="200"/>
      </w:pPr>
      <w:r>
        <w:rPr>
          <w:rFonts w:ascii="Calibri" w:cs="Calibri" w:eastAsia="Calibri" w:hAnsi="Calibri"/>
          <w:color w:val="6B7A8F"/>
          <w:sz w:val="26"/>
          <w:szCs w:val="26"/>
        </w:rPr>
        <w:t xml:space="preserve">Loyalty Points &amp; Rewards Service for Siam MegaMart</w:t>
      </w:r>
    </w:p>
    <w:p>
      <w:pPr>
        <w:spacing w:after="40"/>
      </w:pPr>
      <w:r>
        <w:rPr>
          <w:rFonts w:ascii="Calibri" w:cs="Calibri" w:eastAsia="Calibri" w:hAnsi="Calibri"/>
          <w:color w:val="6B7A8F"/>
          <w:sz w:val="20"/>
          <w:szCs w:val="20"/>
        </w:rPr>
        <w:t xml:space="preserve">AI-DLC V1 Workshop · 2 days</w:t>
      </w:r>
    </w:p>
    <w:p>
      <w:pPr>
        <w:spacing w:after="40"/>
      </w:pPr>
      <w:r>
        <w:rPr>
          <w:rFonts w:ascii="Calibri" w:cs="Calibri" w:eastAsia="Calibri" w:hAnsi="Calibri"/>
          <w:color w:val="6B7A8F"/>
          <w:sz w:val="20"/>
          <w:szCs w:val="20"/>
        </w:rPr>
        <w:t xml:space="preserve">Read everything in your folder before answering the AI's first question.</w:t>
      </w:r>
    </w:p>
    <w:p>
      <w:pPr>
        <w:pBdr>
          <w:bottom w:val="single" w:color="C9D2DC" w:sz="8"/>
        </w:pBdr>
        <w:spacing w:after="200"/>
      </w:pPr>
    </w:p>
    <w:p>
      <w:pPr>
        <w:pStyle w:val="Heading1"/>
        <w:spacing w:after="140" w:before="300"/>
      </w:pPr>
      <w:r>
        <w:rPr>
          <w:rFonts w:ascii="Calibri" w:cs="Calibri" w:eastAsia="Calibri" w:hAnsi="Calibri"/>
          <w:b/>
          <w:bCs/>
          <w:color w:val="232F3E"/>
        </w:rPr>
        <w:t xml:space="preserve">1. The situation</w:t>
      </w:r>
    </w:p>
    <w:p>
      <w:pPr>
        <w:spacing w:after="120" w:line="276"/>
      </w:pPr>
      <w:r>
        <w:rPr>
          <w:rFonts w:ascii="Calibri" w:cs="Calibri" w:eastAsia="Calibri" w:hAnsi="Calibri"/>
          <w:color w:val="333333"/>
          <w:sz w:val="22"/>
          <w:szCs w:val="22"/>
        </w:rPr>
        <w:t xml:space="preserve">Siam MegaMart runs 120 stores and a mobile app with 800,000 members — but its loyalty points are calculated in three different systems that regularly disagree, and every marketing campaign needs a 3–4 week IT change request. You are the engineering team hired to build PointHub: one central points service behind an API.</w:t>
      </w:r>
    </w:p>
    <w:p>
      <w:pPr>
        <w:spacing w:after="120" w:line="276"/>
      </w:pPr>
      <w:r>
        <w:rPr>
          <w:rFonts w:ascii="Calibri" w:cs="Calibri" w:eastAsia="Calibri" w:hAnsi="Calibri"/>
          <w:color w:val="333333"/>
          <w:sz w:val="22"/>
          <w:szCs w:val="22"/>
        </w:rPr>
        <w:t xml:space="preserve">Marketing, the POS team, customer service, and finance have all been interviewed; their notes are in your folder — including a few places where they contradict each other. That is not an accident.</w:t>
      </w:r>
    </w:p>
    <w:p>
      <w:pPr>
        <w:pStyle w:val="Heading1"/>
        <w:spacing w:after="140" w:before="300"/>
      </w:pPr>
      <w:r>
        <w:rPr>
          <w:rFonts w:ascii="Calibri" w:cs="Calibri" w:eastAsia="Calibri" w:hAnsi="Calibri"/>
          <w:b/>
          <w:bCs/>
          <w:color w:val="232F3E"/>
        </w:rPr>
        <w:t xml:space="preserve">2. Your mission</w:t>
      </w:r>
    </w:p>
    <w:p>
      <w:pPr>
        <w:pStyle w:val="ListParagraph"/>
        <w:numPr>
          <w:ilvl w:val="0"/>
          <w:numId w:val="2"/>
        </w:numPr>
        <w:spacing w:after="70" w:line="264"/>
      </w:pPr>
      <w:r>
        <w:rPr>
          <w:rFonts w:ascii="Calibri" w:cs="Calibri" w:eastAsia="Calibri" w:hAnsi="Calibri"/>
          <w:color w:val="333333"/>
          <w:sz w:val="22"/>
          <w:szCs w:val="22"/>
        </w:rPr>
        <w:t xml:space="preserve">Take PointHub from business intent to working, tested code using the full AI-DLC workflow (this is your team's first greenfield run — expect the richest Inception phase of all four groups).</w:t>
      </w:r>
    </w:p>
    <w:p>
      <w:pPr>
        <w:pStyle w:val="ListParagraph"/>
        <w:numPr>
          <w:ilvl w:val="0"/>
          <w:numId w:val="2"/>
        </w:numPr>
        <w:spacing w:after="70" w:line="264"/>
      </w:pPr>
      <w:r>
        <w:rPr>
          <w:rFonts w:ascii="Calibri" w:cs="Calibri" w:eastAsia="Calibri" w:hAnsi="Calibri"/>
          <w:color w:val="333333"/>
          <w:sz w:val="22"/>
          <w:szCs w:val="22"/>
        </w:rPr>
        <w:t xml:space="preserve">Design a campaign rules engine that passes all 5 marketing campaign examples, including the overlap cases.</w:t>
      </w:r>
    </w:p>
    <w:p>
      <w:pPr>
        <w:pStyle w:val="ListParagraph"/>
        <w:numPr>
          <w:ilvl w:val="0"/>
          <w:numId w:val="2"/>
        </w:numPr>
        <w:spacing w:after="70" w:line="264"/>
      </w:pPr>
      <w:r>
        <w:rPr>
          <w:rFonts w:ascii="Calibri" w:cs="Calibri" w:eastAsia="Calibri" w:hAnsi="Calibri"/>
          <w:color w:val="333333"/>
          <w:sz w:val="22"/>
          <w:szCs w:val="22"/>
        </w:rPr>
        <w:t xml:space="preserve">End with 2–3 Units of Work, each fully designed and built through the Construction loop.</w:t>
      </w:r>
    </w:p>
    <w:p>
      <w:pPr>
        <w:pStyle w:val="Heading1"/>
        <w:spacing w:after="140" w:before="300"/>
      </w:pPr>
      <w:r>
        <w:rPr>
          <w:rFonts w:ascii="Calibri" w:cs="Calibri" w:eastAsia="Calibri" w:hAnsi="Calibri"/>
          <w:b/>
          <w:bCs/>
          <w:color w:val="232F3E"/>
        </w:rPr>
        <w:t xml:space="preserve">3. What you have been given</w:t>
      </w:r>
    </w:p>
    <w:tbl>
      <w:tblPr>
        <w:tblW w:type="dxa" w:w="9400"/>
        <w:tblBorders>
          <w:top w:val="single" w:color="C9D2DC" w:sz="4"/>
          <w:left w:val="single" w:color="C9D2DC" w:sz="4"/>
          <w:bottom w:val="single" w:color="C9D2DC" w:sz="4"/>
          <w:right w:val="single" w:color="C9D2DC" w:sz="4"/>
          <w:insideH w:val="single" w:color="C9D2DC" w:sz="4"/>
          <w:insideV w:val="single" w:color="C9D2DC" w:sz="4"/>
        </w:tblBorders>
      </w:tblPr>
      <w:tblGrid>
        <w:gridCol w:w="3400"/>
        <w:gridCol w:w="6000"/>
      </w:tblGrid>
      <w:tr>
        <w:trPr>
          <w:tblHeader/>
        </w:trPr>
        <w:tc>
          <w:tcPr>
            <w:tcW w:type="dxa" w:w="3400"/>
            <w:shd w:fill="232F3E"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File</w:t>
            </w:r>
          </w:p>
        </w:tc>
        <w:tc>
          <w:tcPr>
            <w:tcW w:type="dxa" w:w="6000"/>
            <w:shd w:fill="232F3E"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What it is</w:t>
            </w:r>
          </w:p>
        </w:tc>
      </w:tr>
      <w:tr>
        <w:trPr>
          <w:tblHeader w:val="false"/>
        </w:trPr>
        <w:tc>
          <w:tcPr>
            <w:tcW w:type="dxa" w:w="3400"/>
            <w:tcMar>
              <w:top w:type="dxa" w:w="60"/>
              <w:left w:type="dxa" w:w="100"/>
              <w:bottom w:type="dxa" w:w="60"/>
              <w:right w:type="dxa" w:w="100"/>
            </w:tcMar>
          </w:tcPr>
          <w:p>
            <w:pPr>
              <w:spacing w:after="0" w:line="252"/>
            </w:pPr>
            <w:r>
              <w:rPr>
                <w:rFonts w:ascii="Consolas" w:cs="Consolas" w:eastAsia="Consolas" w:hAnsi="Consolas"/>
                <w:color w:val="333333"/>
                <w:sz w:val="20"/>
                <w:szCs w:val="20"/>
              </w:rPr>
              <w:t xml:space="preserve">vision-document.md</w:t>
            </w:r>
          </w:p>
        </w:tc>
        <w:tc>
          <w:tcPr>
            <w:tcW w:type="dxa" w:w="6000"/>
            <w:tcMar>
              <w:top w:type="dxa" w:w="60"/>
              <w:left w:type="dxa" w:w="100"/>
              <w:bottom w:type="dxa" w:w="60"/>
              <w:right w:type="dxa" w:w="100"/>
            </w:tcMar>
          </w:tcPr>
          <w:p>
            <w:pPr>
              <w:spacing w:after="0" w:line="252"/>
            </w:pPr>
            <w:r>
              <w:rPr>
                <w:rFonts w:ascii="Calibri" w:cs="Calibri" w:eastAsia="Calibri" w:hAnsi="Calibri"/>
                <w:color w:val="333333"/>
                <w:sz w:val="20"/>
                <w:szCs w:val="20"/>
              </w:rPr>
              <w:t xml:space="preserve">Business goals, scope, out-of-scope, success metrics — your primary input</w:t>
            </w:r>
          </w:p>
        </w:tc>
      </w:tr>
      <w:tr>
        <w:trPr>
          <w:tblHeader w:val="false"/>
        </w:trPr>
        <w:tc>
          <w:tcPr>
            <w:tcW w:type="dxa" w:w="3400"/>
            <w:tcMar>
              <w:top w:type="dxa" w:w="60"/>
              <w:left w:type="dxa" w:w="100"/>
              <w:bottom w:type="dxa" w:w="60"/>
              <w:right w:type="dxa" w:w="100"/>
            </w:tcMar>
          </w:tcPr>
          <w:p>
            <w:pPr>
              <w:spacing w:after="0" w:line="252"/>
            </w:pPr>
            <w:r>
              <w:rPr>
                <w:rFonts w:ascii="Consolas" w:cs="Consolas" w:eastAsia="Consolas" w:hAnsi="Consolas"/>
                <w:color w:val="333333"/>
                <w:sz w:val="20"/>
                <w:szCs w:val="20"/>
              </w:rPr>
              <w:t xml:space="preserve">technical-environment.md</w:t>
            </w:r>
          </w:p>
        </w:tc>
        <w:tc>
          <w:tcPr>
            <w:tcW w:type="dxa" w:w="6000"/>
            <w:tcMar>
              <w:top w:type="dxa" w:w="60"/>
              <w:left w:type="dxa" w:w="100"/>
              <w:bottom w:type="dxa" w:w="60"/>
              <w:right w:type="dxa" w:w="100"/>
            </w:tcMar>
          </w:tcPr>
          <w:p>
            <w:pPr>
              <w:spacing w:after="0" w:line="252"/>
            </w:pPr>
            <w:r>
              <w:rPr>
                <w:rFonts w:ascii="Calibri" w:cs="Calibri" w:eastAsia="Calibri" w:hAnsi="Calibri"/>
                <w:color w:val="333333"/>
                <w:sz w:val="20"/>
                <w:szCs w:val="20"/>
              </w:rPr>
              <w:t xml:space="preserve">Company stack standards, prohibited libraries, integration contracts, NFRs</w:t>
            </w:r>
          </w:p>
        </w:tc>
      </w:tr>
      <w:tr>
        <w:trPr>
          <w:tblHeader w:val="false"/>
        </w:trPr>
        <w:tc>
          <w:tcPr>
            <w:tcW w:type="dxa" w:w="3400"/>
            <w:tcMar>
              <w:top w:type="dxa" w:w="60"/>
              <w:left w:type="dxa" w:w="100"/>
              <w:bottom w:type="dxa" w:w="60"/>
              <w:right w:type="dxa" w:w="100"/>
            </w:tcMar>
          </w:tcPr>
          <w:p>
            <w:pPr>
              <w:spacing w:after="0" w:line="252"/>
            </w:pPr>
            <w:r>
              <w:rPr>
                <w:rFonts w:ascii="Consolas" w:cs="Consolas" w:eastAsia="Consolas" w:hAnsi="Consolas"/>
                <w:color w:val="333333"/>
                <w:sz w:val="20"/>
                <w:szCs w:val="20"/>
              </w:rPr>
              <w:t xml:space="preserve">stakeholder-notes.md</w:t>
            </w:r>
          </w:p>
        </w:tc>
        <w:tc>
          <w:tcPr>
            <w:tcW w:type="dxa" w:w="6000"/>
            <w:tcMar>
              <w:top w:type="dxa" w:w="60"/>
              <w:left w:type="dxa" w:w="100"/>
              <w:bottom w:type="dxa" w:w="60"/>
              <w:right w:type="dxa" w:w="100"/>
            </w:tcMar>
          </w:tcPr>
          <w:p>
            <w:pPr>
              <w:spacing w:after="0" w:line="252"/>
            </w:pPr>
            <w:r>
              <w:rPr>
                <w:rFonts w:ascii="Calibri" w:cs="Calibri" w:eastAsia="Calibri" w:hAnsi="Calibri"/>
                <w:color w:val="333333"/>
                <w:sz w:val="20"/>
                <w:szCs w:val="20"/>
              </w:rPr>
              <w:t xml:space="preserve">Raw interview notes from 4 stakeholders — contains decisions AND contradictions</w:t>
            </w:r>
          </w:p>
        </w:tc>
      </w:tr>
      <w:tr>
        <w:trPr>
          <w:tblHeader w:val="false"/>
        </w:trPr>
        <w:tc>
          <w:tcPr>
            <w:tcW w:type="dxa" w:w="3400"/>
            <w:tcMar>
              <w:top w:type="dxa" w:w="60"/>
              <w:left w:type="dxa" w:w="100"/>
              <w:bottom w:type="dxa" w:w="60"/>
              <w:right w:type="dxa" w:w="100"/>
            </w:tcMar>
          </w:tcPr>
          <w:p>
            <w:pPr>
              <w:spacing w:after="0" w:line="252"/>
            </w:pPr>
            <w:r>
              <w:rPr>
                <w:rFonts w:ascii="Consolas" w:cs="Consolas" w:eastAsia="Consolas" w:hAnsi="Consolas"/>
                <w:color w:val="333333"/>
                <w:sz w:val="20"/>
                <w:szCs w:val="20"/>
              </w:rPr>
              <w:t xml:space="preserve">sample-data/transactions.csv</w:t>
            </w:r>
          </w:p>
        </w:tc>
        <w:tc>
          <w:tcPr>
            <w:tcW w:type="dxa" w:w="6000"/>
            <w:tcMar>
              <w:top w:type="dxa" w:w="60"/>
              <w:left w:type="dxa" w:w="100"/>
              <w:bottom w:type="dxa" w:w="60"/>
              <w:right w:type="dxa" w:w="100"/>
            </w:tcMar>
          </w:tcPr>
          <w:p>
            <w:pPr>
              <w:spacing w:after="0" w:line="252"/>
            </w:pPr>
            <w:r>
              <w:rPr>
                <w:rFonts w:ascii="Calibri" w:cs="Calibri" w:eastAsia="Calibri" w:hAnsi="Calibri"/>
                <w:color w:val="333333"/>
                <w:sz w:val="20"/>
                <w:szCs w:val="20"/>
              </w:rPr>
              <w:t>40 POS sales (81 line items) plus 3 refunds - 2 full, 1 partial - with type and originalTransactionId columns</w:t>
            </w:r>
          </w:p>
        </w:tc>
      </w:tr>
      <w:tr>
        <w:trPr>
          <w:tblHeader w:val="false"/>
        </w:trPr>
        <w:tc>
          <w:tcPr>
            <w:tcW w:type="dxa" w:w="3400"/>
            <w:tcMar>
              <w:top w:type="dxa" w:w="60"/>
              <w:left w:type="dxa" w:w="100"/>
              <w:bottom w:type="dxa" w:w="60"/>
              <w:right w:type="dxa" w:w="100"/>
            </w:tcMar>
          </w:tcPr>
          <w:p>
            <w:pPr>
              <w:spacing w:after="0" w:line="252"/>
            </w:pPr>
            <w:r>
              <w:rPr>
                <w:rFonts w:ascii="Consolas" w:cs="Consolas" w:eastAsia="Consolas" w:hAnsi="Consolas"/>
                <w:color w:val="333333"/>
                <w:sz w:val="20"/>
                <w:szCs w:val="20"/>
              </w:rPr>
              <w:t xml:space="preserve">sample-data/campaign-examples.md</w:t>
            </w:r>
          </w:p>
        </w:tc>
        <w:tc>
          <w:tcPr>
            <w:tcW w:type="dxa" w:w="6000"/>
            <w:tcMar>
              <w:top w:type="dxa" w:w="60"/>
              <w:left w:type="dxa" w:w="100"/>
              <w:bottom w:type="dxa" w:w="60"/>
              <w:right w:type="dxa" w:w="100"/>
            </w:tcMar>
          </w:tcPr>
          <w:p>
            <w:pPr>
              <w:spacing w:after="0" w:line="252"/>
            </w:pPr>
            <w:r>
              <w:rPr>
                <w:rFonts w:ascii="Calibri" w:cs="Calibri" w:eastAsia="Calibri" w:hAnsi="Calibri"/>
                <w:color w:val="333333"/>
                <w:sz w:val="20"/>
                <w:szCs w:val="20"/>
              </w:rPr>
              <w:t>The 5 campaigns your rules engine must handle, the overlap traps, and how to keep the x2.5 multiplier out of floating point</w:t>
            </w:r>
          </w:p>
        </w:tc>
      </w:tr>
      <w:tr>
        <w:trPr>
          <w:tblHeader w:val="false"/>
        </w:trPr>
        <w:tc>
          <w:tcPr>
            <w:tcW w:type="dxa" w:w="3400"/>
            <w:tcMar>
              <w:top w:type="dxa" w:w="60"/>
              <w:left w:type="dxa" w:w="100"/>
              <w:bottom w:type="dxa" w:w="60"/>
              <w:right w:type="dxa" w:w="100"/>
            </w:tcMar>
          </w:tcPr>
          <w:p>
            <w:pPr>
              <w:spacing w:after="0" w:line="252"/>
            </w:pPr>
            <w:r>
              <w:rPr>
                <w:rFonts w:ascii="Consolas" w:cs="Consolas" w:eastAsia="Consolas" w:hAnsi="Consolas"/>
                <w:color w:val="333333"/>
                <w:sz w:val="20"/>
                <w:szCs w:val="20"/>
              </w:rPr>
              <w:t>sample-data/members.csv</w:t>
            </w:r>
          </w:p>
        </w:tc>
        <w:tc>
          <w:tcPr>
            <w:tcW w:type="dxa" w:w="6000"/>
            <w:tcMar>
              <w:top w:type="dxa" w:w="60"/>
              <w:left w:type="dxa" w:w="100"/>
              <w:bottom w:type="dxa" w:w="60"/>
              <w:right w:type="dxa" w:w="100"/>
            </w:tcMar>
          </w:tcPr>
          <w:p>
            <w:pPr>
              <w:spacing w:after="0" w:line="252"/>
            </w:pPr>
            <w:r>
              <w:rPr>
                <w:rFonts w:ascii="Calibri" w:cs="Calibri" w:eastAsia="Calibri" w:hAnsi="Calibri"/>
                <w:color w:val="333333"/>
                <w:sz w:val="20"/>
                <w:szCs w:val="20"/>
              </w:rPr>
              <w:t>The 8 members with tier and join date - stub the Member DB from this</w:t>
            </w:r>
          </w:p>
        </w:tc>
      </w:tr>
      <w:tr>
        <w:trPr>
          <w:tblHeader w:val="false"/>
        </w:trPr>
        <w:tc>
          <w:tcPr>
            <w:tcW w:type="dxa" w:w="3400"/>
            <w:tcMar>
              <w:top w:type="dxa" w:w="60"/>
              <w:left w:type="dxa" w:w="100"/>
              <w:bottom w:type="dxa" w:w="60"/>
              <w:right w:type="dxa" w:w="100"/>
            </w:tcMar>
          </w:tcPr>
          <w:p>
            <w:pPr>
              <w:spacing w:after="0" w:line="252"/>
            </w:pPr>
            <w:r>
              <w:rPr>
                <w:rFonts w:ascii="Consolas" w:cs="Consolas" w:eastAsia="Consolas" w:hAnsi="Consolas"/>
                <w:color w:val="333333"/>
                <w:sz w:val="20"/>
                <w:szCs w:val="20"/>
              </w:rPr>
              <w:t>sample-data/expected-points.csv</w:t>
            </w:r>
          </w:p>
        </w:tc>
        <w:tc>
          <w:tcPr>
            <w:tcW w:type="dxa" w:w="6000"/>
            <w:tcMar>
              <w:top w:type="dxa" w:w="60"/>
              <w:left w:type="dxa" w:w="100"/>
              <w:bottom w:type="dxa" w:w="60"/>
              <w:right w:type="dxa" w:w="100"/>
            </w:tcMar>
          </w:tcPr>
          <w:p>
            <w:pPr>
              <w:spacing w:after="0" w:line="252"/>
            </w:pPr>
            <w:r>
              <w:rPr>
                <w:rFonts w:ascii="Calibri" w:cs="Calibri" w:eastAsia="Calibri" w:hAnsi="Calibri"/>
                <w:color w:val="333333"/>
                <w:sz w:val="20"/>
                <w:szCs w:val="20"/>
              </w:rPr>
              <w:t>THE ANSWER KEY - the points your earn API must post for every transaction, with the reasoning for the twelve deliberately tricky ones</w:t>
            </w:r>
          </w:p>
        </w:tc>
      </w:tr>
      <w:tr>
        <w:trPr>
          <w:tblHeader w:val="false"/>
        </w:trPr>
        <w:tc>
          <w:tcPr>
            <w:tcW w:type="dxa" w:w="3400"/>
            <w:tcMar>
              <w:top w:type="dxa" w:w="60"/>
              <w:left w:type="dxa" w:w="100"/>
              <w:bottom w:type="dxa" w:w="60"/>
              <w:right w:type="dxa" w:w="100"/>
            </w:tcMar>
          </w:tcPr>
          <w:p>
            <w:pPr>
              <w:spacing w:after="0" w:line="252"/>
            </w:pPr>
            <w:r>
              <w:rPr>
                <w:rFonts w:ascii="Consolas" w:cs="Consolas" w:eastAsia="Consolas" w:hAnsi="Consolas"/>
                <w:color w:val="333333"/>
                <w:sz w:val="20"/>
                <w:szCs w:val="20"/>
              </w:rPr>
              <w:t>sample-data/expected-points-by-line.csv</w:t>
            </w:r>
          </w:p>
        </w:tc>
        <w:tc>
          <w:tcPr>
            <w:tcW w:type="dxa" w:w="6000"/>
            <w:tcMar>
              <w:top w:type="dxa" w:w="60"/>
              <w:left w:type="dxa" w:w="100"/>
              <w:bottom w:type="dxa" w:w="60"/>
              <w:right w:type="dxa" w:w="100"/>
            </w:tcMar>
          </w:tcPr>
          <w:p>
            <w:pPr>
              <w:spacing w:after="0" w:line="252"/>
            </w:pPr>
            <w:r>
              <w:rPr>
                <w:rFonts w:ascii="Calibri" w:cs="Calibri" w:eastAsia="Calibri" w:hAnsi="Calibri"/>
                <w:color w:val="333333"/>
                <w:sz w:val="20"/>
                <w:szCs w:val="20"/>
              </w:rPr>
              <w:t>The same answer per line item: winning campaign, multiplier, milli-points</w:t>
            </w:r>
          </w:p>
        </w:tc>
      </w:tr>
      <w:tr>
        <w:trPr>
          <w:tblHeader w:val="false"/>
        </w:trPr>
        <w:tc>
          <w:tcPr>
            <w:tcW w:type="dxa" w:w="3400"/>
            <w:tcMar>
              <w:top w:type="dxa" w:w="60"/>
              <w:left w:type="dxa" w:w="100"/>
              <w:bottom w:type="dxa" w:w="60"/>
              <w:right w:type="dxa" w:w="100"/>
            </w:tcMar>
          </w:tcPr>
          <w:p>
            <w:pPr>
              <w:spacing w:after="0" w:line="252"/>
            </w:pPr>
            <w:r>
              <w:rPr>
                <w:rFonts w:ascii="Consolas" w:cs="Consolas" w:eastAsia="Consolas" w:hAnsi="Consolas"/>
                <w:color w:val="333333"/>
                <w:sz w:val="20"/>
                <w:szCs w:val="20"/>
              </w:rPr>
              <w:t>local-environment/</w:t>
            </w:r>
          </w:p>
        </w:tc>
        <w:tc>
          <w:tcPr>
            <w:tcW w:type="dxa" w:w="6000"/>
            <w:tcMar>
              <w:top w:type="dxa" w:w="60"/>
              <w:left w:type="dxa" w:w="100"/>
              <w:bottom w:type="dxa" w:w="60"/>
              <w:right w:type="dxa" w:w="100"/>
            </w:tcMar>
          </w:tcPr>
          <w:p>
            <w:pPr>
              <w:spacing w:after="0" w:line="252"/>
            </w:pPr>
            <w:r>
              <w:rPr>
                <w:rFonts w:ascii="Calibri" w:cs="Calibri" w:eastAsia="Calibri" w:hAnsi="Calibri"/>
                <w:color w:val="333333"/>
                <w:sz w:val="20"/>
                <w:szCs w:val="20"/>
              </w:rPr>
              <w:t>Node 20 + a local PostgreSQL, and nothing else. There is deliberately no starter project: the framework, the layout, the test runner and how you reach the database are decisions your Application Design has to produce. local-environment/ holds only a docker-compose.yml for the database - run docker compose up -d &amp;&amp; node check-db.mjs before you start.</w:t>
            </w:r>
          </w:p>
        </w:tc>
      </w:tr>
      <w:tr>
        <w:trPr>
          <w:tblHeader w:val="false"/>
        </w:trPr>
        <w:tc>
          <w:tcPr>
            <w:tcW w:type="dxa" w:w="3400"/>
            <w:tcMar>
              <w:top w:type="dxa" w:w="60"/>
              <w:left w:type="dxa" w:w="100"/>
              <w:bottom w:type="dxa" w:w="60"/>
              <w:right w:type="dxa" w:w="100"/>
            </w:tcMar>
          </w:tcPr>
          <w:p>
            <w:pPr>
              <w:spacing w:after="0" w:line="252"/>
            </w:pPr>
            <w:r>
              <w:rPr>
                <w:rFonts w:ascii="Consolas" w:cs="Consolas" w:eastAsia="Consolas" w:hAnsi="Consolas"/>
                <w:color w:val="333333"/>
                <w:sz w:val="20"/>
                <w:szCs w:val="20"/>
              </w:rPr>
              <w:t>team-log.md</w:t>
            </w:r>
          </w:p>
        </w:tc>
        <w:tc>
          <w:tcPr>
            <w:tcW w:type="dxa" w:w="6000"/>
            <w:tcMar>
              <w:top w:type="dxa" w:w="60"/>
              <w:left w:type="dxa" w:w="100"/>
              <w:bottom w:type="dxa" w:w="60"/>
              <w:right w:type="dxa" w:w="100"/>
            </w:tcMar>
          </w:tcPr>
          <w:p>
            <w:pPr>
              <w:spacing w:after="0" w:line="252"/>
            </w:pPr>
            <w:r>
              <w:rPr>
                <w:rFonts w:ascii="Calibri" w:cs="Calibri" w:eastAsia="Calibri" w:hAnsi="Calibri"/>
                <w:color w:val="333333"/>
                <w:sz w:val="20"/>
                <w:szCs w:val="20"/>
              </w:rPr>
              <w:t>Your decision log, gate record and retro. The Scribe fills it in AS YOU GO - it is what the facilitator reads when scoring decision quality, and it cannot be reconstructed convincingly on Day 2 afternoon</w:t>
            </w:r>
          </w:p>
        </w:tc>
      </w:tr>
      <w:tr>
        <w:trPr>
          <w:tblHeader w:val="false"/>
        </w:trPr>
        <w:tc>
          <w:tcPr>
            <w:tcW w:type="dxa" w:w="3400"/>
            <w:tcMar>
              <w:top w:type="dxa" w:w="60"/>
              <w:left w:type="dxa" w:w="100"/>
              <w:bottom w:type="dxa" w:w="60"/>
              <w:right w:type="dxa" w:w="100"/>
            </w:tcMar>
          </w:tcPr>
          <w:p>
            <w:pPr>
              <w:spacing w:after="0" w:line="252"/>
            </w:pPr>
            <w:r>
              <w:rPr>
                <w:rFonts w:ascii="Consolas" w:cs="Consolas" w:eastAsia="Consolas" w:hAnsi="Consolas"/>
                <w:color w:val="333333"/>
                <w:sz w:val="20"/>
                <w:szCs w:val="20"/>
              </w:rPr>
              <w:t>traceability-worksheet.md</w:t>
            </w:r>
          </w:p>
        </w:tc>
        <w:tc>
          <w:tcPr>
            <w:tcW w:type="dxa" w:w="6000"/>
            <w:tcMar>
              <w:top w:type="dxa" w:w="60"/>
              <w:left w:type="dxa" w:w="100"/>
              <w:bottom w:type="dxa" w:w="60"/>
              <w:right w:type="dxa" w:w="100"/>
            </w:tcMar>
          </w:tcPr>
          <w:p>
            <w:pPr>
              <w:spacing w:after="0" w:line="252"/>
            </w:pPr>
            <w:r>
              <w:rPr>
                <w:rFonts w:ascii="Calibri" w:cs="Calibri" w:eastAsia="Calibri" w:hAnsi="Calibri"/>
                <w:color w:val="333333"/>
                <w:sz w:val="20"/>
                <w:szCs w:val="20"/>
              </w:rPr>
              <w:t>Fill this in on Day 2 BEFORE your demo. Pick five behaviours your system has and walk each one backwards to the sentence that caused it. This is what your demo is built on, and it is the thing you actually take home</w:t>
            </w:r>
          </w:p>
        </w:tc>
      </w:tr>
    </w:tbl>
    <w:p>
      <w:pPr>
        <w:pStyle w:val="Heading1"/>
        <w:spacing w:after="140" w:before="300"/>
      </w:pPr>
      <w:r>
        <w:rPr>
          <w:rFonts w:ascii="Calibri" w:cs="Calibri" w:eastAsia="Calibri" w:hAnsi="Calibri"/>
          <w:b/>
          <w:bCs/>
          <w:color w:val="232F3E"/>
        </w:rPr>
        <w:t xml:space="preserve">4. How to start</w:t>
      </w:r>
    </w:p>
    <w:p>
      <w:pPr>
        <w:spacing w:after="120" w:line="276"/>
      </w:pPr>
      <w:r>
        <w:rPr>
          <w:rFonts w:ascii="Calibri" w:cs="Calibri" w:eastAsia="Calibri" w:hAnsi="Calibri"/>
          <w:color w:val="333333"/>
          <w:sz w:val="22"/>
          <w:szCs w:val="22"/>
        </w:rPr>
        <w:t xml:space="preserve">After setup (see the Participant Guide), open a fresh session in your workspace and paste exactly:</w:t>
      </w:r>
    </w:p>
    <w:p>
      <w:pPr>
        <w:shd w:fill="F0F3F7" w:val="clear"/>
        <w:spacing w:after="160" w:before="80"/>
        <w:ind w:left="200" w:right="200"/>
      </w:pPr>
      <w:r>
        <w:rPr>
          <w:rFonts w:ascii="Consolas" w:cs="Consolas" w:eastAsia="Consolas" w:hAnsi="Consolas"/>
          <w:color w:val="232F3E"/>
          <w:sz w:val="20"/>
          <w:szCs w:val="20"/>
        </w:rPr>
        <w:t xml:space="preserve">Using AI-DLC, build the PointHub loyalty points service described in vision-document.md and technical-environment.md in this workspace. This is a new greenfield project.</w:t>
      </w:r>
    </w:p>
    <w:p>
      <w:pPr>
        <w:spacing w:after="120" w:line="276"/>
      </w:pPr>
      <w:r>
        <w:rPr>
          <w:rFonts w:ascii="Calibri" w:cs="Calibri" w:eastAsia="Calibri" w:hAnsi="Calibri"/>
          <w:b/>
          <w:bCs/>
          <w:color w:val="333333"/>
          <w:sz w:val="22"/>
          <w:szCs w:val="22"/>
        </w:rPr>
        <w:t xml:space="preserve">Then let the workflow lead. </w:t>
      </w:r>
      <w:r>
        <w:rPr>
          <w:rFonts w:ascii="Calibri" w:cs="Calibri" w:eastAsia="Calibri" w:hAnsi="Calibri"/>
          <w:color w:val="333333"/>
          <w:sz w:val="22"/>
          <w:szCs w:val="22"/>
        </w:rPr>
        <w:t xml:space="preserve">Answer its question files from your documents. Where documents conflict, your Product Owner decides and the Scribe records why.</w:t>
      </w:r>
    </w:p>
    <w:p>
      <w:pPr>
        <w:pStyle w:val="Heading1"/>
        <w:spacing w:after="140" w:before="300"/>
      </w:pPr>
      <w:r>
        <w:rPr>
          <w:rFonts w:ascii="Calibri" w:cs="Calibri" w:eastAsia="Calibri" w:hAnsi="Calibri"/>
          <w:b/>
          <w:bCs/>
          <w:color w:val="232F3E"/>
        </w:rPr>
        <w:t xml:space="preserve">5. Expected shape of your two days</w:t>
      </w:r>
    </w:p>
    <w:tbl>
      <w:tblPr>
        <w:tblW w:type="dxa" w:w="9400"/>
        <w:tblBorders>
          <w:top w:val="single" w:color="C9D2DC" w:sz="4"/>
          <w:left w:val="single" w:color="C9D2DC" w:sz="4"/>
          <w:bottom w:val="single" w:color="C9D2DC" w:sz="4"/>
          <w:right w:val="single" w:color="C9D2DC" w:sz="4"/>
          <w:insideH w:val="single" w:color="C9D2DC" w:sz="4"/>
          <w:insideV w:val="single" w:color="C9D2DC" w:sz="4"/>
        </w:tblBorders>
      </w:tblPr>
      <w:tblGrid>
        <w:gridCol w:w="2100"/>
        <w:gridCol w:w="7300"/>
      </w:tblGrid>
      <w:tr>
        <w:trPr>
          <w:tblHeader/>
        </w:trPr>
        <w:tc>
          <w:tcPr>
            <w:tcW w:type="dxa" w:w="2100"/>
            <w:shd w:fill="232F3E"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When</w:t>
            </w:r>
          </w:p>
        </w:tc>
        <w:tc>
          <w:tcPr>
            <w:tcW w:type="dxa" w:w="7300"/>
            <w:shd w:fill="232F3E"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You should be…</w:t>
            </w:r>
          </w:p>
        </w:tc>
      </w:tr>
      <w:tr>
        <w:trPr>
          <w:tblHeader w:val="false"/>
        </w:trPr>
        <w:tc>
          <w:tcPr>
            <w:tcW w:type="dxa" w:w="2100"/>
            <w:tcMar>
              <w:top w:type="dxa" w:w="60"/>
              <w:left w:type="dxa" w:w="100"/>
              <w:bottom w:type="dxa" w:w="60"/>
              <w:right w:type="dxa" w:w="100"/>
            </w:tcMar>
          </w:tcPr>
          <w:p>
            <w:pPr>
              <w:spacing w:after="0" w:line="252"/>
            </w:pPr>
            <w:r>
              <w:rPr>
                <w:rFonts w:ascii="Calibri" w:cs="Calibri" w:eastAsia="Calibri" w:hAnsi="Calibri"/>
                <w:b/>
                <w:bCs/>
                <w:color w:val="333333"/>
                <w:sz w:val="20"/>
                <w:szCs w:val="20"/>
              </w:rPr>
              <w:t xml:space="preserve">Day 1 morning</w:t>
            </w:r>
          </w:p>
        </w:tc>
        <w:tc>
          <w:tcPr>
            <w:tcW w:type="dxa" w:w="7300"/>
            <w:tcMar>
              <w:top w:type="dxa" w:w="60"/>
              <w:left w:type="dxa" w:w="100"/>
              <w:bottom w:type="dxa" w:w="60"/>
              <w:right w:type="dxa" w:w="100"/>
            </w:tcMar>
          </w:tcPr>
          <w:p>
            <w:pPr>
              <w:spacing w:after="0" w:line="252"/>
            </w:pPr>
            <w:r>
              <w:rPr>
                <w:rFonts w:ascii="Calibri" w:cs="Calibri" w:eastAsia="Calibri" w:hAnsi="Calibri"/>
                <w:color w:val="333333"/>
                <w:sz w:val="20"/>
                <w:szCs w:val="20"/>
              </w:rPr>
              <w:t xml:space="preserve">Through Requirements Analysis (decline all extensions — record why) and into User Stories</w:t>
            </w:r>
          </w:p>
        </w:tc>
      </w:tr>
      <w:tr>
        <w:trPr>
          <w:tblHeader w:val="false"/>
        </w:trPr>
        <w:tc>
          <w:tcPr>
            <w:tcW w:type="dxa" w:w="2100"/>
            <w:tcMar>
              <w:top w:type="dxa" w:w="60"/>
              <w:left w:type="dxa" w:w="100"/>
              <w:bottom w:type="dxa" w:w="60"/>
              <w:right w:type="dxa" w:w="100"/>
            </w:tcMar>
          </w:tcPr>
          <w:p>
            <w:pPr>
              <w:spacing w:after="0" w:line="252"/>
            </w:pPr>
            <w:r>
              <w:rPr>
                <w:rFonts w:ascii="Calibri" w:cs="Calibri" w:eastAsia="Calibri" w:hAnsi="Calibri"/>
                <w:b/>
                <w:bCs/>
                <w:color w:val="333333"/>
                <w:sz w:val="20"/>
                <w:szCs w:val="20"/>
              </w:rPr>
              <w:t xml:space="preserve">Day 1 afternoon</w:t>
            </w:r>
          </w:p>
        </w:tc>
        <w:tc>
          <w:tcPr>
            <w:tcW w:type="dxa" w:w="7300"/>
            <w:tcMar>
              <w:top w:type="dxa" w:w="60"/>
              <w:left w:type="dxa" w:w="100"/>
              <w:bottom w:type="dxa" w:w="60"/>
              <w:right w:type="dxa" w:w="100"/>
            </w:tcMar>
          </w:tcPr>
          <w:p>
            <w:pPr>
              <w:spacing w:after="0" w:line="252"/>
            </w:pPr>
            <w:r>
              <w:rPr>
                <w:rFonts w:ascii="Calibri" w:cs="Calibri" w:eastAsia="Calibri" w:hAnsi="Calibri"/>
                <w:color w:val="333333"/>
                <w:sz w:val="20"/>
                <w:szCs w:val="20"/>
              </w:rPr>
              <w:t xml:space="preserve">Workflow Planning approved; Application Design and Units Generation done (2–3 units, e.g. points-engine / campaign-management / reporting)</w:t>
            </w:r>
          </w:p>
        </w:tc>
      </w:tr>
      <w:tr>
        <w:trPr>
          <w:tblHeader w:val="false"/>
        </w:trPr>
        <w:tc>
          <w:tcPr>
            <w:tcW w:type="dxa" w:w="2100"/>
            <w:tcMar>
              <w:top w:type="dxa" w:w="60"/>
              <w:left w:type="dxa" w:w="100"/>
              <w:bottom w:type="dxa" w:w="60"/>
              <w:right w:type="dxa" w:w="100"/>
            </w:tcMar>
          </w:tcPr>
          <w:p>
            <w:pPr>
              <w:spacing w:after="0" w:line="252"/>
            </w:pPr>
            <w:r>
              <w:rPr>
                <w:rFonts w:ascii="Calibri" w:cs="Calibri" w:eastAsia="Calibri" w:hAnsi="Calibri"/>
                <w:b/>
                <w:bCs/>
                <w:color w:val="333333"/>
                <w:sz w:val="20"/>
                <w:szCs w:val="20"/>
              </w:rPr>
              <w:t xml:space="preserve">Day 2 morning</w:t>
            </w:r>
          </w:p>
        </w:tc>
        <w:tc>
          <w:tcPr>
            <w:tcW w:type="dxa" w:w="7300"/>
            <w:tcMar>
              <w:top w:type="dxa" w:w="60"/>
              <w:left w:type="dxa" w:w="100"/>
              <w:bottom w:type="dxa" w:w="60"/>
              <w:right w:type="dxa" w:w="100"/>
            </w:tcMar>
          </w:tcPr>
          <w:p>
            <w:pPr>
              <w:spacing w:after="0" w:line="252"/>
            </w:pPr>
            <w:r>
              <w:rPr>
                <w:rFonts w:ascii="Calibri" w:cs="Calibri" w:eastAsia="Calibri" w:hAnsi="Calibri"/>
                <w:color w:val="333333"/>
                <w:sz w:val="20"/>
                <w:szCs w:val="20"/>
              </w:rPr>
              <w:t xml:space="preserve">Construction loop: points-engine unit complete (earn/burn/ledger with idempotency), second unit underway</w:t>
            </w:r>
          </w:p>
        </w:tc>
      </w:tr>
      <w:tr>
        <w:trPr>
          <w:tblHeader w:val="false"/>
        </w:trPr>
        <w:tc>
          <w:tcPr>
            <w:tcW w:type="dxa" w:w="2100"/>
            <w:tcMar>
              <w:top w:type="dxa" w:w="60"/>
              <w:left w:type="dxa" w:w="100"/>
              <w:bottom w:type="dxa" w:w="60"/>
              <w:right w:type="dxa" w:w="100"/>
            </w:tcMar>
          </w:tcPr>
          <w:p>
            <w:pPr>
              <w:spacing w:after="0" w:line="252"/>
            </w:pPr>
            <w:r>
              <w:rPr>
                <w:rFonts w:ascii="Calibri" w:cs="Calibri" w:eastAsia="Calibri" w:hAnsi="Calibri"/>
                <w:b/>
                <w:bCs/>
                <w:color w:val="333333"/>
                <w:sz w:val="20"/>
                <w:szCs w:val="20"/>
              </w:rPr>
              <w:t xml:space="preserve">Day 2 afternoon</w:t>
            </w:r>
          </w:p>
        </w:tc>
        <w:tc>
          <w:tcPr>
            <w:tcW w:type="dxa" w:w="7300"/>
            <w:tcMar>
              <w:top w:type="dxa" w:w="60"/>
              <w:left w:type="dxa" w:w="100"/>
              <w:bottom w:type="dxa" w:w="60"/>
              <w:right w:type="dxa" w:w="100"/>
            </w:tcMar>
          </w:tcPr>
          <w:p>
            <w:pPr>
              <w:spacing w:after="0" w:line="252"/>
            </w:pPr>
            <w:r>
              <w:rPr>
                <w:rFonts w:ascii="Calibri" w:cs="Calibri" w:eastAsia="Calibri" w:hAnsi="Calibri"/>
                <w:color w:val="333333"/>
                <w:sz w:val="20"/>
                <w:szCs w:val="20"/>
              </w:rPr>
              <w:t>Build &amp; Test executed; demo: replay transactions.csv against your API and match expected-points.csv, including the partial refund</w:t>
            </w:r>
          </w:p>
        </w:tc>
      </w:tr>
    </w:tbl>
    <w:p>
      <w:pPr>
        <w:pStyle w:val="Heading1"/>
        <w:spacing w:after="140" w:before="300"/>
      </w:pPr>
      <w:r>
        <w:rPr>
          <w:rFonts w:ascii="Calibri" w:cs="Calibri" w:eastAsia="Calibri" w:hAnsi="Calibri"/>
          <w:b/>
          <w:bCs/>
          <w:color w:val="232F3E"/>
        </w:rPr>
        <w:t xml:space="preserve">6. Definition of Done</w:t>
      </w:r>
    </w:p>
    <w:p>
      <w:pPr>
        <w:pStyle w:val="ListParagraph"/>
        <w:numPr>
          <w:ilvl w:val="0"/>
          <w:numId w:val="2"/>
        </w:numPr>
        <w:spacing w:after="70" w:line="264"/>
      </w:pPr>
      <w:r>
        <w:rPr>
          <w:rFonts w:ascii="Calibri" w:cs="Calibri" w:eastAsia="Calibri" w:hAnsi="Calibri"/>
          <w:color w:val="333333"/>
          <w:sz w:val="22"/>
          <w:szCs w:val="22"/>
        </w:rPr>
        <w:t>Earn API reproduces every row of sample-data/expected-points.csv exactly. Check it before your demo: node sample-data/check-points.mjs &lt;your-output.csv&gt;</w:t>
      </w:r>
    </w:p>
    <w:p>
      <w:pPr>
        <w:pStyle w:val="ListParagraph"/>
        <w:numPr>
          <w:ilvl w:val="0"/>
          <w:numId w:val="2"/>
        </w:numPr>
        <w:spacing w:after="70" w:line="264"/>
      </w:pPr>
      <w:r>
        <w:rPr>
          <w:rFonts w:ascii="Calibri" w:cs="Calibri" w:eastAsia="Calibri" w:hAnsi="Calibri"/>
          <w:color w:val="333333"/>
          <w:sz w:val="22"/>
          <w:szCs w:val="22"/>
        </w:rPr>
        <w:t>Refund clawback works for full AND partial refunds (RF90001-3), negative balances allowed; every change is a ledger entry</w:t>
      </w:r>
    </w:p>
    <w:p>
      <w:pPr>
        <w:pStyle w:val="ListParagraph"/>
        <w:numPr>
          <w:ilvl w:val="0"/>
          <w:numId w:val="2"/>
        </w:numPr>
        <w:spacing w:after="70" w:line="264"/>
      </w:pPr>
      <w:r>
        <w:rPr>
          <w:rFonts w:ascii="Calibri" w:cs="Calibri" w:eastAsia="Calibri" w:hAnsi="Calibri"/>
          <w:color w:val="333333"/>
          <w:sz w:val="22"/>
          <w:szCs w:val="22"/>
        </w:rPr>
        <w:t xml:space="preserve">Earn is idempotent by transactionId (POS retry-safe) — show the test</w:t>
      </w:r>
    </w:p>
    <w:p>
      <w:pPr>
        <w:pStyle w:val="ListParagraph"/>
        <w:numPr>
          <w:ilvl w:val="0"/>
          <w:numId w:val="2"/>
        </w:numPr>
        <w:spacing w:after="70" w:line="264"/>
      </w:pPr>
      <w:r>
        <w:rPr>
          <w:rFonts w:ascii="Calibri" w:cs="Calibri" w:eastAsia="Calibri" w:hAnsi="Calibri"/>
          <w:color w:val="333333"/>
          <w:sz w:val="22"/>
          <w:szCs w:val="22"/>
        </w:rPr>
        <w:t>Point liability summary endpoint returns totals by tier, and replaying the whole file gives the eight member balances in technical-environment.md</w:t>
      </w:r>
    </w:p>
    <w:p>
      <w:pPr>
        <w:pStyle w:val="ListParagraph"/>
        <w:numPr>
          <w:ilvl w:val="0"/>
          <w:numId w:val="2"/>
        </w:numPr>
        <w:spacing w:after="70" w:line="264"/>
      </w:pPr>
      <w:r>
        <w:rPr>
          <w:rFonts w:ascii="Calibri" w:cs="Calibri" w:eastAsia="Calibri" w:hAnsi="Calibri"/>
          <w:color w:val="333333"/>
          <w:sz w:val="22"/>
          <w:szCs w:val="22"/>
        </w:rPr>
        <w:t xml:space="preserve">aidlc-docs/ complete: requirements, stories, execution plan (Mermaid), design, unit docs, audit trail</w:t>
      </w:r>
    </w:p>
    <w:p>
      <w:pPr>
        <w:pStyle w:val="Heading1"/>
        <w:spacing w:after="140" w:before="300"/>
      </w:pPr>
      <w:r>
        <w:rPr>
          <w:rFonts w:ascii="Calibri" w:cs="Calibri" w:eastAsia="Calibri" w:hAnsi="Calibri"/>
          <w:b/>
          <w:bCs/>
          <w:color w:val="232F3E"/>
        </w:rPr>
        <w:t xml:space="preserve">7. Ground rules</w:t>
      </w:r>
    </w:p>
    <w:p>
      <w:pPr>
        <w:pStyle w:val="ListParagraph"/>
        <w:numPr>
          <w:ilvl w:val="0"/>
          <w:numId w:val="2"/>
        </w:numPr>
        <w:spacing w:after="70" w:line="264"/>
      </w:pPr>
      <w:r>
        <w:rPr>
          <w:rFonts w:ascii="Calibri" w:cs="Calibri" w:eastAsia="Calibri" w:hAnsi="Calibri"/>
          <w:color w:val="333333"/>
          <w:sz w:val="22"/>
          <w:szCs w:val="22"/>
        </w:rPr>
        <w:t xml:space="preserve">Member registration is NOT yours — stub the member DB exactly as the tech-env contract describes</w:t>
      </w:r>
    </w:p>
    <w:p>
      <w:pPr>
        <w:pStyle w:val="ListParagraph"/>
        <w:numPr>
          <w:ilvl w:val="0"/>
          <w:numId w:val="2"/>
        </w:numPr>
        <w:spacing w:after="70" w:line="264"/>
      </w:pPr>
      <w:r>
        <w:rPr>
          <w:rFonts w:ascii="Calibri" w:cs="Calibri" w:eastAsia="Calibri" w:hAnsi="Calibri"/>
          <w:color w:val="333333"/>
          <w:sz w:val="22"/>
          <w:szCs w:val="22"/>
        </w:rPr>
        <w:t>No ORMs, no floats for money/points - multipliers are integers scaled by 1000, points are integer milli-points until the final floor (tech-env prohibited list is enforced)</w:t>
      </w:r>
    </w:p>
    <w:p>
      <w:pPr>
        <w:pStyle w:val="ListParagraph"/>
        <w:numPr>
          <w:ilvl w:val="0"/>
          <w:numId w:val="2"/>
        </w:numPr>
        <w:spacing w:after="70" w:line="264"/>
      </w:pPr>
      <w:r>
        <w:rPr>
          <w:rFonts w:ascii="Calibri" w:cs="Calibri" w:eastAsia="Calibri" w:hAnsi="Calibri"/>
          <w:color w:val="333333"/>
          <w:sz w:val="22"/>
          <w:szCs w:val="22"/>
        </w:rPr>
        <w:t xml:space="preserve">The campaign budget cap idea from marketing is a scope decision — decide it explicitly, don't silently build it</w:t>
      </w:r>
    </w:p>
    <w:p>
      <w:pPr>
        <w:pBdr>
          <w:left w:val="single" w:color="E8590C" w:sz="18"/>
        </w:pBdr>
        <w:shd w:fill="FDEFE6" w:val="clear"/>
        <w:spacing w:after="160" w:before="120"/>
        <w:ind w:left="200" w:right="200"/>
      </w:pPr>
      <w:r>
        <w:rPr>
          <w:rFonts w:ascii="Calibri" w:cs="Calibri" w:eastAsia="Calibri" w:hAnsi="Calibri"/>
          <w:b/>
          <w:bCs/>
          <w:color w:val="E8590C"/>
          <w:sz w:val="22"/>
          <w:szCs w:val="22"/>
        </w:rPr>
        <w:t>Remember  You are not judged on how much code you produce. You are judged on whether the process would survive contact with a real project: gates honored, decisions recorded, nothing vibe-coded - and on whether you can still explain, two days later, WHY your software does what it does.</w:t>
      </w:r>
      <w:r>
        <w:rPr>
          <w:rFonts w:ascii="Calibri" w:cs="Calibri" w:eastAsia="Calibri" w:hAnsi="Calibri"/>
          <w:color w:val="333333"/>
          <w:sz w:val="22"/>
          <w:szCs w:val="22"/>
        </w:rPr>
      </w:r>
    </w:p>
    <w:sectPr>
      <w:pgSz w:w="11906" w:h="16838" w:orient="portrait"/>
      <w:pgMar w:top="1080" w:right="1240" w:bottom="1080" w:left="12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2026-08-10T03:52:40.045Z</dcterms:created>
  <dcterms:modified xsi:type="dcterms:W3CDTF">2026-08-10T03:52:40.062Z</dcterms:modified>
</cp:coreProperties>
</file>

<file path=docProps/custom.xml><?xml version="1.0" encoding="utf-8"?>
<Properties xmlns="http://schemas.openxmlformats.org/officeDocument/2006/custom-properties" xmlns:vt="http://schemas.openxmlformats.org/officeDocument/2006/docPropsVTypes"/>
</file>