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 a mix of exact-ID rows (13-digit Thai national IDs) and name-only rows, including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Python 3.12 toolchain only - FastAPI, pytest, ruff with the security rules on, strict mypy. No application layout: designing that is the workflow's job. Run pytest, ruff and mypy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API described in vision-document.md and technical-environment.md in this workspace.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all three seeded hits - reference ending 1 (exact ID), 3 (fuzzy name only) and 7 (exact name) - even though all three pass face match at 0.97</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