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C5F2D"/>
          <w:sz w:val="40"/>
          <w:szCs w:val="40"/>
        </w:rPr>
        <w:t xml:space="preserve">THUNDER EXPRESS</w:t>
      </w:r>
    </w:p>
    <w:p>
      <w:pPr>
        <w:pBdr>
          <w:bottom w:val="single" w:color="2C5F2D" w:sz="12"/>
        </w:pBdr>
        <w:spacing w:after="160"/>
      </w:pPr>
      <w:r>
        <w:rPr>
          <w:rFonts w:ascii="Calibri" w:cs="Calibri" w:eastAsia="Calibri" w:hAnsi="Calibri"/>
          <w:b/>
          <w:bCs/>
          <w:color w:val="6B7A8F"/>
          <w:sz w:val="20"/>
          <w:szCs w:val="20"/>
        </w:rPr>
        <w:t xml:space="preserve">INTERNAL PROJECT AUTHORIZATION MEMO</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7200"/>
      </w:tblGrid>
      <w:tr>
        <w:trPr>
          <w:tblHeader/>
        </w:trPr>
        <w:tc>
          <w:tcPr>
            <w:tcW w:type="dxa" w:w="2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7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Detail</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Project code</w:t>
            </w:r>
          </w:p>
        </w:tc>
        <w:tc>
          <w:tcPr>
            <w:tcW w:type="dxa" w:w="7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TEX-2026-OPS-11  ·  ParcelTrack CR-2026-081</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From</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Khun Somchai Rattanaporn — Head of Operations</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To</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Engineering Group 3 (delivery team)</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CC</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CFO · Merchant Success Team · Call Center Manager</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Date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Issued at project kickoff</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Priority</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HIGH — CFO escalation on COD variance; merchant complaints on polling</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Budget envelope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THB 1.9M — this is an enhancement, not a rebuild; spend accordingly</w:t>
            </w:r>
          </w:p>
        </w:tc>
      </w:tr>
    </w:tbl>
    <w:p>
      <w:pPr>
        <w:spacing w:after="120"/>
      </w:pPr>
    </w:p>
    <w:p>
      <w:pPr>
        <w:pStyle w:val="Heading1"/>
        <w:spacing w:after="120" w:before="280"/>
      </w:pPr>
      <w:r>
        <w:rPr>
          <w:rFonts w:ascii="Calibri" w:cs="Calibri" w:eastAsia="Calibri" w:hAnsi="Calibri"/>
          <w:b/>
          <w:bCs/>
          <w:color w:val="232F3E"/>
        </w:rPr>
        <w:t xml:space="preserve">1. Why we are doing this</w:t>
      </w:r>
    </w:p>
    <w:p>
      <w:pPr>
        <w:spacing w:after="130" w:line="280"/>
      </w:pPr>
      <w:r>
        <w:rPr>
          <w:rFonts w:ascii="Calibri" w:cs="Calibri" w:eastAsia="Calibri" w:hAnsi="Calibri"/>
          <w:color w:val="333333"/>
          <w:sz w:val="22"/>
          <w:szCs w:val="22"/>
        </w:rPr>
        <w:t xml:space="preserve">We move 12,000 parcels a day and 60% are cash-on-delivery — roughly 4 million baht of our customers' cash in riders' pockets every day. Finance reconciles that cash from paper sheets a week later; last month we wrote off 340,000 baht of variance we found too late to trace. Meanwhile our three merchant platforms poll the tracking API twenty times a second because we never notify them of anything, and the call center answers nine hundred “where is my parcel” calls a day.</w:t>
      </w:r>
    </w:p>
    <w:p>
      <w:pPr>
        <w:spacing w:after="130" w:line="280"/>
      </w:pPr>
      <w:r>
        <w:rPr>
          <w:rFonts w:ascii="Calibri" w:cs="Calibri" w:eastAsia="Calibri" w:hAnsi="Calibri"/>
          <w:b/>
          <w:bCs/>
          <w:color w:val="333333"/>
          <w:sz w:val="22"/>
          <w:szCs w:val="22"/>
        </w:rPr>
        <w:t xml:space="preserve">One hard truth up front: </w:t>
      </w:r>
      <w:r>
        <w:rPr>
          <w:rFonts w:ascii="Calibri" w:cs="Calibri" w:eastAsia="Calibri" w:hAnsi="Calibri"/>
          <w:color w:val="333333"/>
          <w:sz w:val="22"/>
          <w:szCs w:val="22"/>
        </w:rPr>
        <w:t xml:space="preserve">the developer who built ParcelTrack left. There is no documentation — only the running system and its code, both attached. And the merchants' integration teams take months to change anything, so the existing API must not change behavior. At all.</w:t>
      </w:r>
    </w:p>
    <w:p>
      <w:pPr>
        <w:pStyle w:val="Heading1"/>
        <w:spacing w:after="120" w:before="280"/>
      </w:pPr>
      <w:r>
        <w:rPr>
          <w:rFonts w:ascii="Calibri" w:cs="Calibri" w:eastAsia="Calibri" w:hAnsi="Calibri"/>
          <w:b/>
          <w:bCs/>
          <w:color w:val="232F3E"/>
        </w:rPr>
        <w:t xml:space="preserve">2. What the business needs</w:t>
      </w:r>
    </w:p>
    <w:p>
      <w:pPr>
        <w:pStyle w:val="ListParagraph"/>
        <w:numPr>
          <w:ilvl w:val="0"/>
          <w:numId w:val="2"/>
        </w:numPr>
        <w:spacing w:after="70" w:line="268"/>
      </w:pPr>
      <w:r>
        <w:rPr>
          <w:rFonts w:ascii="Calibri" w:cs="Calibri" w:eastAsia="Calibri" w:hAnsi="Calibri"/>
          <w:b/>
          <w:bCs/>
          <w:color w:val="333333"/>
          <w:sz w:val="22"/>
          <w:szCs w:val="22"/>
        </w:rPr>
        <w:t xml:space="preserve">Same-day cash truth: </w:t>
      </w:r>
      <w:r>
        <w:rPr>
          <w:rFonts w:ascii="Calibri" w:cs="Calibri" w:eastAsia="Calibri" w:hAnsi="Calibri"/>
          <w:color w:val="333333"/>
          <w:sz w:val="22"/>
          <w:szCs w:val="22"/>
        </w:rPr>
        <w:t xml:space="preserve">by 20:30 every evening, Finance sees per rider: what they should have collected, what they recorded, and the difference — with anything over 50 baht or missing flagged.</w:t>
      </w:r>
    </w:p>
    <w:p>
      <w:pPr>
        <w:pStyle w:val="ListParagraph"/>
        <w:numPr>
          <w:ilvl w:val="0"/>
          <w:numId w:val="2"/>
        </w:numPr>
        <w:spacing w:after="70" w:line="268"/>
      </w:pPr>
      <w:r>
        <w:rPr>
          <w:rFonts w:ascii="Calibri" w:cs="Calibri" w:eastAsia="Calibri" w:hAnsi="Calibri"/>
          <w:b/>
          <w:bCs/>
          <w:color w:val="333333"/>
          <w:sz w:val="22"/>
          <w:szCs w:val="22"/>
        </w:rPr>
        <w:t xml:space="preserve">Push, not poll: </w:t>
      </w:r>
      <w:r>
        <w:rPr>
          <w:rFonts w:ascii="Calibri" w:cs="Calibri" w:eastAsia="Calibri" w:hAnsi="Calibri"/>
          <w:color w:val="333333"/>
          <w:sz w:val="22"/>
          <w:szCs w:val="22"/>
        </w:rPr>
        <w:t xml:space="preserve">merchants register once and then get notified of every status change within 30 seconds, reliably, with retries when their side is down.</w:t>
      </w:r>
    </w:p>
    <w:p>
      <w:pPr>
        <w:pStyle w:val="ListParagraph"/>
        <w:numPr>
          <w:ilvl w:val="0"/>
          <w:numId w:val="2"/>
        </w:numPr>
        <w:spacing w:after="70" w:line="268"/>
      </w:pPr>
      <w:r>
        <w:rPr>
          <w:rFonts w:ascii="Calibri" w:cs="Calibri" w:eastAsia="Calibri" w:hAnsi="Calibri"/>
          <w:b/>
          <w:bCs/>
          <w:color w:val="333333"/>
          <w:sz w:val="22"/>
          <w:szCs w:val="22"/>
        </w:rPr>
        <w:t xml:space="preserve">Nothing breaks: </w:t>
      </w:r>
      <w:r>
        <w:rPr>
          <w:rFonts w:ascii="Calibri" w:cs="Calibri" w:eastAsia="Calibri" w:hAnsi="Calibri"/>
          <w:color w:val="333333"/>
          <w:sz w:val="22"/>
          <w:szCs w:val="22"/>
        </w:rPr>
        <w:t xml:space="preserve">M-100, M-113 and M-121 keep working without touching their code. This outranks every feature.</w:t>
      </w:r>
    </w:p>
    <w:p>
      <w:pPr>
        <w:pStyle w:val="Heading1"/>
        <w:spacing w:after="120" w:before="280"/>
      </w:pPr>
      <w:r>
        <w:rPr>
          <w:rFonts w:ascii="Calibri" w:cs="Calibri" w:eastAsia="Calibri" w:hAnsi="Calibri"/>
          <w:b/>
          <w:bCs/>
          <w:color w:val="232F3E"/>
        </w:rPr>
        <w:t xml:space="preserve">3. What is NOT in this project</w:t>
      </w:r>
    </w:p>
    <w:p>
      <w:pPr>
        <w:pStyle w:val="ListParagraph"/>
        <w:numPr>
          <w:ilvl w:val="0"/>
          <w:numId w:val="2"/>
        </w:numPr>
        <w:spacing w:after="70" w:line="268"/>
      </w:pPr>
      <w:r>
        <w:rPr>
          <w:rFonts w:ascii="Calibri" w:cs="Calibri" w:eastAsia="Calibri" w:hAnsi="Calibri"/>
          <w:color w:val="333333"/>
          <w:sz w:val="22"/>
          <w:szCs w:val="22"/>
        </w:rPr>
        <w:t xml:space="preserve">Rider app changes, route optimization, GPS tracking — no</w:t>
      </w:r>
    </w:p>
    <w:p>
      <w:pPr>
        <w:pStyle w:val="ListParagraph"/>
        <w:numPr>
          <w:ilvl w:val="0"/>
          <w:numId w:val="2"/>
        </w:numPr>
        <w:spacing w:after="70" w:line="268"/>
      </w:pPr>
      <w:r>
        <w:rPr>
          <w:rFonts w:ascii="Calibri" w:cs="Calibri" w:eastAsia="Calibri" w:hAnsi="Calibri"/>
          <w:color w:val="333333"/>
          <w:sz w:val="22"/>
          <w:szCs w:val="22"/>
        </w:rPr>
        <w:t xml:space="preserve">New infrastructure (queues, brokers) — Ops cannot operate new middleware this quarter; work within the current stack and document the future upgrade path</w:t>
      </w:r>
    </w:p>
    <w:p>
      <w:pPr>
        <w:pStyle w:val="Heading1"/>
        <w:spacing w:after="120" w:before="280"/>
      </w:pPr>
      <w:r>
        <w:rPr>
          <w:rFonts w:ascii="Calibri" w:cs="Calibri" w:eastAsia="Calibri" w:hAnsi="Calibri"/>
          <w:b/>
          <w:bCs/>
          <w:color w:val="232F3E"/>
        </w:rPr>
        <w:t xml:space="preserve">4. A word about the codebase</w:t>
      </w:r>
    </w:p>
    <w:p>
      <w:pPr>
        <w:spacing w:after="130" w:line="280"/>
      </w:pPr>
      <w:r>
        <w:rPr>
          <w:rFonts w:ascii="Calibri" w:cs="Calibri" w:eastAsia="Calibri" w:hAnsi="Calibri"/>
          <w:color w:val="333333"/>
          <w:sz w:val="22"/>
          <w:szCs w:val="22"/>
        </w:rPr>
        <w:t xml:space="preserve">We know the code has skeletons — it was built fast in 2024. Part of the value we expect from your team is telling us, in writing, what those skeletons are and which ones are dangerous. If you find something that affects money handling, flag it to the CFO's office in your documentation even if fixing it is out of scope.</w:t>
      </w:r>
    </w:p>
    <w:p>
      <w:pPr>
        <w:pStyle w:val="Heading1"/>
        <w:spacing w:after="120" w:before="280"/>
      </w:pPr>
      <w:r>
        <w:rPr>
          <w:rFonts w:ascii="Calibri" w:cs="Calibri" w:eastAsia="Calibri" w:hAnsi="Calibri"/>
          <w:b/>
          <w:bCs/>
          <w:color w:val="232F3E"/>
        </w:rPr>
        <w:t xml:space="preserve">5. How success will be measured</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300"/>
        <w:gridCol w:w="2800"/>
        <w:gridCol w:w="3300"/>
      </w:tblGrid>
      <w:tr>
        <w:trPr>
          <w:tblHeader/>
        </w:trPr>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28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Today</w:t>
            </w:r>
          </w:p>
        </w:tc>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Target</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COD variance detection</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~7 days later, on paper</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same day by 20:30</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WISMO calls to call center</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~900 / day</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under 450 / day</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Merchant polling load</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~20 req/s sustained</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cut to near zero (webhooks)</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Merchant integration breakage</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zero (existing tests keep passing)</w:t>
            </w:r>
          </w:p>
        </w:tc>
      </w:tr>
    </w:tbl>
    <w:p>
      <w:pPr>
        <w:pStyle w:val="Heading1"/>
        <w:spacing w:after="120" w:before="280"/>
      </w:pPr>
      <w:r>
        <w:rPr>
          <w:rFonts w:ascii="Calibri" w:cs="Calibri" w:eastAsia="Calibri" w:hAnsi="Calibri"/>
          <w:b/>
          <w:bCs/>
          <w:color w:val="232F3E"/>
        </w:rPr>
        <w:t xml:space="preserve">6. Attachments</w:t>
      </w:r>
    </w:p>
    <w:p>
      <w:pPr>
        <w:pStyle w:val="ListParagraph"/>
        <w:numPr>
          <w:ilvl w:val="0"/>
          <w:numId w:val="2"/>
        </w:numPr>
        <w:spacing w:after="70" w:line="268"/>
      </w:pPr>
      <w:r>
        <w:rPr>
          <w:rFonts w:ascii="Consolas" w:cs="Consolas" w:eastAsia="Consolas" w:hAnsi="Consolas"/>
          <w:color w:val="333333"/>
          <w:sz w:val="22"/>
          <w:szCs w:val="22"/>
        </w:rPr>
        <w:t xml:space="preserve">starter-code/</w:t>
      </w:r>
      <w:r>
        <w:rPr>
          <w:rFonts w:ascii="Calibri" w:cs="Calibri" w:eastAsia="Calibri" w:hAnsi="Calibri"/>
          <w:color w:val="333333"/>
          <w:sz w:val="22"/>
          <w:szCs w:val="22"/>
        </w:rPr>
        <w:t xml:space="preserve"> — the running ParcelTrack service, as-is, tests included</w:t>
      </w:r>
    </w:p>
    <w:p>
      <w:pPr>
        <w:pStyle w:val="ListParagraph"/>
        <w:numPr>
          <w:ilvl w:val="0"/>
          <w:numId w:val="2"/>
        </w:numPr>
        <w:spacing w:after="70" w:line="268"/>
      </w:pPr>
      <w:r>
        <w:rPr>
          <w:rFonts w:ascii="Consolas" w:cs="Consolas" w:eastAsia="Consolas" w:hAnsi="Consolas"/>
          <w:color w:val="333333"/>
          <w:sz w:val="22"/>
          <w:szCs w:val="22"/>
        </w:rPr>
        <w:t xml:space="preserve">change-request.md</w:t>
      </w:r>
      <w:r>
        <w:rPr>
          <w:rFonts w:ascii="Calibri" w:cs="Calibri" w:eastAsia="Calibri" w:hAnsi="Calibri"/>
          <w:color w:val="333333"/>
          <w:sz w:val="22"/>
          <w:szCs w:val="22"/>
        </w:rPr>
        <w:t xml:space="preserve"> — CR-2026-081 with the exact acceptance demo Operations will run</w:t>
      </w:r>
    </w:p>
    <w:p>
      <w:pPr>
        <w:pStyle w:val="ListParagraph"/>
        <w:numPr>
          <w:ilvl w:val="0"/>
          <w:numId w:val="2"/>
        </w:numPr>
        <w:spacing w:after="70" w:line="268"/>
      </w:pPr>
      <w:r>
        <w:rPr>
          <w:rFonts w:ascii="Consolas" w:cs="Consolas" w:eastAsia="Consolas" w:hAnsi="Consolas"/>
          <w:color w:val="333333"/>
          <w:sz w:val="22"/>
          <w:szCs w:val="22"/>
        </w:rPr>
        <w:t xml:space="preserve">vision-document.md</w:t>
      </w:r>
      <w:r>
        <w:rPr>
          <w:rFonts w:ascii="Calibri" w:cs="Calibri" w:eastAsia="Calibri" w:hAnsi="Calibri"/>
          <w:color w:val="333333"/>
          <w:sz w:val="22"/>
          <w:szCs w:val="22"/>
        </w:rPr>
        <w:t xml:space="preserve"> + </w:t>
      </w:r>
      <w:r>
        <w:rPr>
          <w:rFonts w:ascii="Consolas" w:cs="Consolas" w:eastAsia="Consolas" w:hAnsi="Consolas"/>
          <w:color w:val="333333"/>
          <w:sz w:val="22"/>
          <w:szCs w:val="22"/>
        </w:rPr>
        <w:t xml:space="preserve">technical-environment.md</w:t>
      </w:r>
      <w:r>
        <w:rPr>
          <w:rFonts w:ascii="Calibri" w:cs="Calibri" w:eastAsia="Calibri" w:hAnsi="Calibri"/>
          <w:color w:val="333333"/>
          <w:sz w:val="22"/>
          <w:szCs w:val="22"/>
        </w:rPr>
        <w:t xml:space="preserve"> — context and the hard compatibility rules</w:t>
      </w:r>
    </w:p>
    <w:p>
      <w:pPr>
        <w:pStyle w:val="ListParagraph"/>
        <w:numPr>
          <w:ilvl w:val="0"/>
          <w:numId w:val="2"/>
        </w:numPr>
        <w:spacing w:after="70" w:line="268"/>
      </w:pPr>
      <w:r>
        <w:rPr>
          <w:rFonts w:ascii="Consolas" w:cs="Consolas" w:eastAsia="Consolas" w:hAnsi="Consolas"/>
          <w:color w:val="333333"/>
          <w:sz w:val="22"/>
          <w:szCs w:val="22"/>
        </w:rPr>
        <w:t xml:space="preserve">sample-cod-day.csv</w:t>
      </w:r>
      <w:r>
        <w:rPr>
          <w:rFonts w:ascii="Calibri" w:cs="Calibri" w:eastAsia="Calibri" w:hAnsi="Calibri"/>
          <w:color w:val="333333"/>
          <w:sz w:val="22"/>
          <w:szCs w:val="22"/>
        </w:rPr>
        <w:t xml:space="preserve"> — a real-shaped COD day; it contains the kind of discrepancies we need you to catch</w:t>
      </w:r>
    </w:p>
    <w:p>
      <w:pPr>
        <w:spacing w:after="30" w:before="260"/>
      </w:pPr>
      <w:r>
        <w:rPr>
          <w:rFonts w:ascii="Calibri" w:cs="Calibri" w:eastAsia="Calibri" w:hAnsi="Calibri"/>
          <w:color w:val="333333"/>
          <w:sz w:val="22"/>
          <w:szCs w:val="22"/>
        </w:rPr>
        <w:t xml:space="preserve">Approved for execution,</w:t>
      </w:r>
    </w:p>
    <w:p>
      <w:pPr>
        <w:spacing w:after="20"/>
      </w:pPr>
      <w:r>
        <w:rPr>
          <w:rFonts w:ascii="Calibri" w:cs="Calibri" w:eastAsia="Calibri" w:hAnsi="Calibri"/>
          <w:b/>
          <w:bCs/>
          <w:color w:val="232F3E"/>
          <w:sz w:val="22"/>
          <w:szCs w:val="22"/>
        </w:rPr>
        <w:t xml:space="preserve">Somchai Rattanaporn</w:t>
      </w:r>
      <w:r>
        <w:rPr>
          <w:rFonts w:ascii="Calibri" w:cs="Calibri" w:eastAsia="Calibri" w:hAnsi="Calibri"/>
          <w:color w:val="6B7A8F"/>
          <w:sz w:val="20"/>
          <w:szCs w:val="20"/>
        </w:rPr>
        <w:t xml:space="preserve">   —   Head of Operations</w:t>
      </w:r>
    </w:p>
    <w:p>
      <w:pPr>
        <w:spacing w:after="20"/>
      </w:pPr>
      <w:r>
        <w:rPr>
          <w:rFonts w:ascii="Calibri" w:cs="Calibri" w:eastAsia="Calibri" w:hAnsi="Calibri"/>
          <w:b/>
          <w:bCs/>
          <w:color w:val="232F3E"/>
          <w:sz w:val="22"/>
          <w:szCs w:val="22"/>
        </w:rPr>
        <w:t xml:space="preserve">Kanda Limcharoen</w:t>
      </w:r>
      <w:r>
        <w:rPr>
          <w:rFonts w:ascii="Calibri" w:cs="Calibri" w:eastAsia="Calibri" w:hAnsi="Calibri"/>
          <w:color w:val="6B7A8F"/>
          <w:sz w:val="20"/>
          <w:szCs w:val="20"/>
        </w:rPr>
        <w:t xml:space="preserve">   —   CFO (variance report owner)</w:t>
      </w:r>
    </w:p>
    <w:p>
      <w:pPr>
        <w:spacing w:before="160"/>
      </w:pPr>
      <w:r>
        <w:rPr>
          <w:rFonts w:ascii="Calibri" w:cs="Calibri" w:eastAsia="Calibri" w:hAnsi="Calibri"/>
          <w:i/>
          <w:iCs/>
          <w:color w:val="6B7A8F"/>
          <w:sz w:val="19"/>
          <w:szCs w:val="19"/>
        </w:rPr>
        <w:t xml:space="preserve">This memo and its attachments are the complete business input. The engineering team is expected to challenge ambiguities through its structured workflow — not to assume.</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2026-08-10T04:10:12.628Z</dcterms:created>
  <dcterms:modified xsi:type="dcterms:W3CDTF">2026-08-10T04:10:12.628Z</dcterms:modified>
</cp:coreProperties>
</file>

<file path=docProps/custom.xml><?xml version="1.0" encoding="utf-8"?>
<Properties xmlns="http://schemas.openxmlformats.org/officeDocument/2006/custom-properties" xmlns:vt="http://schemas.openxmlformats.org/officeDocument/2006/docPropsVTypes"/>
</file>