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eastAsia="Microsoft YaHei" w:cs="Tahoma"/>
          <w:b/>
          <w:color w:val="0B2545"/>
          <w:sz w:val="44"/>
        </w:rPr>
        <w:t>猎头服务报价单</w:t>
      </w:r>
    </w:p>
    <w:p>
      <w:pPr>
        <w:spacing w:before="0" w:after="200" w:line="264" w:lineRule="auto"/>
        <w:jc w:val="center"/>
      </w:pPr>
      <w:r>
        <w:rPr>
          <w:rFonts w:ascii="Calibri" w:hAnsi="Calibri" w:eastAsia="Microsoft YaHei" w:cs="Tahoma"/>
          <w:b w:val="0"/>
          <w:color w:val="555555"/>
          <w:sz w:val="22"/>
        </w:rPr>
        <w:t>Headhunting Service Quotation</w:t>
      </w:r>
    </w:p>
    <w:tbl>
      <w:tblPr>
        <w:tblW w:type="dxa" w:w="9360"/>
        <w:tblInd w:w="120" w:type="dxa"/>
      </w:tblPr>
      <w:tblGrid>
        <w:gridCol w:w="3000"/>
        <w:gridCol w:w="6360"/>
      </w:tblGrid>
      <w:tr>
        <w:tc>
          <w:tcPr>
            <w:tcW w:type="dxa" w:w="3000"/>
            <w:vAlign w:val="center"/>
            <w:tcMar>
              <w:top w:w="80" w:type="dxa"/>
              <w:start w:w="120" w:type="dxa"/>
              <w:bottom w:w="80" w:type="dxa"/>
              <w:end w:w="120" w:type="dxa"/>
            </w:tcMar>
            <w:tcBorders>
              <w:right w:val="single" w:sz="8" w:space="0" w:color="000000"/>
              <w:bottom w:val="single" w:sz="8" w:space="0" w:color="000000"/>
              <w:top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客户名称 / Client</w:t>
            </w:r>
          </w:p>
        </w:tc>
        <w:tc>
          <w:tcPr>
            <w:tcW w:type="dxa" w:w="6360"/>
            <w:vAlign w:val="center"/>
            <w:tcMar>
              <w:top w:w="80" w:type="dxa"/>
              <w:start w:w="120" w:type="dxa"/>
              <w:bottom w:w="80" w:type="dxa"/>
              <w:end w:w="120" w:type="dxa"/>
            </w:tcMar>
            <w:tcBorders>
              <w:right w:val="single" w:sz="8" w:space="0" w:color="000000"/>
              <w:bottom w:val="single" w:sz="8" w:space="0" w:color="000000"/>
              <w:top w:val="single" w:sz="8" w:space="0" w:color="000000"/>
            </w:tcBorders>
          </w:tcPr>
          <w:p>
            <w:pPr>
              <w:spacing w:before="0" w:after="0" w:line="264" w:lineRule="auto"/>
            </w:pPr>
            <w:r/>
            <w:r>
              <w:rPr>
                <w:rFonts w:ascii="Calibri" w:hAnsi="Calibri" w:eastAsia="Microsoft YaHei" w:cs="Tahoma"/>
                <w:b w:val="0"/>
                <w:sz w:val="21"/>
              </w:rPr>
              <w:t>[客户名称 / Client Name]</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项目名称 / Project</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[项目名称 / Project Name]</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服务内容 / Service Scope</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岗位需求沟通、候选人寻访、初步筛选、候选人推荐、面试协调、录用协助及入职跟进。</w:t>
              <w:br/>
              <w:t>Role briefing, candidate sourcing, preliminary screening, candidate presentation, interview coordination, offer support and onboarding follow-up.</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报价日期 / Quotation Date</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[报价日期 / Quotation Date]</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报价币种 / Currency</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泰铢（THB） / Thai Baht (THB)</w:t>
            </w:r>
          </w:p>
        </w:tc>
      </w:tr>
    </w:tbl>
    <w:p/>
    <w:p>
      <w:pPr>
        <w:spacing w:before="240" w:after="100" w:line="264" w:lineRule="auto"/>
      </w:pPr>
      <w:r>
        <w:rPr>
          <w:rFonts w:ascii="Calibri" w:hAnsi="Calibri" w:eastAsia="Microsoft YaHei" w:cs="Tahoma"/>
          <w:b/>
          <w:color w:val="2E74B5"/>
          <w:sz w:val="27"/>
        </w:rPr>
        <w:t>岗位需求与报价 / Role Requirements and Quotation</w:t>
      </w:r>
    </w:p>
    <w:tbl>
      <w:tblPr>
        <w:tblW w:type="dxa" w:w="9360"/>
        <w:tblInd w:w="120" w:type="dxa"/>
      </w:tblPr>
      <w:tblGrid>
        <w:gridCol w:w="3000"/>
        <w:gridCol w:w="6360"/>
      </w:tblGrid>
      <w:tr>
        <w:tc>
          <w:tcPr>
            <w:tcW w:type="dxa" w:w="3000"/>
            <w:vAlign w:val="center"/>
            <w:tcMar>
              <w:top w:w="80" w:type="dxa"/>
              <w:start w:w="120" w:type="dxa"/>
              <w:bottom w:w="80" w:type="dxa"/>
              <w:end w:w="120" w:type="dxa"/>
            </w:tcMar>
            <w:tcBorders>
              <w:right w:val="single" w:sz="8" w:space="0" w:color="000000"/>
              <w:bottom w:val="single" w:sz="8" w:space="0" w:color="000000"/>
              <w:top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招聘岗位 / Position</w:t>
            </w:r>
          </w:p>
        </w:tc>
        <w:tc>
          <w:tcPr>
            <w:tcW w:type="dxa" w:w="6360"/>
            <w:vAlign w:val="center"/>
            <w:tcMar>
              <w:top w:w="80" w:type="dxa"/>
              <w:start w:w="120" w:type="dxa"/>
              <w:bottom w:w="80" w:type="dxa"/>
              <w:end w:w="120" w:type="dxa"/>
            </w:tcMar>
            <w:tcBorders>
              <w:right w:val="single" w:sz="8" w:space="0" w:color="000000"/>
              <w:bottom w:val="single" w:sz="8" w:space="0" w:color="000000"/>
              <w:top w:val="single" w:sz="8" w:space="0" w:color="000000"/>
            </w:tcBorders>
          </w:tcPr>
          <w:p>
            <w:pPr>
              <w:spacing w:before="0" w:after="0" w:line="264" w:lineRule="auto"/>
            </w:pPr>
            <w:r/>
            <w:r>
              <w:rPr>
                <w:rFonts w:ascii="Calibri" w:hAnsi="Calibri" w:eastAsia="Microsoft YaHei" w:cs="Tahoma"/>
                <w:b w:val="0"/>
                <w:sz w:val="21"/>
              </w:rPr>
              <w:t>[岗位名称 / Position Title]</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招聘人数 / Headcount</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[招聘人数 / Headcount]</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工作地点 / Work Location</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[工作地点 / Work Location]</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核心需求 / Key Requirements</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[候选人资历、语言、技能及其他岗位要求 / Candidate experience, language, skills and other requirements]</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预估使用服务费率 / Estimated Applicable Service Fee Rate</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[预估使用服务费率 / Estimated Service Fee Rate]</w:t>
            </w:r>
          </w:p>
        </w:tc>
      </w:tr>
    </w:tbl>
    <w:p/>
    <w:p>
      <w:pPr>
        <w:spacing w:before="60" w:after="80" w:line="264" w:lineRule="auto"/>
        <w:jc w:val="right"/>
      </w:pPr>
      <w:r>
        <w:rPr>
          <w:rFonts w:ascii="Calibri" w:hAnsi="Calibri" w:eastAsia="Microsoft YaHei" w:cs="Tahoma"/>
          <w:b/>
          <w:color w:val="0B2545"/>
          <w:sz w:val="20"/>
        </w:rPr>
        <w:t xml:space="preserve">报价单位 / Quotation Issuer: </w:t>
      </w:r>
      <w:r>
        <w:rPr>
          <w:rFonts w:ascii="Calibri" w:hAnsi="Calibri" w:eastAsia="Microsoft YaHei" w:cs="Tahoma"/>
          <w:b w:val="0"/>
          <w:sz w:val="20"/>
        </w:rPr>
        <w:t>HIREBOX CO., LTD. / 海钡人力泰国有限公司</w:t>
      </w:r>
    </w:p>
    <w:p>
      <w:pPr>
        <w:spacing w:before="60" w:after="80" w:line="264" w:lineRule="auto"/>
        <w:jc w:val="right"/>
      </w:pPr>
      <w:r>
        <w:rPr>
          <w:rFonts w:ascii="Calibri" w:hAnsi="Calibri" w:eastAsia="Microsoft YaHei" w:cs="Tahoma"/>
          <w:b/>
          <w:color w:val="0B2545"/>
          <w:sz w:val="20"/>
        </w:rPr>
        <w:t xml:space="preserve">签署日期 / Date: </w:t>
      </w:r>
      <w:r>
        <w:rPr>
          <w:rFonts w:ascii="Calibri" w:hAnsi="Calibri" w:eastAsia="Microsoft YaHei" w:cs="Tahoma"/>
          <w:b w:val="0"/>
          <w:sz w:val="20"/>
        </w:rPr>
        <w:t>[签署日期 / Date]</w:t>
      </w:r>
    </w:p>
    <w:p>
      <w:r>
        <w:br w:type="page"/>
      </w:r>
    </w:p>
    <w:p>
      <w:pPr>
        <w:spacing w:before="0" w:after="60" w:line="264" w:lineRule="auto"/>
        <w:jc w:val="center"/>
      </w:pPr>
      <w:r>
        <w:rPr>
          <w:rFonts w:ascii="Calibri" w:hAnsi="Calibri" w:eastAsia="Microsoft YaHei" w:cs="Tahoma"/>
          <w:b/>
          <w:color w:val="0B2545"/>
          <w:sz w:val="38"/>
        </w:rPr>
        <w:t>报价标准附件</w:t>
      </w:r>
    </w:p>
    <w:p>
      <w:pPr>
        <w:spacing w:before="0" w:after="160" w:line="264" w:lineRule="auto"/>
        <w:jc w:val="center"/>
      </w:pPr>
      <w:r>
        <w:rPr>
          <w:rFonts w:ascii="Calibri" w:hAnsi="Calibri" w:eastAsia="Microsoft YaHei" w:cs="Tahoma"/>
          <w:b w:val="0"/>
          <w:color w:val="555555"/>
          <w:sz w:val="21"/>
        </w:rPr>
        <w:t>Appendix: Quotation Standards</w:t>
      </w:r>
    </w:p>
    <w:p>
      <w:pPr>
        <w:spacing w:before="0" w:after="100" w:line="264" w:lineRule="auto"/>
      </w:pPr>
      <w:r>
        <w:rPr>
          <w:rFonts w:ascii="Calibri" w:hAnsi="Calibri" w:eastAsia="Microsoft YaHei" w:cs="Tahoma"/>
          <w:b w:val="0"/>
          <w:sz w:val="19"/>
        </w:rPr>
        <w:t>本附件为海钡人力固定的猎头服务报价与付款标准。 / This appendix sets out HIREBOX's standard headhunting service fee and payment terms.</w:t>
      </w:r>
    </w:p>
    <w:p>
      <w:pPr>
        <w:spacing w:before="120" w:after="100" w:line="264" w:lineRule="auto"/>
      </w:pPr>
      <w:r>
        <w:rPr>
          <w:rFonts w:ascii="Calibri" w:hAnsi="Calibri" w:eastAsia="Microsoft YaHei" w:cs="Tahoma"/>
          <w:b/>
          <w:color w:val="2E74B5"/>
          <w:sz w:val="27"/>
        </w:rPr>
        <w:t>服务费率标准 / Service Fee Schedule</w:t>
      </w:r>
    </w:p>
    <w:tbl>
      <w:tblPr>
        <w:tblW w:type="dxa" w:w="9360"/>
        <w:tblInd w:w="120" w:type="dxa"/>
      </w:tblPr>
      <w:tblGrid>
        <w:gridCol w:w="3300"/>
        <w:gridCol w:w="1900"/>
        <w:gridCol w:w="4160"/>
      </w:tblGrid>
      <w:tr>
        <w:tc>
          <w:tcPr>
            <w:tcW w:type="dxa" w:w="3300"/>
            <w:vAlign w:val="center"/>
            <w:tcMar>
              <w:top w:w="80" w:type="dxa"/>
              <w:start w:w="120" w:type="dxa"/>
              <w:bottom w:w="80" w:type="dxa"/>
              <w:end w:w="120" w:type="dxa"/>
            </w:tcMar>
            <w:tcBorders>
              <w:right w:val="single" w:sz="8" w:space="0" w:color="000000"/>
              <w:bottom w:val="single" w:sz="8" w:space="0" w:color="000000"/>
              <w:top w:val="single" w:sz="8" w:space="0" w:color="000000"/>
              <w:left w:val="single" w:sz="8" w:space="0" w:color="000000"/>
            </w:tcBorders>
            <w:shd w:fill="E8EEF5"/>
          </w:tcPr>
          <w:p>
            <w:pPr>
              <w:spacing w:before="0" w:after="0" w:line="252" w:lineRule="auto"/>
              <w:jc w:val="center"/>
            </w:pPr>
            <w:r/>
            <w:r>
              <w:rPr>
                <w:rFonts w:ascii="Calibri" w:hAnsi="Calibri" w:eastAsia="Microsoft YaHei" w:cs="Tahoma"/>
                <w:b/>
                <w:color w:val="0B2545"/>
                <w:sz w:val="19"/>
              </w:rPr>
              <w:t>候选人年薪区间</w:t>
              <w:br/>
              <w:t>Candidate Annual Salary Range</w:t>
            </w:r>
          </w:p>
        </w:tc>
        <w:tc>
          <w:tcPr>
            <w:tcW w:type="dxa" w:w="1900"/>
            <w:vAlign w:val="center"/>
            <w:tcMar>
              <w:top w:w="80" w:type="dxa"/>
              <w:start w:w="120" w:type="dxa"/>
              <w:bottom w:w="80" w:type="dxa"/>
              <w:end w:w="120" w:type="dxa"/>
            </w:tcMar>
            <w:tcBorders>
              <w:right w:val="single" w:sz="8" w:space="0" w:color="000000"/>
              <w:bottom w:val="single" w:sz="8" w:space="0" w:color="000000"/>
              <w:top w:val="single" w:sz="8" w:space="0" w:color="000000"/>
            </w:tcBorders>
            <w:shd w:fill="E8EEF5"/>
          </w:tcPr>
          <w:p>
            <w:pPr>
              <w:spacing w:before="0" w:after="0" w:line="252" w:lineRule="auto"/>
              <w:jc w:val="center"/>
            </w:pPr>
            <w:r/>
            <w:r>
              <w:rPr>
                <w:rFonts w:ascii="Calibri" w:hAnsi="Calibri" w:eastAsia="Microsoft YaHei" w:cs="Tahoma"/>
                <w:b/>
                <w:color w:val="0B2545"/>
                <w:sz w:val="19"/>
              </w:rPr>
              <w:t>质保期</w:t>
              <w:br/>
              <w:t>Guarantee Period</w:t>
            </w:r>
          </w:p>
        </w:tc>
        <w:tc>
          <w:tcPr>
            <w:tcW w:type="dxa" w:w="4160"/>
            <w:vAlign w:val="center"/>
            <w:tcMar>
              <w:top w:w="80" w:type="dxa"/>
              <w:start w:w="120" w:type="dxa"/>
              <w:bottom w:w="80" w:type="dxa"/>
              <w:end w:w="120" w:type="dxa"/>
            </w:tcMar>
            <w:tcBorders>
              <w:right w:val="single" w:sz="8" w:space="0" w:color="000000"/>
              <w:bottom w:val="single" w:sz="8" w:space="0" w:color="000000"/>
              <w:top w:val="single" w:sz="8" w:space="0" w:color="000000"/>
            </w:tcBorders>
            <w:shd w:fill="E8EEF5"/>
          </w:tcPr>
          <w:p>
            <w:pPr>
              <w:spacing w:before="0" w:after="0" w:line="252" w:lineRule="auto"/>
              <w:jc w:val="center"/>
            </w:pPr>
            <w:r/>
            <w:r>
              <w:rPr>
                <w:rFonts w:ascii="Calibri" w:hAnsi="Calibri" w:eastAsia="Microsoft YaHei" w:cs="Tahoma"/>
                <w:b/>
                <w:color w:val="0B2545"/>
                <w:sz w:val="19"/>
              </w:rPr>
              <w:t>服务费标准</w:t>
              <w:br/>
              <w:t>Service Fee</w:t>
            </w:r>
          </w:p>
        </w:tc>
      </w:tr>
      <w:tr>
        <w:tc>
          <w:tcPr>
            <w:tcW w:type="dxa" w:w="3300"/>
            <w:vAlign w:val="center"/>
            <w:tcMar>
              <w:top w:w="80" w:type="dxa"/>
              <w:start w:w="120" w:type="dxa"/>
              <w:bottom w:w="80" w:type="dxa"/>
              <w:end w:w="120" w:type="dxa"/>
            </w:tcMar>
            <w:tcBorders>
              <w:right w:val="single" w:sz="8" w:space="0" w:color="000000"/>
              <w:bottom w:val="single" w:sz="8" w:space="0" w:color="000000"/>
              <w:left w:val="single" w:sz="8" w:space="0" w:color="000000"/>
            </w:tcBorders>
          </w:tcPr>
          <w:p>
            <w:pPr>
              <w:spacing w:before="0" w:after="0" w:line="252" w:lineRule="auto"/>
              <w:jc w:val="center"/>
            </w:pPr>
            <w:r/>
            <w:r>
              <w:rPr>
                <w:rFonts w:ascii="Calibri" w:hAnsi="Calibri" w:eastAsia="Microsoft YaHei" w:cs="Tahoma"/>
                <w:b w:val="0"/>
                <w:sz w:val="19"/>
              </w:rPr>
              <w:t>不超过 300,000 泰铢</w:t>
              <w:br/>
              <w:t>Up to THB 300,000</w:t>
            </w:r>
          </w:p>
        </w:tc>
        <w:tc>
          <w:tcPr>
            <w:tcW w:type="dxa" w:w="1900"/>
            <w:vAlign w:val="center"/>
            <w:tcMar>
              <w:top w:w="80" w:type="dxa"/>
              <w:start w:w="120" w:type="dxa"/>
              <w:bottom w:w="80" w:type="dxa"/>
              <w:end w:w="120" w:type="dxa"/>
            </w:tcMar>
            <w:tcBorders>
              <w:right w:val="single" w:sz="8" w:space="0" w:color="000000"/>
              <w:bottom w:val="single" w:sz="8" w:space="0" w:color="000000"/>
            </w:tcBorders>
          </w:tcPr>
          <w:p>
            <w:pPr>
              <w:spacing w:before="0" w:after="0" w:line="252" w:lineRule="auto"/>
              <w:jc w:val="center"/>
            </w:pPr>
            <w:r/>
            <w:r>
              <w:rPr>
                <w:rFonts w:ascii="Calibri" w:hAnsi="Calibri" w:eastAsia="Microsoft YaHei" w:cs="Tahoma"/>
                <w:b w:val="0"/>
                <w:sz w:val="19"/>
              </w:rPr>
              <w:t>60 天</w:t>
              <w:br/>
              <w:t>60 days</w:t>
            </w:r>
          </w:p>
        </w:tc>
        <w:tc>
          <w:tcPr>
            <w:tcW w:type="dxa" w:w="4160"/>
            <w:vAlign w:val="center"/>
            <w:tcMar>
              <w:top w:w="80" w:type="dxa"/>
              <w:start w:w="120" w:type="dxa"/>
              <w:bottom w:w="80" w:type="dxa"/>
              <w:end w:w="120" w:type="dxa"/>
            </w:tcMar>
            <w:tcBorders>
              <w:right w:val="single" w:sz="8" w:space="0" w:color="000000"/>
              <w:bottom w:val="single" w:sz="8" w:space="0" w:color="000000"/>
            </w:tcBorders>
          </w:tcPr>
          <w:p>
            <w:pPr>
              <w:spacing w:before="0" w:after="0" w:line="252" w:lineRule="auto"/>
              <w:jc w:val="center"/>
            </w:pPr>
            <w:r/>
            <w:r>
              <w:rPr>
                <w:rFonts w:ascii="Calibri" w:hAnsi="Calibri" w:eastAsia="Microsoft YaHei" w:cs="Tahoma"/>
                <w:b w:val="0"/>
                <w:sz w:val="19"/>
              </w:rPr>
              <w:t>年薪的 10%</w:t>
              <w:br/>
              <w:t>10% of annual salary</w:t>
            </w:r>
          </w:p>
        </w:tc>
      </w:tr>
      <w:tr>
        <w:tc>
          <w:tcPr>
            <w:tcW w:type="dxa" w:w="3300"/>
            <w:vAlign w:val="center"/>
            <w:tcMar>
              <w:top w:w="80" w:type="dxa"/>
              <w:start w:w="120" w:type="dxa"/>
              <w:bottom w:w="80" w:type="dxa"/>
              <w:end w:w="120" w:type="dxa"/>
            </w:tcMar>
            <w:tcBorders>
              <w:right w:val="single" w:sz="8" w:space="0" w:color="000000"/>
              <w:bottom w:val="single" w:sz="8" w:space="0" w:color="000000"/>
              <w:left w:val="single" w:sz="8" w:space="0" w:color="000000"/>
            </w:tcBorders>
          </w:tcPr>
          <w:p>
            <w:pPr>
              <w:spacing w:before="0" w:after="0" w:line="252" w:lineRule="auto"/>
              <w:jc w:val="center"/>
            </w:pPr>
            <w:r/>
            <w:r>
              <w:rPr>
                <w:rFonts w:ascii="Calibri" w:hAnsi="Calibri" w:eastAsia="Microsoft YaHei" w:cs="Tahoma"/>
                <w:b w:val="0"/>
                <w:sz w:val="19"/>
              </w:rPr>
              <w:t>THB 300,000 至 THB 900,000</w:t>
              <w:br/>
              <w:t>THB 300,000 to THB 900,000</w:t>
            </w:r>
          </w:p>
        </w:tc>
        <w:tc>
          <w:tcPr>
            <w:tcW w:type="dxa" w:w="1900"/>
            <w:vAlign w:val="center"/>
            <w:tcMar>
              <w:top w:w="80" w:type="dxa"/>
              <w:start w:w="120" w:type="dxa"/>
              <w:bottom w:w="80" w:type="dxa"/>
              <w:end w:w="120" w:type="dxa"/>
            </w:tcMar>
            <w:tcBorders>
              <w:right w:val="single" w:sz="8" w:space="0" w:color="000000"/>
              <w:bottom w:val="single" w:sz="8" w:space="0" w:color="000000"/>
            </w:tcBorders>
          </w:tcPr>
          <w:p>
            <w:pPr>
              <w:spacing w:before="0" w:after="0" w:line="252" w:lineRule="auto"/>
              <w:jc w:val="center"/>
            </w:pPr>
            <w:r/>
            <w:r>
              <w:rPr>
                <w:rFonts w:ascii="Calibri" w:hAnsi="Calibri" w:eastAsia="Microsoft YaHei" w:cs="Tahoma"/>
                <w:b w:val="0"/>
                <w:sz w:val="19"/>
              </w:rPr>
              <w:t>60 天</w:t>
              <w:br/>
              <w:t>60 days</w:t>
            </w:r>
          </w:p>
        </w:tc>
        <w:tc>
          <w:tcPr>
            <w:tcW w:type="dxa" w:w="4160"/>
            <w:vAlign w:val="center"/>
            <w:tcMar>
              <w:top w:w="80" w:type="dxa"/>
              <w:start w:w="120" w:type="dxa"/>
              <w:bottom w:w="80" w:type="dxa"/>
              <w:end w:w="120" w:type="dxa"/>
            </w:tcMar>
            <w:tcBorders>
              <w:right w:val="single" w:sz="8" w:space="0" w:color="000000"/>
              <w:bottom w:val="single" w:sz="8" w:space="0" w:color="000000"/>
            </w:tcBorders>
          </w:tcPr>
          <w:p>
            <w:pPr>
              <w:spacing w:before="0" w:after="0" w:line="252" w:lineRule="auto"/>
              <w:jc w:val="center"/>
            </w:pPr>
            <w:r/>
            <w:r>
              <w:rPr>
                <w:rFonts w:ascii="Calibri" w:hAnsi="Calibri" w:eastAsia="Microsoft YaHei" w:cs="Tahoma"/>
                <w:b w:val="0"/>
                <w:sz w:val="19"/>
              </w:rPr>
              <w:t>年薪的 15%</w:t>
              <w:br/>
              <w:t>15% of annual salary</w:t>
            </w:r>
          </w:p>
        </w:tc>
      </w:tr>
      <w:tr>
        <w:tc>
          <w:tcPr>
            <w:tcW w:type="dxa" w:w="3300"/>
            <w:vAlign w:val="center"/>
            <w:tcMar>
              <w:top w:w="80" w:type="dxa"/>
              <w:start w:w="120" w:type="dxa"/>
              <w:bottom w:w="80" w:type="dxa"/>
              <w:end w:w="120" w:type="dxa"/>
            </w:tcMar>
            <w:tcBorders>
              <w:right w:val="single" w:sz="8" w:space="0" w:color="000000"/>
              <w:bottom w:val="single" w:sz="8" w:space="0" w:color="000000"/>
              <w:left w:val="single" w:sz="8" w:space="0" w:color="000000"/>
            </w:tcBorders>
          </w:tcPr>
          <w:p>
            <w:pPr>
              <w:spacing w:before="0" w:after="0" w:line="252" w:lineRule="auto"/>
              <w:jc w:val="center"/>
            </w:pPr>
            <w:r/>
            <w:r>
              <w:rPr>
                <w:rFonts w:ascii="Calibri" w:hAnsi="Calibri" w:eastAsia="Microsoft YaHei" w:cs="Tahoma"/>
                <w:b w:val="0"/>
                <w:sz w:val="19"/>
              </w:rPr>
              <w:t>THB 900,000 至 THB 1,800,000</w:t>
              <w:br/>
              <w:t>THB 900,000 to THB 1,800,000</w:t>
            </w:r>
          </w:p>
        </w:tc>
        <w:tc>
          <w:tcPr>
            <w:tcW w:type="dxa" w:w="1900"/>
            <w:vAlign w:val="center"/>
            <w:tcMar>
              <w:top w:w="80" w:type="dxa"/>
              <w:start w:w="120" w:type="dxa"/>
              <w:bottom w:w="80" w:type="dxa"/>
              <w:end w:w="120" w:type="dxa"/>
            </w:tcMar>
            <w:tcBorders>
              <w:right w:val="single" w:sz="8" w:space="0" w:color="000000"/>
              <w:bottom w:val="single" w:sz="8" w:space="0" w:color="000000"/>
            </w:tcBorders>
          </w:tcPr>
          <w:p>
            <w:pPr>
              <w:spacing w:before="0" w:after="0" w:line="252" w:lineRule="auto"/>
              <w:jc w:val="center"/>
            </w:pPr>
            <w:r/>
            <w:r>
              <w:rPr>
                <w:rFonts w:ascii="Calibri" w:hAnsi="Calibri" w:eastAsia="Microsoft YaHei" w:cs="Tahoma"/>
                <w:b w:val="0"/>
                <w:sz w:val="19"/>
              </w:rPr>
              <w:t>90 天</w:t>
              <w:br/>
              <w:t>90 days</w:t>
            </w:r>
          </w:p>
        </w:tc>
        <w:tc>
          <w:tcPr>
            <w:tcW w:type="dxa" w:w="4160"/>
            <w:vAlign w:val="center"/>
            <w:tcMar>
              <w:top w:w="80" w:type="dxa"/>
              <w:start w:w="120" w:type="dxa"/>
              <w:bottom w:w="80" w:type="dxa"/>
              <w:end w:w="120" w:type="dxa"/>
            </w:tcMar>
            <w:tcBorders>
              <w:right w:val="single" w:sz="8" w:space="0" w:color="000000"/>
              <w:bottom w:val="single" w:sz="8" w:space="0" w:color="000000"/>
            </w:tcBorders>
          </w:tcPr>
          <w:p>
            <w:pPr>
              <w:spacing w:before="0" w:after="0" w:line="252" w:lineRule="auto"/>
              <w:jc w:val="center"/>
            </w:pPr>
            <w:r/>
            <w:r>
              <w:rPr>
                <w:rFonts w:ascii="Calibri" w:hAnsi="Calibri" w:eastAsia="Microsoft YaHei" w:cs="Tahoma"/>
                <w:b w:val="0"/>
                <w:sz w:val="19"/>
              </w:rPr>
              <w:t>年薪的 20%</w:t>
              <w:br/>
              <w:t>20% of annual salary</w:t>
            </w:r>
          </w:p>
        </w:tc>
      </w:tr>
      <w:tr>
        <w:tc>
          <w:tcPr>
            <w:tcW w:type="dxa" w:w="3300"/>
            <w:vAlign w:val="center"/>
            <w:tcMar>
              <w:top w:w="80" w:type="dxa"/>
              <w:start w:w="120" w:type="dxa"/>
              <w:bottom w:w="80" w:type="dxa"/>
              <w:end w:w="120" w:type="dxa"/>
            </w:tcMar>
            <w:tcBorders>
              <w:right w:val="single" w:sz="8" w:space="0" w:color="000000"/>
              <w:bottom w:val="single" w:sz="8" w:space="0" w:color="000000"/>
              <w:left w:val="single" w:sz="8" w:space="0" w:color="000000"/>
            </w:tcBorders>
          </w:tcPr>
          <w:p>
            <w:pPr>
              <w:spacing w:before="0" w:after="0" w:line="252" w:lineRule="auto"/>
              <w:jc w:val="center"/>
            </w:pPr>
            <w:r/>
            <w:r>
              <w:rPr>
                <w:rFonts w:ascii="Calibri" w:hAnsi="Calibri" w:eastAsia="Microsoft YaHei" w:cs="Tahoma"/>
                <w:b w:val="0"/>
                <w:sz w:val="19"/>
              </w:rPr>
              <w:t>超过 THB 1,800,000</w:t>
              <w:br/>
              <w:t>Above THB 1,800,000</w:t>
            </w:r>
          </w:p>
        </w:tc>
        <w:tc>
          <w:tcPr>
            <w:tcW w:type="dxa" w:w="1900"/>
            <w:vAlign w:val="center"/>
            <w:tcMar>
              <w:top w:w="80" w:type="dxa"/>
              <w:start w:w="120" w:type="dxa"/>
              <w:bottom w:w="80" w:type="dxa"/>
              <w:end w:w="120" w:type="dxa"/>
            </w:tcMar>
            <w:tcBorders>
              <w:right w:val="single" w:sz="8" w:space="0" w:color="000000"/>
              <w:bottom w:val="single" w:sz="8" w:space="0" w:color="000000"/>
            </w:tcBorders>
          </w:tcPr>
          <w:p>
            <w:pPr>
              <w:spacing w:before="0" w:after="0" w:line="252" w:lineRule="auto"/>
              <w:jc w:val="center"/>
            </w:pPr>
            <w:r/>
            <w:r>
              <w:rPr>
                <w:rFonts w:ascii="Calibri" w:hAnsi="Calibri" w:eastAsia="Microsoft YaHei" w:cs="Tahoma"/>
                <w:b w:val="0"/>
                <w:sz w:val="19"/>
              </w:rPr>
              <w:t>90 天</w:t>
              <w:br/>
              <w:t>90 days</w:t>
            </w:r>
          </w:p>
        </w:tc>
        <w:tc>
          <w:tcPr>
            <w:tcW w:type="dxa" w:w="4160"/>
            <w:vAlign w:val="center"/>
            <w:tcMar>
              <w:top w:w="80" w:type="dxa"/>
              <w:start w:w="120" w:type="dxa"/>
              <w:bottom w:w="80" w:type="dxa"/>
              <w:end w:w="120" w:type="dxa"/>
            </w:tcMar>
            <w:tcBorders>
              <w:right w:val="single" w:sz="8" w:space="0" w:color="000000"/>
              <w:bottom w:val="single" w:sz="8" w:space="0" w:color="000000"/>
            </w:tcBorders>
          </w:tcPr>
          <w:p>
            <w:pPr>
              <w:spacing w:before="0" w:after="0" w:line="252" w:lineRule="auto"/>
              <w:jc w:val="center"/>
            </w:pPr>
            <w:r/>
            <w:r>
              <w:rPr>
                <w:rFonts w:ascii="Calibri" w:hAnsi="Calibri" w:eastAsia="Microsoft YaHei" w:cs="Tahoma"/>
                <w:b w:val="0"/>
                <w:sz w:val="19"/>
              </w:rPr>
              <w:t>年薪的 25%</w:t>
              <w:br/>
              <w:t>25% of annual salary</w:t>
            </w:r>
          </w:p>
        </w:tc>
      </w:tr>
    </w:tbl>
    <w:p>
      <w:pPr>
        <w:spacing w:before="60" w:after="100" w:line="264" w:lineRule="auto"/>
      </w:pPr>
      <w:r>
        <w:rPr>
          <w:rFonts w:ascii="Calibri" w:hAnsi="Calibri" w:eastAsia="Microsoft YaHei" w:cs="Tahoma"/>
          <w:b/>
          <w:color w:val="0B2545"/>
          <w:sz w:val="19"/>
        </w:rPr>
        <w:t xml:space="preserve">备注 / Note: </w:t>
      </w:r>
      <w:r>
        <w:rPr>
          <w:rFonts w:ascii="Calibri" w:hAnsi="Calibri" w:eastAsia="Microsoft YaHei" w:cs="Tahoma"/>
          <w:b w:val="0"/>
          <w:sz w:val="19"/>
        </w:rPr>
        <w:t>服务费以候选人确认入职岗位的年度薪酬总额为基数，按对应年薪区间适用服务费率计算。 / The service fee is calculated on the candidate's total annual remuneration for the confirmed role, using the applicable rate for the relevant annual-salary band.</w:t>
      </w:r>
    </w:p>
    <w:p>
      <w:pPr>
        <w:spacing w:before="140" w:after="100" w:line="264" w:lineRule="auto"/>
      </w:pPr>
      <w:r>
        <w:rPr>
          <w:rFonts w:ascii="Calibri" w:hAnsi="Calibri" w:eastAsia="Microsoft YaHei" w:cs="Tahoma"/>
          <w:b/>
          <w:color w:val="2E74B5"/>
          <w:sz w:val="27"/>
        </w:rPr>
        <w:t>付款方式 / Payment Terms</w:t>
      </w:r>
    </w:p>
    <w:tbl>
      <w:tblPr>
        <w:tblW w:type="dxa" w:w="9360"/>
        <w:tblInd w:w="120" w:type="dxa"/>
      </w:tblPr>
      <w:tblGrid>
        <w:gridCol w:w="3000"/>
        <w:gridCol w:w="6360"/>
      </w:tblGrid>
      <w:tr>
        <w:tc>
          <w:tcPr>
            <w:tcW w:type="dxa" w:w="3000"/>
            <w:vAlign w:val="center"/>
            <w:tcMar>
              <w:top w:w="80" w:type="dxa"/>
              <w:start w:w="120" w:type="dxa"/>
              <w:bottom w:w="80" w:type="dxa"/>
              <w:end w:w="120" w:type="dxa"/>
            </w:tcMar>
            <w:tcBorders>
              <w:right w:val="single" w:sz="8" w:space="0" w:color="000000"/>
              <w:bottom w:val="single" w:sz="8" w:space="0" w:color="000000"/>
              <w:top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合同签署预付款</w:t>
              <w:br/>
              <w:t>Contract Signing Advance</w:t>
            </w:r>
          </w:p>
        </w:tc>
        <w:tc>
          <w:tcPr>
            <w:tcW w:type="dxa" w:w="6360"/>
            <w:vAlign w:val="center"/>
            <w:tcMar>
              <w:top w:w="80" w:type="dxa"/>
              <w:start w:w="120" w:type="dxa"/>
              <w:bottom w:w="80" w:type="dxa"/>
              <w:end w:w="120" w:type="dxa"/>
            </w:tcMar>
            <w:tcBorders>
              <w:right w:val="single" w:sz="8" w:space="0" w:color="000000"/>
              <w:bottom w:val="single" w:sz="8" w:space="0" w:color="000000"/>
              <w:top w:val="single" w:sz="8" w:space="0" w:color="000000"/>
            </w:tcBorders>
          </w:tcPr>
          <w:p>
            <w:pPr>
              <w:spacing w:before="0" w:after="0" w:line="264" w:lineRule="auto"/>
            </w:pPr>
            <w:r/>
            <w:r>
              <w:rPr>
                <w:rFonts w:ascii="Calibri" w:hAnsi="Calibri" w:eastAsia="Microsoft YaHei" w:cs="Tahoma"/>
                <w:b w:val="0"/>
                <w:sz w:val="21"/>
              </w:rPr>
              <w:t>双方合同签署后，客户向海钡人力支付 THB 20,000 预付款；该预付款可在候选人入职后应付服务费中抵扣，另有书面约定的除外。</w:t>
              <w:br/>
              <w:t>After both parties sign the contract, the client shall pay HIREBOX an advance of THB 20,000. The advance may be offset against service fees due after the candidate starts, unless otherwise agreed in writing.</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候选人入职付款</w:t>
              <w:br/>
              <w:t>Candidate Start Date Payment</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候选人正式入职后，客户支付对应猎头服务费的 50%。</w:t>
              <w:br/>
              <w:t>Upon the candidate's official start date, the client shall pay 50% of the applicable headhunting service fee.</w:t>
            </w:r>
          </w:p>
        </w:tc>
      </w:tr>
      <w:tr>
        <w:tc>
          <w:tcPr>
            <w:tcW w:type="dxa" w:w="3000"/>
            <w:vAlign w:val="center"/>
            <w:tcMar>
              <w:top w:w="80" w:type="dxa"/>
              <w:start w:w="120" w:type="dxa"/>
              <w:bottom w:w="80" w:type="dxa"/>
              <w:end w:w="120" w:type="dxa"/>
            </w:tcMar>
            <w:tcBorders>
              <w:right w:val="single" w:sz="8" w:space="0" w:color="000000"/>
              <w:bottom w:val="single" w:sz="8" w:space="0" w:color="000000"/>
              <w:left w:val="single" w:sz="8" w:space="0" w:color="000000"/>
            </w:tcBorders>
            <w:shd w:fill="F2F4F7"/>
          </w:tcPr>
          <w:p>
            <w:pPr>
              <w:spacing w:before="0" w:after="0" w:line="264" w:lineRule="auto"/>
            </w:pPr>
            <w:r/>
            <w:r>
              <w:rPr>
                <w:rFonts w:ascii="Calibri" w:hAnsi="Calibri" w:eastAsia="Microsoft YaHei" w:cs="Tahoma"/>
                <w:b/>
                <w:color w:val="0B2545"/>
                <w:sz w:val="21"/>
              </w:rPr>
              <w:t>质保期结束付款</w:t>
              <w:br/>
              <w:t>Payment After Guarantee Period</w:t>
            </w:r>
          </w:p>
        </w:tc>
        <w:tc>
          <w:tcPr>
            <w:tcW w:type="dxa" w:w="6360"/>
            <w:vAlign w:val="center"/>
            <w:tcMar>
              <w:top w:w="80" w:type="dxa"/>
              <w:start w:w="120" w:type="dxa"/>
              <w:bottom w:w="80" w:type="dxa"/>
              <w:end w:w="120" w:type="dxa"/>
            </w:tcMar>
            <w:tcBorders>
              <w:right w:val="single" w:sz="8" w:space="0" w:color="000000"/>
              <w:bottom w:val="single" w:sz="8" w:space="0" w:color="000000"/>
            </w:tcBorders>
          </w:tcPr>
          <w:p>
            <w:pPr>
              <w:spacing w:before="0" w:after="0" w:line="264" w:lineRule="auto"/>
            </w:pPr>
            <w:r/>
            <w:r>
              <w:rPr>
                <w:rFonts w:ascii="Calibri" w:hAnsi="Calibri" w:eastAsia="Microsoft YaHei" w:cs="Tahoma"/>
                <w:b w:val="0"/>
                <w:sz w:val="21"/>
              </w:rPr>
              <w:t>候选人通过适用质保期后，客户支付剩余对应猎头服务费的 50%。</w:t>
              <w:br/>
              <w:t>After the candidate completes the applicable guarantee period, the client shall pay the remaining 50% of the applicable headhunting service fee.</w:t>
            </w:r>
          </w:p>
        </w:tc>
      </w:tr>
    </w:tbl>
    <w:p/>
    <w:p>
      <w:pPr>
        <w:spacing w:before="40" w:after="100" w:line="264" w:lineRule="auto"/>
      </w:pPr>
      <w:r>
        <w:rPr>
          <w:rFonts w:ascii="Calibri" w:hAnsi="Calibri" w:eastAsia="Microsoft YaHei" w:cs="Tahoma"/>
          <w:b/>
          <w:color w:val="0B2545"/>
          <w:sz w:val="19"/>
        </w:rPr>
        <w:t xml:space="preserve">备注 / Note: </w:t>
      </w:r>
      <w:r>
        <w:rPr>
          <w:rFonts w:ascii="Calibri" w:hAnsi="Calibri" w:eastAsia="Microsoft YaHei" w:cs="Tahoma"/>
          <w:b w:val="0"/>
          <w:sz w:val="17"/>
        </w:rPr>
        <w:t>本报价所列服务费均未含税。开具泰国增值税发票时，客户应按开票日适用税率另行支付增值税。预扣税、印花税及其他依法产生的税费，按泰国适用法律法规及双方签署的正式合同承担、申报和处理。 / All quoted service fees are exclusive of taxes. For a Thai VAT invoice, the client shall pay VAT in addition at the rate applicable on the invoice date. Withholding tax, stamp duty and other legally applicable taxes or charges shall be borne, filed and handled under Thai law and the definitive agreement signed by the parties.</w:t>
      </w:r>
    </w:p>
    <w:p>
      <w:pPr>
        <w:spacing w:before="140" w:after="100" w:line="264" w:lineRule="auto"/>
      </w:pPr>
      <w:r>
        <w:rPr>
          <w:rFonts w:ascii="Calibri" w:hAnsi="Calibri" w:eastAsia="Microsoft YaHei" w:cs="Tahoma"/>
          <w:b/>
          <w:color w:val="2E74B5"/>
          <w:sz w:val="27"/>
        </w:rPr>
        <w:t>服务说明 / Service Notes</w:t>
      </w:r>
    </w:p>
    <w:p>
      <w:pPr>
        <w:spacing w:before="0" w:after="0" w:line="264" w:lineRule="auto"/>
      </w:pPr>
      <w:r>
        <w:rPr>
          <w:rFonts w:ascii="Calibri" w:hAnsi="Calibri" w:eastAsia="Microsoft YaHei" w:cs="Tahoma"/>
          <w:b/>
          <w:color w:val="0B2545"/>
          <w:sz w:val="19"/>
        </w:rPr>
        <w:t xml:space="preserve">质保与递补 / Guarantee and Replacement: </w:t>
      </w:r>
      <w:r>
        <w:rPr>
          <w:rFonts w:ascii="Calibri" w:hAnsi="Calibri" w:eastAsia="Microsoft YaHei" w:cs="Tahoma"/>
          <w:b w:val="0"/>
          <w:sz w:val="19"/>
        </w:rPr>
        <w:t>质保期为整个岗位的质保期。质保期内如候选人离职或未通过质保期，海钡人力可根据双方确认的岗位条件免费提供一次递补候选人；替补候选人入职后，视为该岗位质保期当即结束，客户应支付剩余尾款。 / The guarantee period applies to the role as a whole. If a candidate resigns or does not complete the guarantee period, HIREBOX may provide one replacement candidate free of charge based on the agreed role requirements. Once the replacement candidate starts, the guarantee period for that role ends immediately and the client shall pay the outstanding balance.</w:t>
      </w:r>
    </w:p>
    <w:sectPr w:rsidR="00FC693F" w:rsidRPr="0006063C" w:rsidSect="00034616">
      <w:headerReference w:type="default" r:id="rId9"/>
      <w:footerReference w:type="default" r:id="rId10"/>
      <w:pgSz w:w="12240" w:h="15840"/>
      <w:pgMar w:top="1181" w:right="1440" w:bottom="1123" w:left="144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eastAsia="Microsoft YaHei" w:cs="Tahoma"/>
        <w:b w:val="0"/>
        <w:color w:val="555555"/>
        <w:sz w:val="15"/>
      </w:rPr>
      <w:t>8th Floor, S-Metro Building, 725 Sukhumvit Road, Khlong Tan Nuea, Watthana, Bangkok 10110 | johnny@hirebox.com.cn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68"/>
      <w:gridCol w:w="6192"/>
    </w:tblGrid>
    <w:tr>
      <w:tc>
        <w:tcPr>
          <w:tcW w:type="dxa" w:w="4680"/>
          <w:vAlign w:val="center"/>
        </w:tcPr>
        <w:p>
          <w:pPr>
            <w:spacing w:before="0" w:after="0" w:line="264" w:lineRule="auto"/>
            <w:jc w:val="left"/>
          </w:pPr>
          <w:r>
            <w:drawing>
              <wp:inline xmlns:a="http://schemas.openxmlformats.org/drawingml/2006/main" xmlns:pic="http://schemas.openxmlformats.org/drawingml/2006/picture">
                <wp:extent cx="1444752" cy="374501"/>
                <wp:docPr id="1" name="Picture 1"/>
                <wp:cNvGraphicFramePr>
                  <a:graphicFrameLocks noChangeAspect="1"/>
                </wp:cNvGraphicFramePr>
                <a:graphic>
                  <a:graphicData uri="http://schemas.openxmlformats.org/drawingml/2006/picture">
                    <pic:pic>
                      <pic:nvPicPr>
                        <pic:cNvPr id="0" name="HIREBOX_LOGO_PNG.png"/>
                        <pic:cNvPicPr/>
                      </pic:nvPicPr>
                      <pic:blipFill>
                        <a:blip r:embed="rId1"/>
                        <a:stretch>
                          <a:fillRect/>
                        </a:stretch>
                      </pic:blipFill>
                      <pic:spPr>
                        <a:xfrm>
                          <a:off x="0" y="0"/>
                          <a:ext cx="1444752" cy="374501"/>
                        </a:xfrm>
                        <a:prstGeom prst="rect"/>
                      </pic:spPr>
                    </pic:pic>
                  </a:graphicData>
                </a:graphic>
              </wp:inline>
            </w:drawing>
          </w:r>
        </w:p>
      </w:tc>
      <w:tc>
        <w:tcPr>
          <w:tcW w:type="dxa" w:w="4680"/>
          <w:vAlign w:val="center"/>
        </w:tcPr>
        <w:p>
          <w:pPr>
            <w:spacing w:before="0" w:after="0" w:line="264" w:lineRule="auto"/>
            <w:jc w:val="right"/>
          </w:pPr>
          <w:r>
            <w:rPr>
              <w:rFonts w:ascii="Calibri" w:hAnsi="Calibri" w:eastAsia="Microsoft YaHei" w:cs="Tahoma"/>
              <w:b/>
              <w:color w:val="0B2545"/>
              <w:sz w:val="19"/>
            </w:rPr>
            <w:t>海钡人力泰国有限公司</w:t>
          </w:r>
          <w:r>
            <w:br/>
          </w:r>
          <w:r>
            <w:rPr>
              <w:rFonts w:ascii="Calibri" w:hAnsi="Calibri" w:eastAsia="Microsoft YaHei" w:cs="Tahoma"/>
              <w:b/>
              <w:color w:val="0B2545"/>
              <w:sz w:val="17"/>
            </w:rPr>
            <w:t>HIREBOX CO., LTD.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