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Aptos" w:cs="Aptos" w:eastAsia="Aptos" w:hAnsi="Aptos"/>
          <w:b/>
          <w:bCs/>
          <w:color w:val="1F3A5F"/>
          <w:sz w:val="64"/>
          <w:szCs w:val="64"/>
        </w:rPr>
        <w:t xml:space="preserve">Relatório de Performance — Q1 2026</w:t>
      </w:r>
    </w:p>
    <w:p>
      <w:pPr>
        <w:spacing w:before="240"/>
      </w:pPr>
      <w:r>
        <w:rPr>
          <w:rFonts w:ascii="Aptos" w:cs="Aptos" w:eastAsia="Aptos" w:hAnsi="Aptos"/>
          <w:i/>
          <w:iCs/>
          <w:color w:val="555555"/>
          <w:sz w:val="30"/>
          <w:szCs w:val="30"/>
        </w:rPr>
        <w:t xml:space="preserve">Análise consolidada de campanhas Meta, Google e TikTok</w:t>
      </w:r>
    </w:p>
    <w:p>
      <w:pPr>
        <w:pBdr>
          <w:top w:val="single" w:color="1F3A5F" w:sz="6" w:space="1"/>
        </w:pBdr>
        <w:spacing w:before="720"/>
      </w:pPr>
    </w:p>
    <w:p>
      <w:pPr>
        <w:spacing w:before="240"/>
      </w:pPr>
      <w:r>
        <w:rPr>
          <w:rFonts w:ascii="Aptos" w:cs="Aptos" w:eastAsia="Aptos" w:hAnsi="Aptos"/>
          <w:sz w:val="22"/>
          <w:szCs w:val="22"/>
        </w:rPr>
        <w:t xml:space="preserve">André Xavier — Performance Marketing</w:t>
      </w:r>
    </w:p>
    <w:p>
      <w:pPr>
        <w:spacing w:before="80"/>
      </w:pPr>
      <w:r>
        <w:rPr>
          <w:rFonts w:ascii="Aptos" w:cs="Aptos" w:eastAsia="Aptos" w:hAnsi="Aptos"/>
          <w:color w:val="555555"/>
          <w:sz w:val="22"/>
          <w:szCs w:val="22"/>
        </w:rPr>
        <w:t xml:space="preserve">13 de maio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Relatório de Performance — Q1 2026</w:t>
      </w:r>
    </w:p>
    <w:p>
      <w:r>
        <w:rPr>
          <w:rFonts w:ascii="Aptos" w:cs="Aptos" w:eastAsia="Aptos" w:hAnsi="Aptos"/>
        </w:rPr>
        <w:t xml:space="preserve">Análise consolidada das campanhas de aquisição rodadas entre janeiro e março de 2026 nas plataformas Meta, Google e TikTok.</w:t>
      </w:r>
    </w:p>
    <w:p>
      <w:pPr>
        <w:pStyle w:val="Heading2"/>
      </w:pPr>
      <w:r>
        <w:rPr>
          <w:rFonts w:ascii="Aptos" w:cs="Aptos" w:eastAsia="Aptos" w:hAnsi="Aptos"/>
        </w:rPr>
        <w:t xml:space="preserve">Resumo executivo</w:t>
      </w:r>
    </w:p>
    <w:p>
      <w:r>
        <w:rPr>
          <w:rFonts w:ascii="Aptos" w:cs="Aptos" w:eastAsia="Aptos" w:hAnsi="Aptos"/>
        </w:rPr>
        <w:t xml:space="preserve">O trimestre encerrou com investimento total de R$ 1.247.800,00 e CAC médio de R$ 84,30 — uma redução de 12,4% versus Q4 2025. As principais alavancas foram a migração de orçamento do Facebook para Reels e a adoção do “Advantage+ Shopping” em catálogos de e-commerce.</w:t>
      </w:r>
    </w:p>
    <w:p>
      <w:r>
        <w:rPr>
          <w:rFonts w:ascii="Aptos" w:cs="Aptos" w:eastAsia="Aptos" w:hAnsi="Aptos"/>
        </w:rPr>
        <w:t xml:space="preserve">Três temas dominaram o desempenho: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Reels superou Stories</w:t>
      </w:r>
      <w:r>
        <w:rPr>
          <w:rFonts w:ascii="Aptos" w:cs="Aptos" w:eastAsia="Aptos" w:hAnsi="Aptos"/>
        </w:rPr>
        <w:t xml:space="preserve"> em CTR (3,1% vs 1,8%) e em CPM (R$ 18,40 vs R$ 24,90), confirmando a tese de migração apresentada no Q4.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TikTok Spark Ads</w:t>
      </w:r>
      <w:r>
        <w:rPr>
          <w:rFonts w:ascii="Aptos" w:cs="Aptos" w:eastAsia="Aptos" w:hAnsi="Aptos"/>
        </w:rPr>
        <w:t xml:space="preserve"> entregou o menor CPL do mix (R$ 12,70), mas com qualidade de lead 23% inferior à do Meta — precisa de tratamento no CRM.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/>
          <w:bCs/>
        </w:rPr>
        <w:t xml:space="preserve">Google Performance Max</w:t>
      </w:r>
      <w:r>
        <w:rPr>
          <w:rFonts w:ascii="Aptos" w:cs="Aptos" w:eastAsia="Aptos" w:hAnsi="Aptos"/>
        </w:rPr>
        <w:t xml:space="preserve"> estabilizou em ROAS 4,2x após três meses de aprendizado; pronto para escala em Q2.</w:t>
      </w:r>
    </w:p>
    <w:p>
      <w:pPr>
        <w:pStyle w:val="Heading2"/>
      </w:pPr>
      <w:r>
        <w:rPr>
          <w:rFonts w:ascii="Aptos" w:cs="Aptos" w:eastAsia="Aptos" w:hAnsi="Aptos"/>
        </w:rPr>
        <w:t xml:space="preserve">Métricas por canal</w:t>
      </w:r>
    </w:p>
    <w:tbl>
      <w:tblPr>
        <w:tblW w:type="dxa" w:w="9026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Canal</w:t>
            </w:r>
          </w:p>
        </w:tc>
        <w:tc>
          <w:tcPr>
            <w:tcW w:type="dxa" w:w="1805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Investimento</w:t>
            </w:r>
          </w:p>
        </w:tc>
        <w:tc>
          <w:tcPr>
            <w:tcW w:type="dxa" w:w="1805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CAC</w:t>
            </w:r>
          </w:p>
        </w:tc>
        <w:tc>
          <w:tcPr>
            <w:tcW w:type="dxa" w:w="1805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ROAS</w:t>
            </w:r>
          </w:p>
        </w:tc>
        <w:tc>
          <w:tcPr>
            <w:tcW w:type="dxa" w:w="1805"/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F3A5F"/>
              </w:rPr>
              <w:t xml:space="preserve">CTR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Meta Reels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R$ 482.300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R$ 71,20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5,8x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3,1%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Meta Feed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R$ 218.900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R$ 92,40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3,9x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1,4%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TikTok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R$ 287.600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R$ 68,80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4,1x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2,7%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Google PMax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R$ 198.500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R$ 110,50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4,2x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1,9%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YouTube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R$ 60.500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R$ 156,90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2,8x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</w:rPr>
              <w:t xml:space="preserve">0,9%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ptos" w:cs="Aptos" w:eastAsia="Aptos" w:hAnsi="Aptos"/>
        </w:rPr>
        <w:t xml:space="preserve">Próximos passos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</w:rPr>
        <w:t xml:space="preserve">Realocar 15% do budget de Meta Feed para Reels a partir de abril.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</w:rPr>
        <w:t xml:space="preserve">Implementar regra de qualidade de lead no CRM para flagar leads TikTok antes do SLA de retorno.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</w:rPr>
        <w:t xml:space="preserve">Iniciar piloto de DPA (Dynamic Product Ads) em três SKUs hero do catálogo Q2.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</w:rPr>
        <w:t xml:space="preserve">Validar com o time de produto a feasibility de tracking server-side via CAPI para fechar gap de atribuição estimado em 18%.</w:t>
      </w:r>
    </w:p>
    <w:p>
      <w:pPr>
        <w:pStyle w:val="Heading2"/>
      </w:pPr>
      <w:r>
        <w:rPr>
          <w:rFonts w:ascii="Aptos" w:cs="Aptos" w:eastAsia="Aptos" w:hAnsi="Aptos"/>
        </w:rPr>
        <w:t xml:space="preserve">Riscos e observações</w:t>
      </w:r>
    </w:p>
    <w:p>
      <w:r>
        <w:rPr>
          <w:rFonts w:ascii="Aptos" w:cs="Aptos" w:eastAsia="Aptos" w:hAnsi="Aptos"/>
        </w:rPr>
        <w:t xml:space="preserve">A implementação do iOS 18 trouxe nova rodada de signal loss em modelos de atribuição last-click. A recomendação é acelerar o roll-out de modelagem MMM no Q2, em paralelo à camada server-side, para reduzir dependência de pixels client-side.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Observação técnica: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A planilha de origem está em /shared/marketing/Q1-2026-master.xlsx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e o painel ao vivo em Looker → “Aquisição/Performance Q1”.</w:t>
      </w:r>
    </w:p>
    <w:p>
      <w:pPr>
        <w:pBdr>
          <w:bottom w:val="single" w:color="1F3A5F" w:sz="6" w:space="1"/>
        </w:pBdr>
        <w:spacing w:after="240" w:before="120"/>
      </w:pPr>
    </w:p>
    <w:p>
      <w:r>
        <w:rPr>
          <w:rFonts w:ascii="Aptos" w:cs="Aptos" w:eastAsia="Aptos" w:hAnsi="Aptos"/>
        </w:rPr>
        <w:t xml:space="preserve">Relatório preparado pelo time de Performance Marketing.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55555"/>
        <w:sz w:val="18"/>
        <w:szCs w:val="18"/>
      </w:rPr>
      <w:t xml:space="preserve">Relatório de Performance — Q1 2026</w:t>
    </w:r>
    <w:r>
      <w:rPr>
        <w:color w:val="555555"/>
        <w:sz w:val="18"/>
        <w:szCs w:val="18"/>
      </w:rPr>
      <w:t xml:space="preserve">   · 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555555"/>
        <w:sz w:val="18"/>
        <w:szCs w:val="18"/>
      </w:rPr>
      <w:t xml:space="preserve">Análise consolidada de campanhas Meta, Google e TikTok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20"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ptos" w:cs="Aptos" w:eastAsia="Aptos" w:hAnsi="Aptos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ptos" w:cs="Aptos" w:eastAsia="Aptos" w:hAnsi="Aptos"/>
      <w:b/>
      <w:bCs/>
      <w:color w:val="1F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ptos" w:cs="Aptos" w:eastAsia="Aptos" w:hAnsi="Aptos"/>
      <w:b/>
      <w:bCs/>
      <w:color w:val="1F3A5F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ptos" w:cs="Aptos" w:eastAsia="Aptos" w:hAnsi="Aptos"/>
      <w:b/>
      <w:bCs/>
      <w:color w:val="555555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pPr>
      <w:spacing w:after="240"/>
    </w:pPr>
    <w:rPr>
      <w:rFonts w:ascii="Aptos" w:cs="Aptos" w:eastAsia="Aptos" w:hAnsi="Aptos"/>
      <w:i/>
      <w:iCs/>
      <w:color w:val="555555"/>
      <w:sz w:val="26"/>
      <w:szCs w:val="26"/>
    </w:rPr>
  </w:style>
  <w:style w:type="paragraph" w:styleId="Caption">
    <w:name w:val="Caption"/>
    <w:basedOn w:val="Normal"/>
    <w:rPr>
      <w:rFonts w:ascii="Aptos" w:cs="Aptos" w:eastAsia="Aptos" w:hAnsi="Aptos"/>
      <w:i/>
      <w:iCs/>
      <w:color w:val="555555"/>
      <w:sz w:val="18"/>
      <w:szCs w:val="18"/>
    </w:rPr>
  </w:style>
  <w:style w:type="paragraph" w:styleId="Code">
    <w:name w:val="Code"/>
    <w:basedOn w:val="Normal"/>
    <w:pPr>
      <w:spacing w:after="120" w:before="120"/>
      <w:ind w:left="24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Performance — Q1 2026</dc:title>
  <dc:creator>André Xavier — Performance Marketing</dc:creator>
  <dc:description>Análise consolidada de campanhas Meta, Google e TikTok</dc:description>
  <cp:lastModifiedBy>Un-named</cp:lastModifiedBy>
  <cp:revision>1</cp:revision>
  <dcterms:created xsi:type="dcterms:W3CDTF">2026-05-13T17:55:20.787Z</dcterms:created>
  <dcterms:modified xsi:type="dcterms:W3CDTF">2026-05-13T17:55:20.788Z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