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5"/>
        <w:gridCol w:w="1592"/>
        <w:gridCol w:w="797"/>
        <w:gridCol w:w="289"/>
        <w:gridCol w:w="2679"/>
        <w:gridCol w:w="44"/>
        <w:gridCol w:w="3067"/>
      </w:tblGrid>
      <w:tr w:rsidR="00B0042B" w:rsidTr="00DD30E3">
        <w:trPr>
          <w:trHeight w:val="466"/>
        </w:trPr>
        <w:tc>
          <w:tcPr>
            <w:tcW w:w="8006" w:type="dxa"/>
            <w:gridSpan w:val="6"/>
            <w:tcBorders>
              <w:top w:val="thinThickLargeGap" w:sz="2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</w:tcPr>
          <w:p w:rsidR="00B0042B" w:rsidRPr="00026E2D" w:rsidRDefault="00B0042B">
            <w:pPr>
              <w:rPr>
                <w:rFonts w:ascii="Arial" w:hAnsi="Arial"/>
                <w:b/>
              </w:rPr>
            </w:pPr>
            <w:r w:rsidRPr="00026E2D">
              <w:rPr>
                <w:rFonts w:ascii="Arial" w:hAnsi="Arial"/>
                <w:b/>
              </w:rPr>
              <w:t>Disciplina</w:t>
            </w:r>
          </w:p>
          <w:p w:rsidR="00B0042B" w:rsidRPr="007F78E0" w:rsidRDefault="007F78E0" w:rsidP="007F78E0">
            <w:pPr>
              <w:pStyle w:val="Ttulo2"/>
            </w:pPr>
            <w:r w:rsidRPr="007F78E0">
              <w:t>Resistência dos Materiais e Estruturas</w:t>
            </w:r>
          </w:p>
        </w:tc>
        <w:tc>
          <w:tcPr>
            <w:tcW w:w="3066" w:type="dxa"/>
            <w:tcBorders>
              <w:top w:val="thinThickLargeGap" w:sz="24" w:space="0" w:color="auto"/>
              <w:left w:val="nil"/>
              <w:bottom w:val="double" w:sz="4" w:space="0" w:color="auto"/>
              <w:right w:val="thinThickLargeGap" w:sz="24" w:space="0" w:color="auto"/>
            </w:tcBorders>
          </w:tcPr>
          <w:p w:rsidR="00B0042B" w:rsidRDefault="00B004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Código</w:t>
            </w:r>
          </w:p>
          <w:p w:rsidR="00B0042B" w:rsidRPr="00201108" w:rsidRDefault="007F78E0">
            <w:pPr>
              <w:pStyle w:val="Ttulo4"/>
            </w:pPr>
            <w:r>
              <w:t>CIV107</w:t>
            </w:r>
          </w:p>
        </w:tc>
      </w:tr>
      <w:tr w:rsidR="00851F02" w:rsidTr="00DD30E3">
        <w:trPr>
          <w:trHeight w:val="448"/>
        </w:trPr>
        <w:tc>
          <w:tcPr>
            <w:tcW w:w="11072" w:type="dxa"/>
            <w:gridSpan w:val="7"/>
            <w:tcBorders>
              <w:top w:val="thinThickLargeGap" w:sz="24" w:space="0" w:color="auto"/>
              <w:left w:val="thinThickLargeGap" w:sz="24" w:space="0" w:color="auto"/>
              <w:bottom w:val="double" w:sz="4" w:space="0" w:color="auto"/>
              <w:right w:val="thinThickLargeGap" w:sz="24" w:space="0" w:color="auto"/>
            </w:tcBorders>
          </w:tcPr>
          <w:p w:rsidR="00851F02" w:rsidRDefault="00851F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Código equivalente:</w:t>
            </w:r>
          </w:p>
        </w:tc>
      </w:tr>
      <w:tr w:rsidR="00B0042B" w:rsidTr="00DD3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408"/>
        </w:trPr>
        <w:tc>
          <w:tcPr>
            <w:tcW w:w="5282" w:type="dxa"/>
            <w:gridSpan w:val="4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</w:tcPr>
          <w:p w:rsidR="00B0042B" w:rsidRPr="00125F63" w:rsidRDefault="00B0042B">
            <w:pPr>
              <w:rPr>
                <w:rFonts w:ascii="Arial" w:hAnsi="Arial"/>
                <w:b/>
              </w:rPr>
            </w:pPr>
            <w:r w:rsidRPr="00125F63">
              <w:rPr>
                <w:rFonts w:ascii="Arial" w:hAnsi="Arial"/>
                <w:b/>
              </w:rPr>
              <w:t>Departamento</w:t>
            </w:r>
          </w:p>
          <w:p w:rsidR="00B0042B" w:rsidRPr="00201108" w:rsidRDefault="00B40CCB" w:rsidP="007F78E0">
            <w:pPr>
              <w:ind w:left="7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Engenharia </w:t>
            </w:r>
            <w:r w:rsidR="007F78E0">
              <w:rPr>
                <w:rFonts w:ascii="Arial" w:hAnsi="Arial"/>
              </w:rPr>
              <w:t xml:space="preserve">Civil </w:t>
            </w:r>
            <w:r>
              <w:rPr>
                <w:rFonts w:ascii="Arial" w:hAnsi="Arial"/>
              </w:rPr>
              <w:t>- DEC</w:t>
            </w:r>
            <w:r w:rsidR="007F78E0">
              <w:rPr>
                <w:rFonts w:ascii="Arial" w:hAnsi="Arial"/>
              </w:rPr>
              <w:t>IV</w:t>
            </w:r>
          </w:p>
        </w:tc>
        <w:tc>
          <w:tcPr>
            <w:tcW w:w="5790" w:type="dxa"/>
            <w:gridSpan w:val="3"/>
            <w:tcBorders>
              <w:top w:val="double" w:sz="4" w:space="0" w:color="auto"/>
              <w:left w:val="nil"/>
              <w:right w:val="thinThickLargeGap" w:sz="24" w:space="0" w:color="auto"/>
            </w:tcBorders>
          </w:tcPr>
          <w:p w:rsidR="00B0042B" w:rsidRPr="00026E2D" w:rsidRDefault="00B0042B">
            <w:pPr>
              <w:rPr>
                <w:rFonts w:ascii="Arial" w:hAnsi="Arial"/>
                <w:b/>
              </w:rPr>
            </w:pPr>
            <w:r w:rsidRPr="00026E2D">
              <w:rPr>
                <w:rFonts w:ascii="Arial" w:hAnsi="Arial"/>
                <w:b/>
              </w:rPr>
              <w:t>Unidade</w:t>
            </w:r>
          </w:p>
          <w:p w:rsidR="00B0042B" w:rsidRPr="00201108" w:rsidRDefault="00B40CCB" w:rsidP="009965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 de Minas</w:t>
            </w:r>
          </w:p>
        </w:tc>
      </w:tr>
      <w:tr w:rsidR="004848F8" w:rsidTr="00DD3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427"/>
        </w:trPr>
        <w:tc>
          <w:tcPr>
            <w:tcW w:w="2605" w:type="dxa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48F8" w:rsidRPr="00026E2D" w:rsidRDefault="004848F8" w:rsidP="00026E2D">
            <w:pPr>
              <w:rPr>
                <w:rFonts w:ascii="Arial" w:hAnsi="Arial"/>
                <w:b/>
              </w:rPr>
            </w:pPr>
            <w:r w:rsidRPr="00026E2D">
              <w:rPr>
                <w:rFonts w:ascii="Arial" w:hAnsi="Arial"/>
                <w:b/>
              </w:rPr>
              <w:t>Carga Horária Semanal</w:t>
            </w:r>
          </w:p>
          <w:p w:rsidR="004848F8" w:rsidRDefault="00B40CCB" w:rsidP="00B40C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 h</w:t>
            </w:r>
            <w:r w:rsidR="00B04AD7">
              <w:rPr>
                <w:rFonts w:ascii="Arial" w:hAnsi="Arial"/>
              </w:rPr>
              <w:t>/a</w:t>
            </w:r>
          </w:p>
        </w:tc>
        <w:tc>
          <w:tcPr>
            <w:tcW w:w="159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848F8" w:rsidRPr="00026E2D" w:rsidRDefault="004848F8" w:rsidP="00B40CCB">
            <w:pPr>
              <w:jc w:val="center"/>
              <w:rPr>
                <w:rFonts w:ascii="Arial" w:hAnsi="Arial"/>
                <w:b/>
              </w:rPr>
            </w:pPr>
            <w:r w:rsidRPr="00026E2D">
              <w:rPr>
                <w:rFonts w:ascii="Arial" w:hAnsi="Arial"/>
                <w:b/>
              </w:rPr>
              <w:t>Teórica</w:t>
            </w:r>
          </w:p>
          <w:p w:rsidR="004848F8" w:rsidRPr="00201108" w:rsidRDefault="007F78E0" w:rsidP="007F78E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B40CCB">
              <w:rPr>
                <w:rFonts w:ascii="Arial" w:hAnsi="Arial"/>
              </w:rPr>
              <w:t xml:space="preserve"> </w:t>
            </w:r>
            <w:r w:rsidR="00B04AD7">
              <w:rPr>
                <w:rFonts w:ascii="Arial" w:hAnsi="Arial"/>
              </w:rPr>
              <w:t>h/a</w:t>
            </w:r>
          </w:p>
        </w:tc>
        <w:tc>
          <w:tcPr>
            <w:tcW w:w="1086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848F8" w:rsidRPr="00026E2D" w:rsidRDefault="00B04AD7" w:rsidP="00B40CCB">
            <w:pPr>
              <w:jc w:val="center"/>
              <w:rPr>
                <w:rFonts w:ascii="Arial" w:hAnsi="Arial"/>
                <w:b/>
              </w:rPr>
            </w:pPr>
            <w:r w:rsidRPr="00026E2D">
              <w:rPr>
                <w:rFonts w:ascii="Arial" w:hAnsi="Arial"/>
                <w:b/>
              </w:rPr>
              <w:t>Prá</w:t>
            </w:r>
            <w:r w:rsidR="004848F8" w:rsidRPr="00026E2D">
              <w:rPr>
                <w:rFonts w:ascii="Arial" w:hAnsi="Arial"/>
                <w:b/>
              </w:rPr>
              <w:t>tica</w:t>
            </w:r>
          </w:p>
          <w:p w:rsidR="004848F8" w:rsidRDefault="007F78E0" w:rsidP="00B40C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B40CCB">
              <w:rPr>
                <w:rFonts w:ascii="Arial" w:hAnsi="Arial"/>
              </w:rPr>
              <w:t xml:space="preserve"> h</w:t>
            </w:r>
            <w:r w:rsidR="00B04AD7">
              <w:rPr>
                <w:rFonts w:ascii="Arial" w:hAnsi="Arial"/>
              </w:rPr>
              <w:t>/</w:t>
            </w:r>
            <w:r w:rsidR="00B40CCB">
              <w:rPr>
                <w:rFonts w:ascii="Arial" w:hAnsi="Arial"/>
              </w:rPr>
              <w:t>a</w:t>
            </w:r>
          </w:p>
        </w:tc>
        <w:tc>
          <w:tcPr>
            <w:tcW w:w="267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848F8" w:rsidRPr="00026E2D" w:rsidRDefault="004848F8" w:rsidP="00B40CCB">
            <w:pPr>
              <w:jc w:val="center"/>
              <w:rPr>
                <w:rFonts w:ascii="Arial" w:hAnsi="Arial"/>
                <w:b/>
              </w:rPr>
            </w:pPr>
            <w:r w:rsidRPr="00026E2D">
              <w:rPr>
                <w:rFonts w:ascii="Arial" w:hAnsi="Arial"/>
                <w:b/>
              </w:rPr>
              <w:t>Duração/Semana</w:t>
            </w:r>
          </w:p>
          <w:p w:rsidR="004848F8" w:rsidRDefault="00B04AD7" w:rsidP="00B40C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 semanas</w:t>
            </w:r>
          </w:p>
        </w:tc>
        <w:tc>
          <w:tcPr>
            <w:tcW w:w="311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LargeGap" w:sz="24" w:space="0" w:color="auto"/>
            </w:tcBorders>
            <w:vAlign w:val="center"/>
          </w:tcPr>
          <w:p w:rsidR="004848F8" w:rsidRPr="00026E2D" w:rsidRDefault="004848F8" w:rsidP="00B40CCB">
            <w:pPr>
              <w:jc w:val="center"/>
              <w:rPr>
                <w:rFonts w:ascii="Arial" w:hAnsi="Arial"/>
                <w:b/>
              </w:rPr>
            </w:pPr>
            <w:r w:rsidRPr="00026E2D">
              <w:rPr>
                <w:rFonts w:ascii="Arial" w:hAnsi="Arial"/>
                <w:b/>
              </w:rPr>
              <w:t>Carga Horária Semestral</w:t>
            </w:r>
          </w:p>
          <w:p w:rsidR="004848F8" w:rsidRDefault="00B04AD7" w:rsidP="00B40C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72 h/a</w:t>
            </w:r>
          </w:p>
        </w:tc>
      </w:tr>
      <w:tr w:rsidR="00026E2D" w:rsidTr="00DD3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1241"/>
        </w:trPr>
        <w:tc>
          <w:tcPr>
            <w:tcW w:w="11072" w:type="dxa"/>
            <w:gridSpan w:val="7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thinThickLargeGap" w:sz="24" w:space="0" w:color="auto"/>
            </w:tcBorders>
          </w:tcPr>
          <w:p w:rsidR="00026E2D" w:rsidRPr="00125F63" w:rsidRDefault="00026E2D" w:rsidP="00026E2D">
            <w:pPr>
              <w:rPr>
                <w:rFonts w:ascii="Arial" w:hAnsi="Arial"/>
                <w:b/>
              </w:rPr>
            </w:pPr>
            <w:r w:rsidRPr="00125F63">
              <w:rPr>
                <w:rFonts w:ascii="Arial" w:hAnsi="Arial"/>
                <w:b/>
              </w:rPr>
              <w:t>Ementa</w:t>
            </w:r>
          </w:p>
          <w:tbl>
            <w:tblPr>
              <w:tblW w:w="13150" w:type="dxa"/>
              <w:tblInd w:w="2" w:type="dxa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3150"/>
            </w:tblGrid>
            <w:tr w:rsidR="00026E2D" w:rsidTr="00DD30E3">
              <w:trPr>
                <w:trHeight w:val="249"/>
              </w:trPr>
              <w:tc>
                <w:tcPr>
                  <w:tcW w:w="1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26E2D" w:rsidRDefault="00026E2D" w:rsidP="00525B44">
                  <w:pPr>
                    <w:rPr>
                      <w:rFonts w:ascii="Arial" w:hAnsi="Arial" w:cs="Arial"/>
                    </w:rPr>
                  </w:pPr>
                </w:p>
                <w:p w:rsidR="007F78E0" w:rsidRDefault="007F78E0" w:rsidP="007F78E0">
                  <w:pPr>
                    <w:ind w:left="75" w:hanging="75"/>
                  </w:pPr>
                  <w:r w:rsidRPr="00D764DA">
                    <w:t xml:space="preserve">Estática fundamental. Relações entre tensões e deformações. Tração e compressão. Cisalhamento. Torção. </w:t>
                  </w:r>
                  <w:r>
                    <w:t>Flexão simples.</w:t>
                  </w:r>
                </w:p>
                <w:p w:rsidR="007F78E0" w:rsidRDefault="007F78E0" w:rsidP="007F78E0">
                  <w:pPr>
                    <w:ind w:left="75" w:hanging="75"/>
                  </w:pPr>
                  <w:r w:rsidRPr="00D764DA">
                    <w:t xml:space="preserve">Solicitações compostas. Introdução ao estudo das tensões. Critérios de resistência. </w:t>
                  </w:r>
                  <w:proofErr w:type="spellStart"/>
                  <w:r w:rsidRPr="00D764DA">
                    <w:t>Flambagem</w:t>
                  </w:r>
                  <w:proofErr w:type="spellEnd"/>
                  <w:r w:rsidRPr="00D764DA">
                    <w:t>.</w:t>
                  </w:r>
                </w:p>
                <w:p w:rsidR="007F78E0" w:rsidRPr="00201108" w:rsidRDefault="007F78E0" w:rsidP="00525B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26E2D" w:rsidTr="00DD30E3">
              <w:trPr>
                <w:trHeight w:val="99"/>
              </w:trPr>
              <w:tc>
                <w:tcPr>
                  <w:tcW w:w="1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26E2D" w:rsidRPr="00430AF7" w:rsidRDefault="00026E2D" w:rsidP="00430AF7">
                  <w:pPr>
                    <w:jc w:val="both"/>
                  </w:pPr>
                </w:p>
              </w:tc>
            </w:tr>
          </w:tbl>
          <w:p w:rsidR="00026E2D" w:rsidRPr="00026E2D" w:rsidRDefault="00026E2D">
            <w:pPr>
              <w:rPr>
                <w:rFonts w:ascii="Arial" w:hAnsi="Arial"/>
                <w:b/>
              </w:rPr>
            </w:pPr>
          </w:p>
        </w:tc>
      </w:tr>
      <w:tr w:rsidR="002D3ED2" w:rsidTr="00DD3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856"/>
        </w:trPr>
        <w:tc>
          <w:tcPr>
            <w:tcW w:w="11072" w:type="dxa"/>
            <w:gridSpan w:val="7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thinThickLargeGap" w:sz="24" w:space="0" w:color="auto"/>
            </w:tcBorders>
          </w:tcPr>
          <w:p w:rsidR="002D3ED2" w:rsidRPr="00DD30E3" w:rsidRDefault="002D3ED2" w:rsidP="002D3ED2">
            <w:pPr>
              <w:pStyle w:val="Ttulo4"/>
              <w:rPr>
                <w:sz w:val="18"/>
                <w:szCs w:val="18"/>
              </w:rPr>
            </w:pPr>
            <w:r w:rsidRPr="00DD30E3">
              <w:rPr>
                <w:sz w:val="18"/>
                <w:szCs w:val="18"/>
              </w:rPr>
              <w:t>CONTEÚDO PROGRAMÁTICO</w:t>
            </w:r>
          </w:p>
          <w:p w:rsidR="00F7086C" w:rsidRPr="00DD30E3" w:rsidRDefault="00692E0A" w:rsidP="00692E0A">
            <w:pPr>
              <w:ind w:left="75" w:hanging="75"/>
            </w:pPr>
            <w:r w:rsidRPr="00DD30E3">
              <w:rPr>
                <w:b/>
                <w:sz w:val="18"/>
                <w:szCs w:val="18"/>
              </w:rPr>
              <w:t xml:space="preserve"> </w:t>
            </w:r>
            <w:r w:rsidRPr="00DD30E3">
              <w:rPr>
                <w:b/>
              </w:rPr>
              <w:t xml:space="preserve">Estática </w:t>
            </w:r>
            <w:r w:rsidR="0020523F" w:rsidRPr="00DD30E3">
              <w:rPr>
                <w:b/>
              </w:rPr>
              <w:t>f</w:t>
            </w:r>
            <w:r w:rsidRPr="00DD30E3">
              <w:rPr>
                <w:b/>
              </w:rPr>
              <w:t xml:space="preserve">undamental. </w:t>
            </w:r>
            <w:r w:rsidRPr="00DD30E3">
              <w:t xml:space="preserve">Estruturas. Sistemas de cargas. Método analítico. Apoios ou vínculos. Graus de liberdade. Reações de apoio. Apoio móvel. Apoio fixo. </w:t>
            </w:r>
            <w:proofErr w:type="spellStart"/>
            <w:r w:rsidRPr="00DD30E3">
              <w:t>Engastamento</w:t>
            </w:r>
            <w:proofErr w:type="spellEnd"/>
            <w:r w:rsidRPr="00DD30E3">
              <w:t xml:space="preserve">. Equações universais de equilíbrio. Cálculo de reações de apoio de vigas. Força cortante. Momento </w:t>
            </w:r>
            <w:proofErr w:type="spellStart"/>
            <w:r w:rsidRPr="00DD30E3">
              <w:t>fletor</w:t>
            </w:r>
            <w:proofErr w:type="spellEnd"/>
            <w:r w:rsidRPr="00DD30E3">
              <w:t xml:space="preserve">. Diagramas de esforços internos.  </w:t>
            </w:r>
            <w:r w:rsidR="00430AF7" w:rsidRPr="00DD30E3">
              <w:t xml:space="preserve"> (12</w:t>
            </w:r>
            <w:r w:rsidR="001066E4" w:rsidRPr="00DD30E3">
              <w:t xml:space="preserve"> h</w:t>
            </w:r>
            <w:r w:rsidR="00141CC5" w:rsidRPr="00DD30E3">
              <w:t>/</w:t>
            </w:r>
            <w:r w:rsidR="001066E4" w:rsidRPr="00DD30E3">
              <w:t>a)</w:t>
            </w:r>
          </w:p>
          <w:p w:rsidR="00F7086C" w:rsidRPr="00DD30E3" w:rsidRDefault="00F7086C" w:rsidP="00776BC8">
            <w:pPr>
              <w:ind w:left="75" w:hanging="75"/>
            </w:pPr>
            <w:r w:rsidRPr="00DD30E3">
              <w:t xml:space="preserve"> </w:t>
            </w:r>
            <w:r w:rsidR="00776BC8" w:rsidRPr="00DD30E3">
              <w:rPr>
                <w:b/>
              </w:rPr>
              <w:t xml:space="preserve">Relações entre </w:t>
            </w:r>
            <w:r w:rsidR="0020523F" w:rsidRPr="00DD30E3">
              <w:rPr>
                <w:b/>
              </w:rPr>
              <w:t>t</w:t>
            </w:r>
            <w:r w:rsidR="00776BC8" w:rsidRPr="00DD30E3">
              <w:rPr>
                <w:b/>
              </w:rPr>
              <w:t xml:space="preserve">ensões e </w:t>
            </w:r>
            <w:r w:rsidR="0020523F" w:rsidRPr="00DD30E3">
              <w:rPr>
                <w:b/>
              </w:rPr>
              <w:t>d</w:t>
            </w:r>
            <w:r w:rsidR="00776BC8" w:rsidRPr="00DD30E3">
              <w:rPr>
                <w:b/>
              </w:rPr>
              <w:t>eformações.</w:t>
            </w:r>
            <w:r w:rsidR="00776BC8" w:rsidRPr="00DD30E3">
              <w:t xml:space="preserve"> Força normal. Tensão normal. Deformação linear específica. Coeficiente de Poisson. Diagrama tensão – deformação. Carga no limite de proporcionalidade. </w:t>
            </w:r>
            <w:r w:rsidR="00776BC8" w:rsidRPr="00DD30E3">
              <w:rPr>
                <w:lang w:val="es-ES_tradnl"/>
              </w:rPr>
              <w:t xml:space="preserve">Carga de ruptura. </w:t>
            </w:r>
            <w:r w:rsidR="00776BC8" w:rsidRPr="00DD30E3">
              <w:t xml:space="preserve">Coeficiente de segurança e tensão admissível. Lei de </w:t>
            </w:r>
            <w:proofErr w:type="spellStart"/>
            <w:r w:rsidR="00776BC8" w:rsidRPr="00DD30E3">
              <w:t>Hooke</w:t>
            </w:r>
            <w:proofErr w:type="spellEnd"/>
            <w:r w:rsidR="00776BC8" w:rsidRPr="00DD30E3">
              <w:t xml:space="preserve">. Lei de </w:t>
            </w:r>
            <w:proofErr w:type="spellStart"/>
            <w:r w:rsidR="00776BC8" w:rsidRPr="00DD30E3">
              <w:t>Hooke</w:t>
            </w:r>
            <w:proofErr w:type="spellEnd"/>
            <w:r w:rsidR="00776BC8" w:rsidRPr="00DD30E3">
              <w:t xml:space="preserve"> generalizada. (8 h</w:t>
            </w:r>
            <w:r w:rsidR="00141CC5" w:rsidRPr="00DD30E3">
              <w:t>/</w:t>
            </w:r>
            <w:r w:rsidR="00776BC8" w:rsidRPr="00DD30E3">
              <w:t xml:space="preserve">a)   </w:t>
            </w:r>
          </w:p>
          <w:p w:rsidR="00962B0D" w:rsidRPr="00DD30E3" w:rsidRDefault="00776BC8" w:rsidP="00776BC8">
            <w:pPr>
              <w:ind w:left="75" w:hanging="75"/>
            </w:pPr>
            <w:r w:rsidRPr="00DD30E3">
              <w:rPr>
                <w:b/>
              </w:rPr>
              <w:t xml:space="preserve"> Tração e </w:t>
            </w:r>
            <w:r w:rsidR="0020523F" w:rsidRPr="00DD30E3">
              <w:rPr>
                <w:b/>
              </w:rPr>
              <w:t>c</w:t>
            </w:r>
            <w:r w:rsidRPr="00DD30E3">
              <w:rPr>
                <w:b/>
              </w:rPr>
              <w:t xml:space="preserve">ompressão. </w:t>
            </w:r>
            <w:r w:rsidRPr="00DD30E3">
              <w:t xml:space="preserve"> Alongamento de barras carregadas axialmente. Influência da temperatura. Tensão e deformação considerando-se o peso próprio. Barras de seção variável. Treliças simples no plano.</w:t>
            </w:r>
            <w:r w:rsidR="001066E4" w:rsidRPr="00DD30E3">
              <w:t xml:space="preserve"> (</w:t>
            </w:r>
            <w:r w:rsidRPr="00DD30E3">
              <w:t>6</w:t>
            </w:r>
            <w:r w:rsidR="001066E4" w:rsidRPr="00DD30E3">
              <w:t xml:space="preserve"> h</w:t>
            </w:r>
            <w:r w:rsidR="00141CC5" w:rsidRPr="00DD30E3">
              <w:t>/</w:t>
            </w:r>
            <w:r w:rsidR="001066E4" w:rsidRPr="00DD30E3">
              <w:t>a)</w:t>
            </w:r>
          </w:p>
          <w:p w:rsidR="00962B0D" w:rsidRPr="00DD30E3" w:rsidRDefault="00776BC8" w:rsidP="00776BC8">
            <w:pPr>
              <w:ind w:left="75" w:hanging="75"/>
            </w:pPr>
            <w:r w:rsidRPr="00DD30E3">
              <w:rPr>
                <w:b/>
              </w:rPr>
              <w:t xml:space="preserve"> Cisalhamento. </w:t>
            </w:r>
            <w:r w:rsidRPr="00DD30E3">
              <w:t xml:space="preserve"> Força cortante. Tensão e deformação no cisalhamento. Lei de </w:t>
            </w:r>
            <w:proofErr w:type="spellStart"/>
            <w:r w:rsidRPr="00DD30E3">
              <w:t>Hooke</w:t>
            </w:r>
            <w:proofErr w:type="spellEnd"/>
            <w:r w:rsidRPr="00DD30E3">
              <w:t xml:space="preserve"> no cisalhamento. Módulo de elasticidade transversal. Relação entre </w:t>
            </w:r>
            <w:r w:rsidRPr="00DD30E3">
              <w:rPr>
                <w:position w:val="-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pt;height:13pt" o:ole="">
                  <v:imagedata r:id="rId8" o:title=""/>
                </v:shape>
                <o:OLEObject Type="Embed" ProgID="Equation.3" ShapeID="_x0000_i1025" DrawAspect="Content" ObjectID="_1445147702" r:id="rId9"/>
              </w:object>
            </w:r>
            <w:r w:rsidRPr="00DD30E3">
              <w:t>,</w:t>
            </w:r>
            <w:r w:rsidRPr="00DD30E3">
              <w:rPr>
                <w:position w:val="-6"/>
              </w:rPr>
              <w:object w:dxaOrig="260" w:dyaOrig="279">
                <v:shape id="_x0000_i1026" type="#_x0000_t75" style="width:13pt;height:14pt" o:ole="">
                  <v:imagedata r:id="rId10" o:title=""/>
                </v:shape>
                <o:OLEObject Type="Embed" ProgID="Equation.3" ShapeID="_x0000_i1026" DrawAspect="Content" ObjectID="_1445147703" r:id="rId11"/>
              </w:object>
            </w:r>
            <w:r w:rsidRPr="00DD30E3">
              <w:t xml:space="preserve">e </w:t>
            </w:r>
            <w:r w:rsidRPr="00DD30E3">
              <w:rPr>
                <w:position w:val="-6"/>
              </w:rPr>
              <w:object w:dxaOrig="200" w:dyaOrig="220">
                <v:shape id="_x0000_i1027" type="#_x0000_t75" style="width:10pt;height:11pt" o:ole="">
                  <v:imagedata r:id="rId12" o:title=""/>
                </v:shape>
                <o:OLEObject Type="Embed" ProgID="Equation.3" ShapeID="_x0000_i1027" DrawAspect="Content" ObjectID="_1445147704" r:id="rId13"/>
              </w:object>
            </w:r>
            <w:r w:rsidRPr="00DD30E3">
              <w:t>.  Ligações. ( 4 h</w:t>
            </w:r>
            <w:r w:rsidR="00141CC5" w:rsidRPr="00DD30E3">
              <w:t>/</w:t>
            </w:r>
            <w:r w:rsidRPr="00DD30E3">
              <w:t>a)</w:t>
            </w:r>
          </w:p>
          <w:p w:rsidR="00962B0D" w:rsidRPr="00DD30E3" w:rsidRDefault="00776BC8" w:rsidP="00776BC8">
            <w:pPr>
              <w:ind w:left="75" w:hanging="75"/>
            </w:pPr>
            <w:r w:rsidRPr="00DD30E3">
              <w:rPr>
                <w:b/>
              </w:rPr>
              <w:t xml:space="preserve"> Torção.  </w:t>
            </w:r>
            <w:r w:rsidRPr="00DD30E3">
              <w:t>Hipóteses ideais. Momento de inércia à torção. Tensão e deformação produzidas por momento de torção em eixos cilíndricos. Ângulo de torção. (4 h</w:t>
            </w:r>
            <w:r w:rsidR="00141CC5" w:rsidRPr="00DD30E3">
              <w:t>/</w:t>
            </w:r>
            <w:r w:rsidRPr="00DD30E3">
              <w:t>a)</w:t>
            </w:r>
          </w:p>
          <w:p w:rsidR="00776BC8" w:rsidRPr="00DD30E3" w:rsidRDefault="00776BC8" w:rsidP="00776BC8">
            <w:pPr>
              <w:ind w:left="75" w:hanging="75"/>
            </w:pPr>
            <w:r w:rsidRPr="00DD30E3">
              <w:rPr>
                <w:b/>
              </w:rPr>
              <w:t xml:space="preserve">Flexão </w:t>
            </w:r>
            <w:r w:rsidR="0020523F" w:rsidRPr="00DD30E3">
              <w:rPr>
                <w:b/>
              </w:rPr>
              <w:t>s</w:t>
            </w:r>
            <w:r w:rsidRPr="00DD30E3">
              <w:rPr>
                <w:b/>
              </w:rPr>
              <w:t xml:space="preserve">imples. </w:t>
            </w:r>
            <w:r w:rsidRPr="00DD30E3">
              <w:t xml:space="preserve"> Momento de inércia. Momento estático. Estudo da flexão. Fórmulas gerais. Cálculo de vigas. Deformação na flexão. Linha elástica. (10 h</w:t>
            </w:r>
            <w:r w:rsidR="00141CC5" w:rsidRPr="00DD30E3">
              <w:t>/</w:t>
            </w:r>
            <w:r w:rsidRPr="00DD30E3">
              <w:t>a)</w:t>
            </w:r>
          </w:p>
          <w:p w:rsidR="00776BC8" w:rsidRPr="00DD30E3" w:rsidRDefault="00776BC8" w:rsidP="00776BC8">
            <w:pPr>
              <w:ind w:left="75" w:hanging="75"/>
              <w:rPr>
                <w:bCs/>
              </w:rPr>
            </w:pPr>
            <w:r w:rsidRPr="00DD30E3">
              <w:rPr>
                <w:b/>
              </w:rPr>
              <w:t xml:space="preserve"> Solicitações </w:t>
            </w:r>
            <w:r w:rsidR="0020523F" w:rsidRPr="00DD30E3">
              <w:rPr>
                <w:b/>
              </w:rPr>
              <w:t>c</w:t>
            </w:r>
            <w:r w:rsidRPr="00DD30E3">
              <w:rPr>
                <w:b/>
              </w:rPr>
              <w:t xml:space="preserve">ompostas. </w:t>
            </w:r>
            <w:proofErr w:type="spellStart"/>
            <w:r w:rsidRPr="00DD30E3">
              <w:rPr>
                <w:bCs/>
              </w:rPr>
              <w:t>Flexo-tração</w:t>
            </w:r>
            <w:proofErr w:type="spellEnd"/>
            <w:r w:rsidRPr="00DD30E3">
              <w:rPr>
                <w:bCs/>
              </w:rPr>
              <w:t xml:space="preserve">. </w:t>
            </w:r>
            <w:proofErr w:type="spellStart"/>
            <w:r w:rsidRPr="00DD30E3">
              <w:rPr>
                <w:bCs/>
              </w:rPr>
              <w:t>Flexo-compressão</w:t>
            </w:r>
            <w:proofErr w:type="spellEnd"/>
            <w:r w:rsidRPr="00DD30E3">
              <w:rPr>
                <w:bCs/>
              </w:rPr>
              <w:t>. Cargas excêntricas. Concepção de outras combinações: corte e torção; flexão e torção simultâneas.  (4 h</w:t>
            </w:r>
            <w:r w:rsidR="00141CC5" w:rsidRPr="00DD30E3">
              <w:rPr>
                <w:bCs/>
              </w:rPr>
              <w:t>/</w:t>
            </w:r>
            <w:r w:rsidRPr="00DD30E3">
              <w:rPr>
                <w:bCs/>
              </w:rPr>
              <w:t>a)</w:t>
            </w:r>
          </w:p>
          <w:p w:rsidR="00776BC8" w:rsidRPr="00DD30E3" w:rsidRDefault="00776BC8" w:rsidP="00776BC8">
            <w:pPr>
              <w:ind w:left="75" w:hanging="75"/>
              <w:rPr>
                <w:b/>
              </w:rPr>
            </w:pPr>
            <w:r w:rsidRPr="00DD30E3">
              <w:rPr>
                <w:b/>
              </w:rPr>
              <w:t xml:space="preserve"> Introdução ao estudo das tensões. </w:t>
            </w:r>
            <w:r w:rsidRPr="00DD30E3">
              <w:t xml:space="preserve"> Estado plano de tensões. Círculo de </w:t>
            </w:r>
            <w:proofErr w:type="spellStart"/>
            <w:r w:rsidRPr="00DD30E3">
              <w:t>Mohr</w:t>
            </w:r>
            <w:proofErr w:type="spellEnd"/>
            <w:r w:rsidRPr="00DD30E3">
              <w:t xml:space="preserve"> de tensões. Tensões principais. Direções principais. Tensão de cisalhamento máxima. Elipse de tensões no plano. Estado triplo de tensões. (10 h</w:t>
            </w:r>
            <w:r w:rsidR="00141CC5" w:rsidRPr="00DD30E3">
              <w:t>/</w:t>
            </w:r>
            <w:r w:rsidRPr="00DD30E3">
              <w:t>a)</w:t>
            </w:r>
            <w:r w:rsidRPr="00DD30E3">
              <w:rPr>
                <w:b/>
              </w:rPr>
              <w:t>.</w:t>
            </w:r>
          </w:p>
          <w:p w:rsidR="001066E4" w:rsidRPr="00DD30E3" w:rsidRDefault="00776BC8" w:rsidP="00776BC8">
            <w:pPr>
              <w:ind w:left="75" w:hanging="75"/>
            </w:pPr>
            <w:r w:rsidRPr="00DD30E3">
              <w:rPr>
                <w:b/>
              </w:rPr>
              <w:t xml:space="preserve"> Critérios de </w:t>
            </w:r>
            <w:r w:rsidR="0020523F" w:rsidRPr="00DD30E3">
              <w:rPr>
                <w:b/>
              </w:rPr>
              <w:t>r</w:t>
            </w:r>
            <w:r w:rsidRPr="00DD30E3">
              <w:rPr>
                <w:b/>
              </w:rPr>
              <w:t xml:space="preserve">esistência. </w:t>
            </w:r>
            <w:r w:rsidRPr="00DD30E3">
              <w:t xml:space="preserve"> </w:t>
            </w:r>
            <w:r w:rsidRPr="00DD30E3">
              <w:rPr>
                <w:iCs/>
              </w:rPr>
              <w:t xml:space="preserve">Energia de deformação. Energia de dilatação. Energia de distorção. </w:t>
            </w:r>
            <w:r w:rsidRPr="00DD30E3">
              <w:t xml:space="preserve">Critério da máxima energia de distorção. Critério da máxima tensão de cisalhamento. </w:t>
            </w:r>
            <w:r w:rsidRPr="00DD30E3">
              <w:rPr>
                <w:iCs/>
              </w:rPr>
              <w:t xml:space="preserve">Critério da máxima tensão normal. Critério de </w:t>
            </w:r>
            <w:proofErr w:type="spellStart"/>
            <w:r w:rsidRPr="00DD30E3">
              <w:rPr>
                <w:iCs/>
              </w:rPr>
              <w:t>Mohr</w:t>
            </w:r>
            <w:proofErr w:type="spellEnd"/>
            <w:r w:rsidRPr="00DD30E3">
              <w:rPr>
                <w:iCs/>
              </w:rPr>
              <w:t xml:space="preserve">. Critério de </w:t>
            </w:r>
            <w:proofErr w:type="spellStart"/>
            <w:r w:rsidRPr="00DD30E3">
              <w:rPr>
                <w:iCs/>
              </w:rPr>
              <w:t>Mohr-Coulomb</w:t>
            </w:r>
            <w:proofErr w:type="spellEnd"/>
            <w:r w:rsidRPr="00DD30E3">
              <w:rPr>
                <w:iCs/>
              </w:rPr>
              <w:t>. (8 h</w:t>
            </w:r>
            <w:r w:rsidR="00141CC5" w:rsidRPr="00DD30E3">
              <w:rPr>
                <w:iCs/>
              </w:rPr>
              <w:t>/</w:t>
            </w:r>
            <w:r w:rsidRPr="00DD30E3">
              <w:rPr>
                <w:iCs/>
              </w:rPr>
              <w:t xml:space="preserve"> a)</w:t>
            </w:r>
          </w:p>
          <w:p w:rsidR="00692E0A" w:rsidRPr="00DD30E3" w:rsidRDefault="003741E1" w:rsidP="00141CC5">
            <w:pPr>
              <w:ind w:left="75" w:hanging="75"/>
              <w:rPr>
                <w:sz w:val="18"/>
                <w:szCs w:val="18"/>
              </w:rPr>
            </w:pPr>
            <w:proofErr w:type="spellStart"/>
            <w:r w:rsidRPr="00DD30E3">
              <w:rPr>
                <w:b/>
              </w:rPr>
              <w:t>Flambagem</w:t>
            </w:r>
            <w:proofErr w:type="spellEnd"/>
            <w:r w:rsidRPr="00DD30E3">
              <w:rPr>
                <w:b/>
              </w:rPr>
              <w:t xml:space="preserve"> .</w:t>
            </w:r>
            <w:r w:rsidRPr="00DD30E3">
              <w:t xml:space="preserve"> </w:t>
            </w:r>
            <w:proofErr w:type="spellStart"/>
            <w:r w:rsidRPr="00DD30E3">
              <w:t>Flambagem</w:t>
            </w:r>
            <w:proofErr w:type="spellEnd"/>
            <w:r w:rsidRPr="00DD30E3">
              <w:t xml:space="preserve"> elástica. Carga crítica de </w:t>
            </w:r>
            <w:proofErr w:type="spellStart"/>
            <w:r w:rsidRPr="00DD30E3">
              <w:t>Euler</w:t>
            </w:r>
            <w:proofErr w:type="spellEnd"/>
            <w:r w:rsidRPr="00DD30E3">
              <w:t xml:space="preserve">. Tensão crítica. Casos de condições de extremidades das barras. Índice de </w:t>
            </w:r>
            <w:proofErr w:type="spellStart"/>
            <w:r w:rsidRPr="00DD30E3">
              <w:t>esbeltez</w:t>
            </w:r>
            <w:proofErr w:type="spellEnd"/>
            <w:r w:rsidRPr="00DD30E3">
              <w:t xml:space="preserve">. Limite da fórmula de </w:t>
            </w:r>
            <w:proofErr w:type="spellStart"/>
            <w:r w:rsidRPr="00DD30E3">
              <w:t>Euler</w:t>
            </w:r>
            <w:proofErr w:type="spellEnd"/>
            <w:r w:rsidRPr="00DD30E3">
              <w:t>. Aplicação em colunas esbeltas.</w:t>
            </w:r>
            <w:r w:rsidR="00141CC5" w:rsidRPr="00DD30E3">
              <w:t xml:space="preserve"> (6 h/</w:t>
            </w:r>
            <w:r w:rsidRPr="00DD30E3">
              <w:t>a)</w:t>
            </w:r>
          </w:p>
        </w:tc>
      </w:tr>
      <w:tr w:rsidR="002D3ED2" w:rsidRPr="00265226" w:rsidTr="00DD3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3578"/>
        </w:trPr>
        <w:tc>
          <w:tcPr>
            <w:tcW w:w="11072" w:type="dxa"/>
            <w:gridSpan w:val="7"/>
            <w:tcBorders>
              <w:top w:val="double" w:sz="4" w:space="0" w:color="auto"/>
              <w:left w:val="thinThickLargeGap" w:sz="24" w:space="0" w:color="auto"/>
              <w:right w:val="thinThickLargeGap" w:sz="24" w:space="0" w:color="auto"/>
            </w:tcBorders>
          </w:tcPr>
          <w:p w:rsidR="002D3ED2" w:rsidRDefault="002D3ED2" w:rsidP="002D3ED2">
            <w:pPr>
              <w:jc w:val="center"/>
              <w:rPr>
                <w:rFonts w:ascii="Arial" w:hAnsi="Arial"/>
              </w:rPr>
            </w:pPr>
          </w:p>
          <w:p w:rsidR="002D3ED2" w:rsidRPr="00430AF7" w:rsidRDefault="002D3ED2" w:rsidP="002D3ED2">
            <w:pPr>
              <w:jc w:val="center"/>
              <w:rPr>
                <w:rFonts w:ascii="Arial" w:hAnsi="Arial"/>
                <w:b/>
              </w:rPr>
            </w:pPr>
            <w:r w:rsidRPr="00430AF7">
              <w:rPr>
                <w:rFonts w:ascii="Arial" w:hAnsi="Arial"/>
                <w:b/>
              </w:rPr>
              <w:t>BIBLIOGRAFIA</w:t>
            </w:r>
          </w:p>
          <w:p w:rsidR="00692E0A" w:rsidRDefault="00430AF7" w:rsidP="00692E0A">
            <w:pPr>
              <w:rPr>
                <w:b/>
              </w:rPr>
            </w:pPr>
            <w:r w:rsidRPr="00430AF7">
              <w:rPr>
                <w:b/>
              </w:rPr>
              <w:t>Básica</w:t>
            </w:r>
          </w:p>
          <w:p w:rsidR="00262B64" w:rsidRDefault="008D248D" w:rsidP="00262B64">
            <w:pPr>
              <w:rPr>
                <w:b/>
              </w:rPr>
            </w:pPr>
            <w:r>
              <w:rPr>
                <w:rFonts w:ascii="Arial" w:hAnsi="Arial" w:cs="Arial"/>
              </w:rPr>
              <w:t>HIBBELER</w:t>
            </w:r>
            <w:r w:rsidR="00692E0A">
              <w:rPr>
                <w:rFonts w:ascii="Arial" w:hAnsi="Arial" w:cs="Arial"/>
              </w:rPr>
              <w:t xml:space="preserve">, R. C. </w:t>
            </w:r>
            <w:r w:rsidR="00692E0A" w:rsidRPr="009E5F2F">
              <w:rPr>
                <w:rFonts w:ascii="Arial" w:hAnsi="Arial" w:cs="Arial"/>
                <w:i/>
              </w:rPr>
              <w:t>Resistência dos Materia</w:t>
            </w:r>
            <w:r w:rsidR="00692E0A">
              <w:rPr>
                <w:rFonts w:ascii="Arial" w:hAnsi="Arial" w:cs="Arial"/>
                <w:i/>
              </w:rPr>
              <w:t>i</w:t>
            </w:r>
            <w:r w:rsidR="00692E0A" w:rsidRPr="009E5F2F">
              <w:rPr>
                <w:rFonts w:ascii="Arial" w:hAnsi="Arial" w:cs="Arial"/>
                <w:i/>
              </w:rPr>
              <w:t>s</w:t>
            </w:r>
            <w:r w:rsidR="00692E0A">
              <w:rPr>
                <w:rFonts w:ascii="Arial" w:hAnsi="Arial" w:cs="Arial"/>
              </w:rPr>
              <w:t>, Pearson Editora, 7</w:t>
            </w:r>
            <w:r w:rsidR="00692E0A" w:rsidRPr="00FE6314">
              <w:rPr>
                <w:rFonts w:ascii="Arial" w:hAnsi="Arial" w:cs="Arial"/>
                <w:vertAlign w:val="superscript"/>
              </w:rPr>
              <w:t>a</w:t>
            </w:r>
            <w:r w:rsidR="00692E0A">
              <w:rPr>
                <w:rFonts w:ascii="Arial" w:hAnsi="Arial" w:cs="Arial"/>
              </w:rPr>
              <w:t xml:space="preserve"> Edição,  2009.</w:t>
            </w:r>
          </w:p>
          <w:p w:rsidR="00262B64" w:rsidRPr="00262B64" w:rsidRDefault="008D248D" w:rsidP="00262B64">
            <w:pPr>
              <w:rPr>
                <w:b/>
              </w:rPr>
            </w:pPr>
            <w:r w:rsidRPr="00262B64">
              <w:rPr>
                <w:rFonts w:ascii="Arial" w:hAnsi="Arial" w:cs="Arial"/>
                <w:lang w:val="en-US"/>
              </w:rPr>
              <w:t xml:space="preserve">BEER, F. P. </w:t>
            </w:r>
            <w:r w:rsidR="00265226">
              <w:rPr>
                <w:rFonts w:ascii="Arial" w:hAnsi="Arial" w:cs="Arial"/>
                <w:lang w:val="en-US"/>
              </w:rPr>
              <w:t>;</w:t>
            </w:r>
            <w:r w:rsidRPr="00262B64">
              <w:rPr>
                <w:rFonts w:ascii="Arial" w:hAnsi="Arial" w:cs="Arial"/>
                <w:lang w:val="en-US"/>
              </w:rPr>
              <w:t xml:space="preserve">  JOHNSTON, E. R.</w:t>
            </w:r>
            <w:r w:rsidR="00262B64" w:rsidRPr="00262B64">
              <w:rPr>
                <w:rFonts w:ascii="Arial" w:hAnsi="Arial" w:cs="Arial"/>
                <w:lang w:val="en-US"/>
              </w:rPr>
              <w:t xml:space="preserve">  </w:t>
            </w:r>
            <w:r w:rsidR="00262B64" w:rsidRPr="009E5F2F">
              <w:rPr>
                <w:rFonts w:ascii="Arial" w:hAnsi="Arial" w:cs="Arial"/>
                <w:i/>
              </w:rPr>
              <w:t>Resistência dos Materiais,</w:t>
            </w:r>
            <w:r w:rsidR="00262B64">
              <w:rPr>
                <w:rFonts w:ascii="Arial" w:hAnsi="Arial" w:cs="Arial"/>
              </w:rPr>
              <w:t xml:space="preserve">   </w:t>
            </w:r>
            <w:r w:rsidR="00161815">
              <w:rPr>
                <w:rFonts w:ascii="Arial" w:hAnsi="Arial" w:cs="Arial"/>
              </w:rPr>
              <w:t>McGRAW-HILL</w:t>
            </w:r>
            <w:r w:rsidR="00262B64">
              <w:rPr>
                <w:rFonts w:ascii="Arial" w:hAnsi="Arial" w:cs="Arial"/>
              </w:rPr>
              <w:t xml:space="preserve">, </w:t>
            </w:r>
            <w:r w:rsidR="00265226">
              <w:rPr>
                <w:rFonts w:ascii="Arial" w:hAnsi="Arial" w:cs="Arial"/>
              </w:rPr>
              <w:t xml:space="preserve">3a ed. 1992. </w:t>
            </w:r>
          </w:p>
          <w:p w:rsidR="00430AF7" w:rsidRPr="00692E0A" w:rsidRDefault="008D248D" w:rsidP="00692E0A">
            <w:pPr>
              <w:rPr>
                <w:b/>
              </w:rPr>
            </w:pPr>
            <w:r w:rsidRPr="007F60D9">
              <w:rPr>
                <w:rFonts w:ascii="Arial" w:hAnsi="Arial" w:cs="Arial"/>
              </w:rPr>
              <w:t xml:space="preserve"> </w:t>
            </w:r>
            <w:r w:rsidRPr="00FE6314">
              <w:rPr>
                <w:rFonts w:ascii="Arial" w:hAnsi="Arial" w:cs="Arial"/>
              </w:rPr>
              <w:t>TIMOSHENKO</w:t>
            </w:r>
            <w:r>
              <w:rPr>
                <w:rFonts w:ascii="Arial" w:hAnsi="Arial" w:cs="Arial"/>
              </w:rPr>
              <w:t xml:space="preserve">, S. P. &amp; </w:t>
            </w:r>
            <w:r w:rsidRPr="00FE6314">
              <w:rPr>
                <w:rFonts w:ascii="Arial" w:hAnsi="Arial" w:cs="Arial"/>
              </w:rPr>
              <w:t>GERE</w:t>
            </w:r>
            <w:r>
              <w:rPr>
                <w:rFonts w:ascii="Arial" w:hAnsi="Arial" w:cs="Arial"/>
              </w:rPr>
              <w:t>,</w:t>
            </w:r>
            <w:r w:rsidR="00692E0A">
              <w:rPr>
                <w:rFonts w:ascii="Arial" w:hAnsi="Arial" w:cs="Arial"/>
              </w:rPr>
              <w:t xml:space="preserve"> J. E. </w:t>
            </w:r>
            <w:r w:rsidR="00692E0A" w:rsidRPr="009E5F2F">
              <w:rPr>
                <w:rFonts w:ascii="Arial" w:hAnsi="Arial" w:cs="Arial"/>
                <w:i/>
              </w:rPr>
              <w:t>Mecânica dos Sólidos</w:t>
            </w:r>
            <w:r w:rsidR="00692E0A">
              <w:rPr>
                <w:rFonts w:ascii="Arial" w:hAnsi="Arial" w:cs="Arial"/>
              </w:rPr>
              <w:t>, v. 1, LTC Editora, 1987</w:t>
            </w:r>
            <w:r w:rsidR="00161815">
              <w:rPr>
                <w:rFonts w:ascii="Arial" w:hAnsi="Arial" w:cs="Arial"/>
              </w:rPr>
              <w:t xml:space="preserve">. </w:t>
            </w:r>
          </w:p>
          <w:p w:rsidR="00692E0A" w:rsidRDefault="00692E0A" w:rsidP="00F7086C"/>
          <w:p w:rsidR="00430AF7" w:rsidRPr="00262B64" w:rsidRDefault="00692E0A" w:rsidP="00692E0A">
            <w:pPr>
              <w:tabs>
                <w:tab w:val="left" w:pos="1960"/>
              </w:tabs>
              <w:rPr>
                <w:b/>
              </w:rPr>
            </w:pPr>
            <w:r w:rsidRPr="00262B64">
              <w:rPr>
                <w:b/>
              </w:rPr>
              <w:t xml:space="preserve">Complementar </w:t>
            </w:r>
          </w:p>
          <w:p w:rsidR="00430AF7" w:rsidRDefault="00262B64" w:rsidP="00F7086C">
            <w:pPr>
              <w:rPr>
                <w:rFonts w:ascii="Arial" w:hAnsi="Arial" w:cs="Arial"/>
              </w:rPr>
            </w:pPr>
            <w:r w:rsidRPr="00262B64">
              <w:rPr>
                <w:rFonts w:ascii="Arial" w:hAnsi="Arial" w:cs="Arial"/>
              </w:rPr>
              <w:t xml:space="preserve">NASH, W. A. </w:t>
            </w:r>
            <w:r w:rsidRPr="00262B64">
              <w:rPr>
                <w:rFonts w:ascii="Arial" w:hAnsi="Arial" w:cs="Arial"/>
                <w:i/>
              </w:rPr>
              <w:t>Resistência dos Materiais</w:t>
            </w:r>
            <w:r>
              <w:rPr>
                <w:rFonts w:ascii="Arial" w:hAnsi="Arial" w:cs="Arial"/>
              </w:rPr>
              <w:t xml:space="preserve">, </w:t>
            </w:r>
            <w:r w:rsidR="00265226">
              <w:rPr>
                <w:rFonts w:ascii="Arial" w:hAnsi="Arial" w:cs="Arial"/>
              </w:rPr>
              <w:t xml:space="preserve"> McGRAW-HILL,  3a  ed. 1990.</w:t>
            </w:r>
          </w:p>
          <w:p w:rsidR="008D248D" w:rsidRDefault="008D248D" w:rsidP="00F70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TIMOSHENKO, S. P. </w:t>
            </w:r>
            <w:r>
              <w:rPr>
                <w:rFonts w:ascii="Arial" w:hAnsi="Arial" w:cs="Arial"/>
                <w:i/>
              </w:rPr>
              <w:t xml:space="preserve">Resistência dos Materiais, </w:t>
            </w:r>
            <w:r w:rsidRPr="008D248D">
              <w:rPr>
                <w:rFonts w:ascii="Arial" w:hAnsi="Arial" w:cs="Arial"/>
              </w:rPr>
              <w:t>LT C Editora</w:t>
            </w:r>
            <w:r>
              <w:rPr>
                <w:rFonts w:ascii="Arial" w:hAnsi="Arial" w:cs="Arial"/>
              </w:rPr>
              <w:t>. v. 1, 1983.</w:t>
            </w:r>
          </w:p>
          <w:p w:rsidR="00265226" w:rsidRDefault="00265226" w:rsidP="00F70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POPOV, E. P. </w:t>
            </w:r>
            <w:r>
              <w:rPr>
                <w:rFonts w:ascii="Arial" w:hAnsi="Arial" w:cs="Arial"/>
                <w:i/>
              </w:rPr>
              <w:t xml:space="preserve">Resistência dos Materiais, </w:t>
            </w:r>
            <w:proofErr w:type="spellStart"/>
            <w:r w:rsidRPr="00265226">
              <w:rPr>
                <w:rFonts w:ascii="Arial" w:hAnsi="Arial" w:cs="Arial"/>
              </w:rPr>
              <w:t>Pren</w:t>
            </w:r>
            <w:r>
              <w:rPr>
                <w:rFonts w:ascii="Arial" w:hAnsi="Arial" w:cs="Arial"/>
              </w:rPr>
              <w:t>tice</w:t>
            </w:r>
            <w:proofErr w:type="spellEnd"/>
            <w:r>
              <w:rPr>
                <w:rFonts w:ascii="Arial" w:hAnsi="Arial" w:cs="Arial"/>
              </w:rPr>
              <w:t>/Hall, 2a ed. 1984.</w:t>
            </w:r>
          </w:p>
          <w:p w:rsidR="00265226" w:rsidRDefault="00265226" w:rsidP="00F7086C">
            <w:pPr>
              <w:rPr>
                <w:rFonts w:ascii="Arial" w:hAnsi="Arial" w:cs="Arial"/>
              </w:rPr>
            </w:pPr>
            <w:r w:rsidRPr="00265226">
              <w:rPr>
                <w:rFonts w:ascii="Arial" w:hAnsi="Arial" w:cs="Arial"/>
              </w:rPr>
              <w:t xml:space="preserve">HIGDON, A.; OHLSEN, E. H.; STILES, W. B.; WEESE, A. W.; RILEY, W. F. </w:t>
            </w:r>
            <w:r w:rsidRPr="00265226">
              <w:rPr>
                <w:rFonts w:ascii="Arial" w:hAnsi="Arial" w:cs="Arial"/>
                <w:i/>
              </w:rPr>
              <w:t>Mecânica dos Materiais,</w:t>
            </w:r>
            <w:r w:rsidRPr="00265226">
              <w:rPr>
                <w:rFonts w:ascii="Arial" w:hAnsi="Arial" w:cs="Arial"/>
              </w:rPr>
              <w:t xml:space="preserve"> Guanabara dois,  3a ed. 1981</w:t>
            </w:r>
            <w:r>
              <w:rPr>
                <w:rFonts w:ascii="Arial" w:hAnsi="Arial" w:cs="Arial"/>
              </w:rPr>
              <w:t>.</w:t>
            </w:r>
          </w:p>
          <w:p w:rsidR="00265226" w:rsidRPr="00265226" w:rsidRDefault="00265226" w:rsidP="00F7086C">
            <w:pPr>
              <w:rPr>
                <w:rFonts w:ascii="Arial" w:hAnsi="Arial" w:cs="Arial"/>
              </w:rPr>
            </w:pPr>
            <w:r w:rsidRPr="00265226">
              <w:rPr>
                <w:rFonts w:ascii="Arial" w:hAnsi="Arial" w:cs="Arial"/>
                <w:lang w:val="en-US"/>
              </w:rPr>
              <w:t xml:space="preserve">WILLEMS, N.; EASLEY, J.; ROLFE, S. 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265226">
              <w:rPr>
                <w:rFonts w:ascii="Arial" w:hAnsi="Arial" w:cs="Arial"/>
                <w:i/>
              </w:rPr>
              <w:t xml:space="preserve">Resistência dos Materiais. </w:t>
            </w:r>
            <w:r w:rsidRPr="00265226">
              <w:rPr>
                <w:rFonts w:ascii="Arial" w:hAnsi="Arial" w:cs="Arial"/>
              </w:rPr>
              <w:t>McGRAW-HILL, 1983</w:t>
            </w:r>
          </w:p>
          <w:p w:rsidR="00692E0A" w:rsidRPr="00265226" w:rsidRDefault="00692E0A" w:rsidP="00262B64">
            <w:pPr>
              <w:ind w:left="420"/>
              <w:jc w:val="both"/>
              <w:rPr>
                <w:rFonts w:ascii="Arial" w:hAnsi="Arial" w:cs="Arial"/>
              </w:rPr>
            </w:pPr>
          </w:p>
        </w:tc>
      </w:tr>
      <w:tr w:rsidR="00B0042B" w:rsidRPr="00265226" w:rsidTr="00DD3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99"/>
        </w:trPr>
        <w:tc>
          <w:tcPr>
            <w:tcW w:w="4994" w:type="dxa"/>
            <w:gridSpan w:val="3"/>
            <w:tcBorders>
              <w:left w:val="thinThickLargeGap" w:sz="24" w:space="0" w:color="auto"/>
              <w:bottom w:val="thinThickLargeGap" w:sz="24" w:space="0" w:color="auto"/>
              <w:right w:val="nil"/>
            </w:tcBorders>
          </w:tcPr>
          <w:p w:rsidR="00B0042B" w:rsidRPr="00265226" w:rsidRDefault="00B0042B" w:rsidP="00C70323">
            <w:pPr>
              <w:rPr>
                <w:rFonts w:ascii="Arial" w:hAnsi="Arial"/>
              </w:rPr>
            </w:pPr>
          </w:p>
        </w:tc>
        <w:tc>
          <w:tcPr>
            <w:tcW w:w="6078" w:type="dxa"/>
            <w:gridSpan w:val="4"/>
            <w:tcBorders>
              <w:left w:val="nil"/>
              <w:bottom w:val="thinThickLargeGap" w:sz="24" w:space="0" w:color="auto"/>
              <w:right w:val="thinThickLargeGap" w:sz="24" w:space="0" w:color="auto"/>
            </w:tcBorders>
          </w:tcPr>
          <w:p w:rsidR="00013987" w:rsidRPr="00265226" w:rsidRDefault="00013987">
            <w:pPr>
              <w:rPr>
                <w:rFonts w:ascii="Arial" w:hAnsi="Arial"/>
              </w:rPr>
            </w:pPr>
          </w:p>
        </w:tc>
      </w:tr>
    </w:tbl>
    <w:p w:rsidR="004E2695" w:rsidRDefault="00430AF7" w:rsidP="00430AF7">
      <w:p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h-</w:t>
      </w:r>
      <w:r w:rsidR="006C6ACD">
        <w:rPr>
          <w:rFonts w:ascii="Arial" w:hAnsi="Arial"/>
        </w:rPr>
        <w:t>a</w:t>
      </w:r>
      <w:proofErr w:type="spellEnd"/>
      <w:r w:rsidR="006C6ACD">
        <w:rPr>
          <w:rFonts w:ascii="Arial" w:hAnsi="Arial"/>
        </w:rPr>
        <w:t xml:space="preserve"> é igual a 50 minutos</w:t>
      </w:r>
    </w:p>
    <w:sectPr w:rsidR="004E2695" w:rsidSect="004E2695">
      <w:headerReference w:type="default" r:id="rId14"/>
      <w:pgSz w:w="11907" w:h="16840" w:code="9"/>
      <w:pgMar w:top="1134" w:right="283" w:bottom="1134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51B" w:rsidRDefault="008F151B">
      <w:r>
        <w:separator/>
      </w:r>
    </w:p>
  </w:endnote>
  <w:endnote w:type="continuationSeparator" w:id="0">
    <w:p w:rsidR="008F151B" w:rsidRDefault="008F1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51B" w:rsidRDefault="008F151B">
      <w:r>
        <w:separator/>
      </w:r>
    </w:p>
  </w:footnote>
  <w:footnote w:type="continuationSeparator" w:id="0">
    <w:p w:rsidR="008F151B" w:rsidRDefault="008F1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ACD" w:rsidRDefault="006C6ACD"/>
  <w:tbl>
    <w:tblPr>
      <w:tblW w:w="9837" w:type="dxa"/>
      <w:jc w:val="center"/>
      <w:tblLook w:val="01E0"/>
    </w:tblPr>
    <w:tblGrid>
      <w:gridCol w:w="1276"/>
      <w:gridCol w:w="7475"/>
      <w:gridCol w:w="1086"/>
    </w:tblGrid>
    <w:tr w:rsidR="006C6ACD" w:rsidRPr="00FB5646">
      <w:trPr>
        <w:trHeight w:val="713"/>
        <w:jc w:val="center"/>
      </w:trPr>
      <w:tc>
        <w:tcPr>
          <w:tcW w:w="1276" w:type="dxa"/>
        </w:tcPr>
        <w:p w:rsidR="006C6ACD" w:rsidRPr="00FB5646" w:rsidRDefault="006C6ACD" w:rsidP="00D70384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FB5646">
            <w:object w:dxaOrig="4380" w:dyaOrig="43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53pt;height:53pt" o:ole="">
                <v:imagedata r:id="rId1" o:title=""/>
              </v:shape>
              <o:OLEObject Type="Embed" ProgID="PBrush" ShapeID="_x0000_i1028" DrawAspect="Content" ObjectID="_1445147705" r:id="rId2"/>
            </w:object>
          </w:r>
        </w:p>
      </w:tc>
      <w:tc>
        <w:tcPr>
          <w:tcW w:w="7475" w:type="dxa"/>
        </w:tcPr>
        <w:p w:rsidR="006C6ACD" w:rsidRPr="00F846DE" w:rsidRDefault="006C6ACD" w:rsidP="00D70384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846DE">
            <w:rPr>
              <w:rFonts w:ascii="Arial" w:hAnsi="Arial" w:cs="Arial"/>
              <w:b/>
              <w:sz w:val="24"/>
              <w:szCs w:val="24"/>
            </w:rPr>
            <w:t>UNIVERSIDADE FEDERAL DE OURO PRETO</w:t>
          </w:r>
        </w:p>
        <w:p w:rsidR="006C6ACD" w:rsidRPr="00F846DE" w:rsidRDefault="006C6ACD" w:rsidP="00D70384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846DE">
            <w:rPr>
              <w:rFonts w:ascii="Arial" w:hAnsi="Arial" w:cs="Arial"/>
              <w:b/>
              <w:sz w:val="24"/>
              <w:szCs w:val="24"/>
            </w:rPr>
            <w:t>PRÓ-REITORIA DE GRADUAÇÃO</w:t>
          </w:r>
        </w:p>
        <w:p w:rsidR="006C6ACD" w:rsidRPr="00F846DE" w:rsidRDefault="006C6ACD" w:rsidP="00F846DE">
          <w:pPr>
            <w:pStyle w:val="Cabealho"/>
            <w:tabs>
              <w:tab w:val="clear" w:pos="8838"/>
              <w:tab w:val="right" w:pos="10490"/>
            </w:tabs>
            <w:ind w:right="-93"/>
            <w:jc w:val="center"/>
            <w:rPr>
              <w:rFonts w:ascii="Arial" w:hAnsi="Arial"/>
              <w:b/>
              <w:sz w:val="24"/>
              <w:szCs w:val="24"/>
            </w:rPr>
          </w:pPr>
          <w:r w:rsidRPr="00F846DE">
            <w:rPr>
              <w:rFonts w:ascii="Arial" w:hAnsi="Arial"/>
              <w:b/>
              <w:sz w:val="24"/>
              <w:szCs w:val="24"/>
            </w:rPr>
            <w:t>PROGRAMA DE DISCIPLINA</w:t>
          </w:r>
        </w:p>
        <w:p w:rsidR="006C6ACD" w:rsidRPr="00FB5646" w:rsidRDefault="00C62CA2" w:rsidP="00D70384">
          <w:pPr>
            <w:rPr>
              <w:rFonts w:ascii="Arial" w:hAnsi="Arial" w:cs="Arial"/>
              <w:b/>
              <w:sz w:val="22"/>
              <w:szCs w:val="22"/>
            </w:rPr>
          </w:pPr>
          <w:r w:rsidRPr="00C62CA2">
            <w:rPr>
              <w:rFonts w:ascii="Arial" w:hAnsi="Arial" w:cs="Arial"/>
              <w:sz w:val="18"/>
              <w:szCs w:val="18"/>
            </w:rPr>
            <w:pict>
              <v:rect id="_x0000_i1029" style="width:0;height:1.5pt" o:hralign="center" o:hrstd="t" o:hr="t" fillcolor="#aca899" stroked="f"/>
            </w:pict>
          </w:r>
        </w:p>
      </w:tc>
      <w:tc>
        <w:tcPr>
          <w:tcW w:w="1086" w:type="dxa"/>
        </w:tcPr>
        <w:p w:rsidR="006C6ACD" w:rsidRPr="00FB5646" w:rsidRDefault="000E541A" w:rsidP="00D70384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393700" cy="800100"/>
                <wp:effectExtent l="19050" t="0" r="6350" b="0"/>
                <wp:docPr id="3" name="Imagem 3" descr="070719145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0707191454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C6ACD" w:rsidRDefault="006C6ACD" w:rsidP="00F846DE"/>
  <w:p w:rsidR="006C6ACD" w:rsidRDefault="006C6ACD" w:rsidP="00F846D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9E4"/>
    <w:multiLevelType w:val="singleLevel"/>
    <w:tmpl w:val="08C2471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>
    <w:nsid w:val="0E5B6D99"/>
    <w:multiLevelType w:val="hybridMultilevel"/>
    <w:tmpl w:val="5CE664B2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F461C"/>
    <w:multiLevelType w:val="hybridMultilevel"/>
    <w:tmpl w:val="BD4EE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D2B71"/>
    <w:multiLevelType w:val="hybridMultilevel"/>
    <w:tmpl w:val="6B8072E0"/>
    <w:lvl w:ilvl="0" w:tplc="0270F2A0">
      <w:start w:val="1"/>
      <w:numFmt w:val="decimalZero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B3259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7723C4"/>
    <w:multiLevelType w:val="hybridMultilevel"/>
    <w:tmpl w:val="A3C2CD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4C3161"/>
    <w:multiLevelType w:val="hybridMultilevel"/>
    <w:tmpl w:val="3C226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A7CCC"/>
    <w:multiLevelType w:val="hybridMultilevel"/>
    <w:tmpl w:val="BD4EE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A3BE4"/>
    <w:multiLevelType w:val="hybridMultilevel"/>
    <w:tmpl w:val="6B8072E0"/>
    <w:lvl w:ilvl="0" w:tplc="0270F2A0">
      <w:start w:val="1"/>
      <w:numFmt w:val="decimalZero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7B94226C"/>
    <w:multiLevelType w:val="hybridMultilevel"/>
    <w:tmpl w:val="7AB4C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2E239F"/>
    <w:rsid w:val="00013987"/>
    <w:rsid w:val="00014C79"/>
    <w:rsid w:val="00026E2D"/>
    <w:rsid w:val="00036EBB"/>
    <w:rsid w:val="000E541A"/>
    <w:rsid w:val="000F6A1A"/>
    <w:rsid w:val="00104491"/>
    <w:rsid w:val="001066E4"/>
    <w:rsid w:val="0012263F"/>
    <w:rsid w:val="00125F63"/>
    <w:rsid w:val="0013545C"/>
    <w:rsid w:val="00141CC5"/>
    <w:rsid w:val="001608B1"/>
    <w:rsid w:val="00161815"/>
    <w:rsid w:val="00176BC6"/>
    <w:rsid w:val="001938FF"/>
    <w:rsid w:val="00196DC9"/>
    <w:rsid w:val="001B10C7"/>
    <w:rsid w:val="001C04F3"/>
    <w:rsid w:val="001C3F58"/>
    <w:rsid w:val="00201108"/>
    <w:rsid w:val="0020523F"/>
    <w:rsid w:val="0021602C"/>
    <w:rsid w:val="0022477F"/>
    <w:rsid w:val="00233EF5"/>
    <w:rsid w:val="002532EB"/>
    <w:rsid w:val="002608BB"/>
    <w:rsid w:val="00262B64"/>
    <w:rsid w:val="00265226"/>
    <w:rsid w:val="00273744"/>
    <w:rsid w:val="00277D92"/>
    <w:rsid w:val="002D3ED2"/>
    <w:rsid w:val="002E239F"/>
    <w:rsid w:val="00314CF1"/>
    <w:rsid w:val="00325F08"/>
    <w:rsid w:val="003609CE"/>
    <w:rsid w:val="00365809"/>
    <w:rsid w:val="003727AD"/>
    <w:rsid w:val="003741E1"/>
    <w:rsid w:val="00430AF7"/>
    <w:rsid w:val="004848F8"/>
    <w:rsid w:val="004A1E55"/>
    <w:rsid w:val="004C5ABD"/>
    <w:rsid w:val="004E2695"/>
    <w:rsid w:val="00505074"/>
    <w:rsid w:val="00505813"/>
    <w:rsid w:val="00525B44"/>
    <w:rsid w:val="00535BA5"/>
    <w:rsid w:val="00592D2A"/>
    <w:rsid w:val="005A2F8C"/>
    <w:rsid w:val="005B0362"/>
    <w:rsid w:val="005F2462"/>
    <w:rsid w:val="00682185"/>
    <w:rsid w:val="00692E0A"/>
    <w:rsid w:val="006C6ACD"/>
    <w:rsid w:val="0071242F"/>
    <w:rsid w:val="00776BC8"/>
    <w:rsid w:val="00793682"/>
    <w:rsid w:val="007A4E87"/>
    <w:rsid w:val="007B59B0"/>
    <w:rsid w:val="007E122F"/>
    <w:rsid w:val="007F1D09"/>
    <w:rsid w:val="007F78E0"/>
    <w:rsid w:val="00841FFE"/>
    <w:rsid w:val="00851F02"/>
    <w:rsid w:val="00874A55"/>
    <w:rsid w:val="008A0905"/>
    <w:rsid w:val="008B1194"/>
    <w:rsid w:val="008D248D"/>
    <w:rsid w:val="008D2BED"/>
    <w:rsid w:val="008F151B"/>
    <w:rsid w:val="00962B0D"/>
    <w:rsid w:val="009847CE"/>
    <w:rsid w:val="009965F7"/>
    <w:rsid w:val="009B447F"/>
    <w:rsid w:val="00AF13D5"/>
    <w:rsid w:val="00B0042B"/>
    <w:rsid w:val="00B04AD7"/>
    <w:rsid w:val="00B40CCB"/>
    <w:rsid w:val="00B5507D"/>
    <w:rsid w:val="00B83FA4"/>
    <w:rsid w:val="00BC2321"/>
    <w:rsid w:val="00BC5A14"/>
    <w:rsid w:val="00C31194"/>
    <w:rsid w:val="00C34218"/>
    <w:rsid w:val="00C62CA2"/>
    <w:rsid w:val="00C70323"/>
    <w:rsid w:val="00C81BC9"/>
    <w:rsid w:val="00C81F77"/>
    <w:rsid w:val="00CD60D3"/>
    <w:rsid w:val="00D12658"/>
    <w:rsid w:val="00D51B9D"/>
    <w:rsid w:val="00D70384"/>
    <w:rsid w:val="00D752A9"/>
    <w:rsid w:val="00DA17C7"/>
    <w:rsid w:val="00DC7662"/>
    <w:rsid w:val="00DD0B9B"/>
    <w:rsid w:val="00DD30E3"/>
    <w:rsid w:val="00DD3ED8"/>
    <w:rsid w:val="00DF57CB"/>
    <w:rsid w:val="00E43371"/>
    <w:rsid w:val="00E5082D"/>
    <w:rsid w:val="00EB1BF4"/>
    <w:rsid w:val="00EB3363"/>
    <w:rsid w:val="00EE29B8"/>
    <w:rsid w:val="00EF23DE"/>
    <w:rsid w:val="00F42789"/>
    <w:rsid w:val="00F665C6"/>
    <w:rsid w:val="00F7086C"/>
    <w:rsid w:val="00F846DE"/>
    <w:rsid w:val="00F9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9B0"/>
  </w:style>
  <w:style w:type="paragraph" w:styleId="Ttulo1">
    <w:name w:val="heading 1"/>
    <w:basedOn w:val="Normal"/>
    <w:next w:val="Normal"/>
    <w:qFormat/>
    <w:rsid w:val="007B59B0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B59B0"/>
    <w:pPr>
      <w:keepNext/>
      <w:ind w:left="708"/>
      <w:jc w:val="center"/>
      <w:outlineLvl w:val="1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7B59B0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E4337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B59B0"/>
    <w:pPr>
      <w:jc w:val="both"/>
    </w:pPr>
  </w:style>
  <w:style w:type="paragraph" w:styleId="Cabealho">
    <w:name w:val="header"/>
    <w:basedOn w:val="Normal"/>
    <w:rsid w:val="007B59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B59B0"/>
  </w:style>
  <w:style w:type="paragraph" w:styleId="Rodap">
    <w:name w:val="footer"/>
    <w:basedOn w:val="Normal"/>
    <w:rsid w:val="007B59B0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sid w:val="004848F8"/>
  </w:style>
  <w:style w:type="character" w:styleId="Refdenotaderodap">
    <w:name w:val="footnote reference"/>
    <w:semiHidden/>
    <w:rsid w:val="004848F8"/>
    <w:rPr>
      <w:vertAlign w:val="superscript"/>
    </w:rPr>
  </w:style>
  <w:style w:type="character" w:customStyle="1" w:styleId="style2">
    <w:name w:val="style2"/>
    <w:rsid w:val="00BC5A14"/>
  </w:style>
  <w:style w:type="character" w:customStyle="1" w:styleId="Ttulo5Char">
    <w:name w:val="Título 5 Char"/>
    <w:link w:val="Ttulo5"/>
    <w:semiHidden/>
    <w:rsid w:val="00E4337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rsid w:val="00196D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6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4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EF7E92-DC5A-49C7-A3DF-396A846E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BOTÂNICA APLICADA À FARMÁCIA</vt:lpstr>
    </vt:vector>
  </TitlesOfParts>
  <Company>Microsoft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BOTÂNICA APLICADA À FARMÁCIA</dc:title>
  <dc:creator>Microsoft Office 97 Professional®</dc:creator>
  <cp:lastModifiedBy>UFOP</cp:lastModifiedBy>
  <cp:revision>2</cp:revision>
  <cp:lastPrinted>2012-09-25T13:43:00Z</cp:lastPrinted>
  <dcterms:created xsi:type="dcterms:W3CDTF">2013-11-05T11:09:00Z</dcterms:created>
  <dcterms:modified xsi:type="dcterms:W3CDTF">2013-11-05T11:09:00Z</dcterms:modified>
</cp:coreProperties>
</file>