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GLIP Architecture Handbook</w:t>
      </w:r>
    </w:p>
    <w:p>
      <w:pPr>
        <w:jc w:val="center"/>
      </w:pPr>
      <w:r>
        <w:rPr>
          <w:b/>
        </w:rPr>
        <w:t>Version 2.1</w:t>
        <w:br/>
      </w:r>
      <w:r>
        <w:t>Status: Living document</w:t>
        <w:br/>
      </w:r>
      <w:r>
        <w:t>This handbook records architectural decisions that guide the development of GLIP.</w:t>
      </w:r>
    </w:p>
    <w:p>
      <w:pPr>
        <w:pStyle w:val="Heading1"/>
      </w:pPr>
      <w:r>
        <w:t>1. Purpose</w:t>
      </w:r>
    </w:p>
    <w:p>
      <w:r>
        <w:t>GLIP (Guided Learning for Independent Progress) is designed to provide a fast, reliable, scalable and maintainable learning platform. Correctness always takes priority over performance.</w:t>
      </w:r>
    </w:p>
    <w:p>
      <w:pPr>
        <w:pStyle w:val="Heading1"/>
      </w:pPr>
      <w:r>
        <w:t>2. Core Principles</w:t>
      </w:r>
    </w:p>
    <w:p>
      <w:r>
        <w:t>Priority order:</w:t>
        <w:br/>
        <w:t>1. Correctness</w:t>
        <w:br/>
        <w:t>2. Simplicity</w:t>
        <w:br/>
        <w:t>3. Performance</w:t>
        <w:br/>
        <w:br/>
        <w:t>The browser must never become the source of truth.</w:t>
      </w:r>
    </w:p>
    <w:p>
      <w:pPr>
        <w:pStyle w:val="Heading1"/>
      </w:pPr>
      <w:r>
        <w:t>3. System Architecture</w:t>
      </w:r>
    </w:p>
    <w:p>
      <w:r>
        <w:t>Google Sheets stores relational data.</w:t>
        <w:br/>
        <w:t>Apps Script implements business rules, validation, security and relationships.</w:t>
        <w:br/>
        <w:t>The browser provides presentation, interaction, caching and optimistic updates.</w:t>
        <w:br/>
        <w:t>Educational content is stored independently in GitHub.</w:t>
      </w:r>
    </w:p>
    <w:p>
      <w:pPr>
        <w:pStyle w:val="Heading1"/>
      </w:pPr>
      <w:r>
        <w:t>4. Data Model</w:t>
      </w:r>
    </w:p>
    <w:p>
      <w:r>
        <w:t>Relationships always use immutable IDs (teacher_id, student_id, subject_id, curriculum_id, topic_id, activity_id).</w:t>
        <w:br/>
        <w:t>Codes are human-readable identifiers used for content and may change without affecting relationships.</w:t>
      </w:r>
    </w:p>
    <w:p>
      <w:pPr>
        <w:pStyle w:val="Heading1"/>
      </w:pPr>
      <w:r>
        <w:t>5. Content Model</w:t>
      </w:r>
    </w:p>
    <w:p>
      <w:r>
        <w:t>Physical content is organised using codes:</w:t>
        <w:br/>
        <w:t>• Subject folder = subject_code</w:t>
        <w:br/>
        <w:t>• Subject image = subject_code.jpg</w:t>
        <w:br/>
        <w:t>• Topic folder = topic_code</w:t>
        <w:br/>
        <w:t>• Topic image = topic_code.jpg</w:t>
        <w:br/>
        <w:t>• Topic page = topic_code-home.html</w:t>
        <w:br/>
        <w:t>• Future activity page = activity_code.html</w:t>
        <w:br/>
        <w:br/>
        <w:t>Educational content should normally be added by creating metadata in Google Sheets and files in GitHub, without changing platform code.</w:t>
      </w:r>
    </w:p>
    <w:p>
      <w:pPr>
        <w:pStyle w:val="Heading1"/>
      </w:pPr>
      <w:r>
        <w:t>6. Cache Philosophy</w:t>
      </w:r>
    </w:p>
    <w:p>
      <w:r>
        <w:t>Never use cached data to determine whether data exists. Display cached data immediately, request fresh data in the background and replace the cache if newer. Caches are disposable and never authoritative.</w:t>
      </w:r>
    </w:p>
    <w:p>
      <w:pPr>
        <w:pStyle w:val="Heading1"/>
      </w:pPr>
      <w:r>
        <w:t>7. Optimistic Updates</w:t>
      </w:r>
    </w:p>
    <w:p>
      <w:r>
        <w:t>Management pages update immediately, save silently in the background, invalidate affected caches and synchronise automatically. Users should rarely wait for server responses.</w:t>
      </w:r>
    </w:p>
    <w:p>
      <w:pPr>
        <w:pStyle w:val="Heading1"/>
      </w:pPr>
      <w:r>
        <w:t>8. Cache Invalidation</w:t>
      </w:r>
    </w:p>
    <w:p>
      <w:r>
        <w:t>Invalidate all affected caches after successful writes. Prefer invalidating too much rather than risking stale data. Silent refresh keeps users up to date.</w:t>
      </w:r>
    </w:p>
    <w:p>
      <w:pPr>
        <w:pStyle w:val="Heading1"/>
      </w:pPr>
      <w:r>
        <w:t>9. Security</w:t>
      </w:r>
    </w:p>
    <w:p>
      <w:r>
        <w:t>Security is enforced only by Apps Script. The browser may hide functionality but must never be trusted to enforce permissions.</w:t>
      </w:r>
    </w:p>
    <w:p>
      <w:pPr>
        <w:pStyle w:val="Heading1"/>
      </w:pPr>
      <w:r>
        <w:t>10. Multi-school Design</w:t>
      </w:r>
    </w:p>
    <w:p>
      <w:r>
        <w:t>Never hard-code schools, levels, subjects, curricula, topics, deployment URLs or similar metadata. Everything should come from configuration or data.</w:t>
      </w:r>
    </w:p>
    <w:p>
      <w:pPr>
        <w:pStyle w:val="Heading1"/>
      </w:pPr>
      <w:r>
        <w:t>11. Planning Philosophy</w:t>
      </w:r>
    </w:p>
    <w:p>
      <w:r>
        <w:t>Owners and administrators may see inactive structures for planning. Teachers and students should see only active content. Planning indicators communicate inactive dependencies.</w:t>
      </w:r>
    </w:p>
    <w:p>
      <w:pPr>
        <w:pStyle w:val="Heading1"/>
      </w:pPr>
      <w:r>
        <w:t>12. UI Standards</w:t>
      </w:r>
    </w:p>
    <w:p>
      <w:r>
        <w:t>Maintain a consistent management-page experience: sortable tables, optimistic updates, silent synchronisation, consistent buttons, inline validation, immediate feedback and shared CSS/components.</w:t>
      </w:r>
    </w:p>
    <w:p>
      <w:pPr>
        <w:pStyle w:val="Heading1"/>
      </w:pPr>
      <w:r>
        <w:t>13. Performance</w:t>
      </w:r>
    </w:p>
    <w:p>
      <w:r>
        <w:t>Performance improvements must never compromise correctness. Cache warming, relational snapshots and silent refresh are implementation details that must preserve correctness.</w:t>
      </w:r>
    </w:p>
    <w:p>
      <w:pPr>
        <w:pStyle w:val="Heading1"/>
      </w:pPr>
      <w:r>
        <w:t>14. Maintainability</w:t>
      </w:r>
    </w:p>
    <w:p>
      <w:r>
        <w:t>Prefer shared components, reusable functions, metadata-driven behaviour and configuration over duplicated code or hard-coded values.</w:t>
      </w:r>
    </w:p>
    <w:p>
      <w:pPr>
        <w:pStyle w:val="Heading1"/>
      </w:pPr>
      <w:r>
        <w:t>15. Guiding Questions</w:t>
      </w:r>
    </w:p>
    <w:p>
      <w:r>
        <w:t>Before implementing any feature ask:</w:t>
        <w:br/>
        <w:t>• Is the server the source of truth?</w:t>
        <w:br/>
        <w:t>• Can this survive an empty cache?</w:t>
        <w:br/>
        <w:t>• Can this survive another school?</w:t>
        <w:br/>
        <w:t>• Can IDs and codes evolve independently?</w:t>
        <w:br/>
        <w:t>• Can educational content be changed without changing platform code?</w:t>
        <w:br/>
        <w:t>• Will this still work at much larger scale?</w:t>
      </w:r>
    </w:p>
    <w:p>
      <w:pPr>
        <w:pStyle w:val="Heading1"/>
      </w:pPr>
      <w:r>
        <w:t>Architectural Decisions Log</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Summary</w:t>
            </w:r>
          </w:p>
        </w:tc>
      </w:tr>
      <w:tr>
        <w:tc>
          <w:tcPr>
            <w:tcW w:type="dxa" w:w="4320"/>
          </w:tcPr>
          <w:p>
            <w:r>
              <w:t>AD-001</w:t>
            </w:r>
          </w:p>
        </w:tc>
        <w:tc>
          <w:tcPr>
            <w:tcW w:type="dxa" w:w="4320"/>
          </w:tcPr>
          <w:p>
            <w:r>
              <w:t>Google Sheets is the authoritative data store.</w:t>
            </w:r>
          </w:p>
        </w:tc>
      </w:tr>
      <w:tr>
        <w:tc>
          <w:tcPr>
            <w:tcW w:type="dxa" w:w="4320"/>
          </w:tcPr>
          <w:p>
            <w:r>
              <w:t>AD-002</w:t>
            </w:r>
          </w:p>
        </w:tc>
        <w:tc>
          <w:tcPr>
            <w:tcW w:type="dxa" w:w="4320"/>
          </w:tcPr>
          <w:p>
            <w:r>
              <w:t>Apps Script owns business logic, validation and security.</w:t>
            </w:r>
          </w:p>
        </w:tc>
      </w:tr>
      <w:tr>
        <w:tc>
          <w:tcPr>
            <w:tcW w:type="dxa" w:w="4320"/>
          </w:tcPr>
          <w:p>
            <w:r>
              <w:t>AD-003</w:t>
            </w:r>
          </w:p>
        </w:tc>
        <w:tc>
          <w:tcPr>
            <w:tcW w:type="dxa" w:w="4320"/>
          </w:tcPr>
          <w:p>
            <w:r>
              <w:t>Browser implements optimistic updates and silent refresh.</w:t>
            </w:r>
          </w:p>
        </w:tc>
      </w:tr>
      <w:tr>
        <w:tc>
          <w:tcPr>
            <w:tcW w:type="dxa" w:w="4320"/>
          </w:tcPr>
          <w:p>
            <w:r>
              <w:t>AD-004</w:t>
            </w:r>
          </w:p>
        </w:tc>
        <w:tc>
          <w:tcPr>
            <w:tcW w:type="dxa" w:w="4320"/>
          </w:tcPr>
          <w:p>
            <w:r>
              <w:t>Caches improve performance but are never authoritative.</w:t>
            </w:r>
          </w:p>
        </w:tc>
      </w:tr>
      <w:tr>
        <w:tc>
          <w:tcPr>
            <w:tcW w:type="dxa" w:w="4320"/>
          </w:tcPr>
          <w:p>
            <w:r>
              <w:t>AD-005</w:t>
            </w:r>
          </w:p>
        </w:tc>
        <w:tc>
          <w:tcPr>
            <w:tcW w:type="dxa" w:w="4320"/>
          </w:tcPr>
          <w:p>
            <w:r>
              <w:t>Relationships always use immutable IDs.</w:t>
            </w:r>
          </w:p>
        </w:tc>
      </w:tr>
      <w:tr>
        <w:tc>
          <w:tcPr>
            <w:tcW w:type="dxa" w:w="4320"/>
          </w:tcPr>
          <w:p>
            <w:r>
              <w:t>AD-006</w:t>
            </w:r>
          </w:p>
        </w:tc>
        <w:tc>
          <w:tcPr>
            <w:tcW w:type="dxa" w:w="4320"/>
          </w:tcPr>
          <w:p>
            <w:r>
              <w:t>Physical content uses human-readable codes rather than IDs.</w:t>
            </w:r>
          </w:p>
        </w:tc>
      </w:tr>
      <w:tr>
        <w:tc>
          <w:tcPr>
            <w:tcW w:type="dxa" w:w="4320"/>
          </w:tcPr>
          <w:p>
            <w:r>
              <w:t>AD-007</w:t>
            </w:r>
          </w:p>
        </w:tc>
        <w:tc>
          <w:tcPr>
            <w:tcW w:type="dxa" w:w="4320"/>
          </w:tcPr>
          <w:p>
            <w:r>
              <w:t>Subject folders and icons are standardised on subject_code.</w:t>
            </w:r>
          </w:p>
        </w:tc>
      </w:tr>
      <w:tr>
        <w:tc>
          <w:tcPr>
            <w:tcW w:type="dxa" w:w="4320"/>
          </w:tcPr>
          <w:p>
            <w:r>
              <w:t>AD-008</w:t>
            </w:r>
          </w:p>
        </w:tc>
        <w:tc>
          <w:tcPr>
            <w:tcW w:type="dxa" w:w="4320"/>
          </w:tcPr>
          <w:p>
            <w:r>
              <w:t>Topic folders and assets are standardised on topic_code.</w:t>
            </w:r>
          </w:p>
        </w:tc>
      </w:tr>
      <w:tr>
        <w:tc>
          <w:tcPr>
            <w:tcW w:type="dxa" w:w="4320"/>
          </w:tcPr>
          <w:p>
            <w:r>
              <w:t>AD-009</w:t>
            </w:r>
          </w:p>
        </w:tc>
        <w:tc>
          <w:tcPr>
            <w:tcW w:type="dxa" w:w="4320"/>
          </w:tcPr>
          <w:p>
            <w:r>
              <w:t>Educational content should be independent from platform code.</w:t>
            </w:r>
          </w:p>
        </w:tc>
      </w:tr>
      <w:tr>
        <w:tc>
          <w:tcPr>
            <w:tcW w:type="dxa" w:w="4320"/>
          </w:tcPr>
          <w:p>
            <w:r>
              <w:t>AD-010</w:t>
            </w:r>
          </w:p>
        </w:tc>
        <w:tc>
          <w:tcPr>
            <w:tcW w:type="dxa" w:w="4320"/>
          </w:tcPr>
          <w:p>
            <w:r>
              <w:t>Planning mode exposes inactive structures only to administrative roles.</w:t>
            </w:r>
          </w:p>
        </w:tc>
      </w:tr>
      <w:tr>
        <w:tc>
          <w:tcPr>
            <w:tcW w:type="dxa" w:w="4320"/>
          </w:tcPr>
          <w:p>
            <w:r>
              <w:t>AD-011</w:t>
            </w:r>
          </w:p>
        </w:tc>
        <w:tc>
          <w:tcPr>
            <w:tcW w:type="dxa" w:w="4320"/>
          </w:tcPr>
          <w:p>
            <w:r>
              <w:t>Shared UI components and CSS should be reused across management pages.</w:t>
            </w:r>
          </w:p>
        </w:tc>
      </w:tr>
      <w:tr>
        <w:tc>
          <w:tcPr>
            <w:tcW w:type="dxa" w:w="4320"/>
          </w:tcPr>
          <w:p>
            <w:r>
              <w:t>AD-012</w:t>
            </w:r>
          </w:p>
        </w:tc>
        <w:tc>
          <w:tcPr>
            <w:tcW w:type="dxa" w:w="4320"/>
          </w:tcPr>
          <w:p>
            <w:r>
              <w:t>Performance monitoring is built into the platform to detect bottlenecks.</w:t>
            </w:r>
          </w:p>
        </w:tc>
      </w:tr>
    </w:tbl>
    <w:p>
      <w:pPr>
        <w:pStyle w:val="Heading1"/>
      </w:pPr>
      <w:r>
        <w:t>Change Log</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Major Changes</w:t>
            </w:r>
          </w:p>
        </w:tc>
      </w:tr>
      <w:tr>
        <w:tc>
          <w:tcPr>
            <w:tcW w:type="dxa" w:w="2880"/>
          </w:tcPr>
          <w:p>
            <w:r>
              <w:t>1.0</w:t>
            </w:r>
          </w:p>
        </w:tc>
        <w:tc>
          <w:tcPr>
            <w:tcW w:type="dxa" w:w="2880"/>
          </w:tcPr>
          <w:p>
            <w:r>
              <w:t>Jul 2026</w:t>
            </w:r>
          </w:p>
        </w:tc>
        <w:tc>
          <w:tcPr>
            <w:tcW w:type="dxa" w:w="2880"/>
          </w:tcPr>
          <w:p>
            <w:r>
              <w:t>Initial architecture principles.</w:t>
            </w:r>
          </w:p>
        </w:tc>
      </w:tr>
      <w:tr>
        <w:tc>
          <w:tcPr>
            <w:tcW w:type="dxa" w:w="2880"/>
          </w:tcPr>
          <w:p>
            <w:r>
              <w:t>2.0</w:t>
            </w:r>
          </w:p>
        </w:tc>
        <w:tc>
          <w:tcPr>
            <w:tcW w:type="dxa" w:w="2880"/>
          </w:tcPr>
          <w:p>
            <w:r>
              <w:t>Jul 2026</w:t>
            </w:r>
          </w:p>
        </w:tc>
        <w:tc>
          <w:tcPr>
            <w:tcW w:type="dxa" w:w="2880"/>
          </w:tcPr>
          <w:p>
            <w:r>
              <w:t>Expanded into architecture handbook. Added system architecture, IDs vs Codes, content model, cache philosophy and content independence.</w:t>
            </w:r>
          </w:p>
        </w:tc>
      </w:tr>
      <w:tr>
        <w:tc>
          <w:tcPr>
            <w:tcW w:type="dxa" w:w="2880"/>
          </w:tcPr>
          <w:p>
            <w:r>
              <w:t>2.1</w:t>
            </w:r>
          </w:p>
        </w:tc>
        <w:tc>
          <w:tcPr>
            <w:tcW w:type="dxa" w:w="2880"/>
          </w:tcPr>
          <w:p>
            <w:r>
              <w:t>Jul 2026</w:t>
            </w:r>
          </w:p>
        </w:tc>
        <w:tc>
          <w:tcPr>
            <w:tcW w:type="dxa" w:w="2880"/>
          </w:tcPr>
          <w:p>
            <w:r>
              <w:t>Added architectural decisions log, content naming standards using subject_code/topic_code, UI standards, planning philosophy, performance architecture and maintainability guidance.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