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GLIP Architecture Handbook</w:t>
      </w:r>
    </w:p>
    <w:p>
      <w:r>
        <w:t>Version 3.0</w:t>
        <w:br/>
        <w:t>Status: Living document</w:t>
      </w:r>
    </w:p>
    <w:p>
      <w:pPr>
        <w:pStyle w:val="Heading1"/>
      </w:pPr>
      <w:r>
        <w:t>1. Vision and Design Philosophy</w:t>
      </w:r>
    </w:p>
    <w:p>
      <w:r>
        <w:t>GLIP (Guided Learning for Independent Progress) is designed to provide a fast, reliable, scalable and maintainable learning platform. Correctness always takes priority over performance. The platform is data-driven, role-aware and designed so that educational content can evolve independently from platform code.</w:t>
      </w:r>
    </w:p>
    <w:p>
      <w:pPr>
        <w:pStyle w:val="Heading1"/>
      </w:pPr>
      <w:r>
        <w:t>2. Core Architectural Principles</w:t>
      </w:r>
    </w:p>
    <w:p>
      <w:r>
        <w:t>Priority order:</w:t>
        <w:br/>
        <w:t>1. Correctness</w:t>
        <w:br/>
        <w:t>2. Simplicity</w:t>
        <w:br/>
        <w:t>3. Performance</w:t>
        <w:br/>
        <w:br/>
        <w:t>The server is always the source of truth. Caches improve responsiveness but never determine correctness.</w:t>
      </w:r>
    </w:p>
    <w:p>
      <w:pPr>
        <w:pStyle w:val="Heading1"/>
      </w:pPr>
      <w:r>
        <w:t>3. System Architecture</w:t>
      </w:r>
    </w:p>
    <w:p>
      <w:r>
        <w:t>Google Sheets stores relational data.</w:t>
        <w:br/>
        <w:t>Apps Script implements business logic, validation, security and relationships.</w:t>
        <w:br/>
        <w:t>The browser provides presentation, caching, optimistic updates and intelligent preloading.</w:t>
        <w:br/>
        <w:t>Educational content is stored independently in GitHub.</w:t>
      </w:r>
    </w:p>
    <w:p>
      <w:pPr>
        <w:pStyle w:val="Heading1"/>
      </w:pPr>
      <w:r>
        <w:t>4. Data Architecture</w:t>
      </w:r>
    </w:p>
    <w:p>
      <w:r>
        <w:t>Relationships use immutable IDs. Human-readable codes identify folders, pages and assets. IDs and codes evolve independently.</w:t>
      </w:r>
    </w:p>
    <w:p>
      <w:pPr>
        <w:pStyle w:val="Heading1"/>
      </w:pPr>
      <w:r>
        <w:t>5. Content Architecture</w:t>
      </w:r>
    </w:p>
    <w:p>
      <w:r>
        <w:t>Subjects, topics and activities are driven by metadata. Educational content should normally be added by updating Google Sheets and GitHub content without modifying platform code.</w:t>
      </w:r>
    </w:p>
    <w:p>
      <w:pPr>
        <w:pStyle w:val="Heading1"/>
      </w:pPr>
      <w:r>
        <w:t>6. Client Architecture</w:t>
      </w:r>
    </w:p>
    <w:p>
      <w:r>
        <w:t>Browser sessions maintain disposable caches, perform optimistic updates and use silent synchronisation after writes. Role-specific preload strategies prepare data needed immediately after login.</w:t>
      </w:r>
    </w:p>
    <w:p>
      <w:pPr>
        <w:pStyle w:val="Heading1"/>
      </w:pPr>
      <w:r>
        <w:t>7. Caching and Performance</w:t>
      </w:r>
    </w:p>
    <w:p>
      <w:r>
        <w:t>Display cached data immediately and refresh silently in the background. Login is used as the primary opportunity for intelligent background preloading. Cache invalidation follows every successful write.</w:t>
      </w:r>
    </w:p>
    <w:p>
      <w:pPr>
        <w:pStyle w:val="Heading1"/>
      </w:pPr>
      <w:r>
        <w:t>8. Recommendation Engine</w:t>
      </w:r>
    </w:p>
    <w:p>
      <w:r>
        <w:t>The Recommendation Engine is the single authority for learner guidance.</w:t>
        <w:br/>
        <w:br/>
        <w:t>The initial implementation is the Next Activity Engine.</w:t>
        <w:br/>
        <w:br/>
        <w:t>Rules:</w:t>
        <w:br/>
        <w:t>• Ignore inactive and hidden activities.</w:t>
        <w:br/>
        <w:t>• Resume the first activity marked In Progress.</w:t>
        <w:br/>
        <w:t>• Otherwise recommend the first Not Started activity.</w:t>
        <w:br/>
        <w:t>• Return no recommendation when all activities are complete.</w:t>
        <w:br/>
        <w:br/>
        <w:t>Every feature that guides the learner should use this shared algorithm, including Continue Learning, topic highlighting, preloading and future dashboards.</w:t>
      </w:r>
    </w:p>
    <w:p>
      <w:pPr>
        <w:pStyle w:val="Heading1"/>
      </w:pPr>
      <w:r>
        <w:t>9. Security Model</w:t>
      </w:r>
    </w:p>
    <w:p>
      <w:r>
        <w:t>Apps Script alone enforces permissions. Browser code may hide functionality but never enforces security.</w:t>
      </w:r>
    </w:p>
    <w:p>
      <w:pPr>
        <w:pStyle w:val="Heading1"/>
      </w:pPr>
      <w:r>
        <w:t>10. UI Standards</w:t>
      </w:r>
    </w:p>
    <w:p>
      <w:r>
        <w:t>Management pages share common components, styling and behaviour, including sortable tables, optimistic updates, inline validation and silent synchronisation.</w:t>
      </w:r>
    </w:p>
    <w:p>
      <w:pPr>
        <w:pStyle w:val="Heading1"/>
      </w:pPr>
      <w:r>
        <w:t>11. Extensibility Guidelines</w:t>
      </w:r>
    </w:p>
    <w:p>
      <w:r>
        <w:t>Prefer shared services over page-specific logic. New features should extend the Recommendation Engine, preload framework or shared UI components rather than duplicate behaviour.</w:t>
      </w:r>
    </w:p>
    <w:p>
      <w:pPr>
        <w:pStyle w:val="Heading1"/>
      </w:pPr>
      <w:r>
        <w:t>12. Architectural Decision Record (ADR) Catalogue</w:t>
      </w:r>
    </w:p>
    <w:p>
      <w:r>
        <w:t>AD-001 Google Sheets is the authoritative data store.</w:t>
        <w:br/>
        <w:t>AD-002 Apps Script owns business logic, validation and security.</w:t>
        <w:br/>
        <w:t>AD-003 Browser implements optimistic updates and silent refresh.</w:t>
        <w:br/>
        <w:t>AD-004 Caches are never authoritative.</w:t>
        <w:br/>
        <w:t>AD-005 Relationships use immutable IDs.</w:t>
        <w:br/>
        <w:t>AD-006 Physical content uses human-readable codes.</w:t>
        <w:br/>
        <w:t>AD-007 Subject folders and icons use subject_code.</w:t>
        <w:br/>
        <w:t>AD-008 Topic folders and assets use topic_code.</w:t>
        <w:br/>
        <w:t>AD-009 Educational content is independent from platform code.</w:t>
        <w:br/>
        <w:t>AD-010 Planning mode exposes inactive structures only to administrative roles.</w:t>
        <w:br/>
        <w:t>AD-011 Shared UI components should be reused.</w:t>
        <w:br/>
        <w:t>AD-012 Performance monitoring is built into the platform.</w:t>
        <w:br/>
        <w:t>AD-013 Use role-specific preload strategies.</w:t>
        <w:br/>
        <w:t>AD-014 A single Recommendation Engine determines the learner's next action.</w:t>
        <w:br/>
        <w:t>AD-015 Background preloading should prioritise the recommended next activity.</w:t>
      </w:r>
    </w:p>
    <w:p>
      <w:pPr>
        <w:pStyle w:val="Heading1"/>
      </w:pPr>
      <w:r>
        <w:t>Version History</w:t>
      </w:r>
    </w:p>
    <w:p>
      <w:r>
        <w:t>v1.0 Initial architecture principles.</w:t>
        <w:br/>
        <w:t>v2.0 Expanded handbook.</w:t>
        <w:br/>
        <w:t>v2.1 Added ADR catalogue, planning philosophy, UI standards and maintainability.</w:t>
        <w:br/>
        <w:t>v2.2 Introduced Recommendation Engine and role-based preload strategies.</w:t>
        <w:br/>
        <w:t>v3.0 Reorganised as a complete architecture handbook with dedicated chapters.</w:t>
      </w:r>
    </w:p>
    <w:p>
      <w:pPr>
        <w:pStyle w:val="Heading1"/>
      </w:pPr>
      <w:r>
        <w:t>Version 3.1 – Content Asset Naming Standard</w:t>
      </w:r>
    </w:p>
    <w:p>
      <w:r>
        <w:t>To improve consistency, maintainability and future automation, GLIP adopts a standardised asset naming convention based on immutable metadata and snake_case naming.</w:t>
      </w:r>
    </w:p>
    <w:p>
      <w:pPr>
        <w:pStyle w:val="Heading2"/>
      </w:pPr>
      <w:r>
        <w:t>Architectural Principle</w:t>
      </w:r>
    </w:p>
    <w:p>
      <w:r>
        <w:t>All content assets associated with subjects, topics and activities should use lower-case snake_case names. Asset names should be derived from subject_code, topic_code or activity_code wherever practical. Hyphens should be avoided in new asset names.</w:t>
      </w:r>
    </w:p>
    <w:p>
      <w:pPr>
        <w:pStyle w:val="Heading2"/>
      </w:pPr>
      <w:r>
        <w:t>Standard Asset Naming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Convention</w:t>
            </w:r>
          </w:p>
        </w:tc>
      </w:tr>
      <w:tr>
        <w:tc>
          <w:tcPr>
            <w:tcW w:type="dxa" w:w="4320"/>
          </w:tcPr>
          <w:p>
            <w:r>
              <w:t>Subject icon</w:t>
            </w:r>
          </w:p>
        </w:tc>
        <w:tc>
          <w:tcPr>
            <w:tcW w:type="dxa" w:w="4320"/>
          </w:tcPr>
          <w:p>
            <w:r>
              <w:t>icon_{subject_code}.jpg</w:t>
            </w:r>
          </w:p>
        </w:tc>
      </w:tr>
      <w:tr>
        <w:tc>
          <w:tcPr>
            <w:tcW w:type="dxa" w:w="4320"/>
          </w:tcPr>
          <w:p>
            <w:r>
              <w:t>Topic hero image</w:t>
            </w:r>
          </w:p>
        </w:tc>
        <w:tc>
          <w:tcPr>
            <w:tcW w:type="dxa" w:w="4320"/>
          </w:tcPr>
          <w:p>
            <w:r>
              <w:t>{topic_code}_hero.jpg</w:t>
            </w:r>
          </w:p>
        </w:tc>
      </w:tr>
      <w:tr>
        <w:tc>
          <w:tcPr>
            <w:tcW w:type="dxa" w:w="4320"/>
          </w:tcPr>
          <w:p>
            <w:r>
              <w:t>Lesson poster</w:t>
            </w:r>
          </w:p>
        </w:tc>
        <w:tc>
          <w:tcPr>
            <w:tcW w:type="dxa" w:w="4320"/>
          </w:tcPr>
          <w:p>
            <w:r>
              <w:t>{topic_code}_lesson_video_image.jpg</w:t>
            </w:r>
          </w:p>
        </w:tc>
      </w:tr>
      <w:tr>
        <w:tc>
          <w:tcPr>
            <w:tcW w:type="dxa" w:w="4320"/>
          </w:tcPr>
          <w:p>
            <w:r>
              <w:t>Practice document</w:t>
            </w:r>
          </w:p>
        </w:tc>
        <w:tc>
          <w:tcPr>
            <w:tcW w:type="dxa" w:w="4320"/>
          </w:tcPr>
          <w:p>
            <w:r>
              <w:t>{activity_code}.docx</w:t>
            </w:r>
          </w:p>
        </w:tc>
      </w:tr>
      <w:tr>
        <w:tc>
          <w:tcPr>
            <w:tcW w:type="dxa" w:w="4320"/>
          </w:tcPr>
          <w:p>
            <w:r>
              <w:t>Lesson video</w:t>
            </w:r>
          </w:p>
        </w:tc>
        <w:tc>
          <w:tcPr>
            <w:tcW w:type="dxa" w:w="4320"/>
          </w:tcPr>
          <w:p>
            <w:r>
              <w:t>{activity_code}.mp4</w:t>
            </w:r>
          </w:p>
        </w:tc>
      </w:tr>
      <w:tr>
        <w:tc>
          <w:tcPr>
            <w:tcW w:type="dxa" w:w="4320"/>
          </w:tcPr>
          <w:p>
            <w:r>
              <w:t>Audio narration</w:t>
            </w:r>
          </w:p>
        </w:tc>
        <w:tc>
          <w:tcPr>
            <w:tcW w:type="dxa" w:w="4320"/>
          </w:tcPr>
          <w:p>
            <w:r>
              <w:t>{activity_code}.mp3</w:t>
            </w:r>
          </w:p>
        </w:tc>
      </w:tr>
      <w:tr>
        <w:tc>
          <w:tcPr>
            <w:tcW w:type="dxa" w:w="4320"/>
          </w:tcPr>
          <w:p>
            <w:r>
              <w:t>Thumbnail</w:t>
            </w:r>
          </w:p>
        </w:tc>
        <w:tc>
          <w:tcPr>
            <w:tcW w:type="dxa" w:w="4320"/>
          </w:tcPr>
          <w:p>
            <w:r>
              <w:t>{activity_code}_thumbnail.jpg</w:t>
            </w:r>
          </w:p>
        </w:tc>
      </w:tr>
    </w:tbl>
    <w:p>
      <w:pPr>
        <w:pStyle w:val="Heading2"/>
      </w:pPr>
      <w:r>
        <w:t>Rationale</w:t>
      </w:r>
    </w:p>
    <w:p>
      <w:r>
        <w:t>Using predictable asset names allows helper functions to locate assets automatically from metadata, reduces page-specific configuration, simplifies content creation and ensures consistency across the platform.</w:t>
      </w:r>
    </w:p>
    <w:p>
      <w:pPr>
        <w:pStyle w:val="Heading2"/>
      </w:pPr>
      <w:r>
        <w:t>Architectural Decision Record</w:t>
      </w:r>
    </w:p>
    <w:p>
      <w:r>
        <w:t>AD-016: Content assets shall use standardised snake_case naming conventions derived from subject_code, topic_code or activity_code wherever possible.</w:t>
      </w:r>
    </w:p>
    <w:p>
      <w:pPr>
        <w:pStyle w:val="Heading2"/>
      </w:pPr>
      <w:r>
        <w:t>Version History Update</w:t>
      </w:r>
    </w:p>
    <w:p>
      <w:r>
        <w:t>v3.1 Introduced the Content Asset Naming Standard and ADR-016 to support automated asset discovery and consistent naming across GLIP.</w:t>
      </w:r>
    </w:p>
    <w:p>
      <w:r>
        <w:br w:type="page"/>
      </w:r>
    </w:p>
    <w:p>
      <w:pPr>
        <w:pStyle w:val="Title"/>
      </w:pPr>
      <w:r>
        <w:t>Version 4.0 – GLIP Engineering Standards Manual</w:t>
      </w:r>
    </w:p>
    <w:p>
      <w:r>
        <w:t>This section complements the Architecture Handbook by defining implementation standards that should be followed throughout the GLIP platform.</w:t>
      </w:r>
    </w:p>
    <w:p>
      <w:pPr>
        <w:pStyle w:val="Heading1"/>
      </w:pPr>
      <w:r>
        <w:t>1. Naming Standards</w:t>
      </w:r>
    </w:p>
    <w:p>
      <w:r>
        <w:t>Use lower-case snake_case for subject_code, topic_code, activity_code, folders and content assets.</w:t>
        <w:br/>
        <w:t>Use immutable numeric IDs as relational keys.</w:t>
        <w:br/>
        <w:t>Avoid spaces and hyphens in newly created codes and assets.</w:t>
      </w:r>
    </w:p>
    <w:p>
      <w:pPr>
        <w:pStyle w:val="Heading1"/>
      </w:pPr>
      <w:r>
        <w:t>2. Folder Structure</w:t>
      </w:r>
    </w:p>
    <w:p>
      <w:r>
        <w:t>Content:</w:t>
        <w:br/>
        <w:t>content/{subject_code}/{topic_code}/</w:t>
        <w:br/>
        <w:t>Shared assets:</w:t>
        <w:br/>
        <w:t>js/</w:t>
        <w:br/>
        <w:t>css/</w:t>
        <w:br/>
        <w:t>assets/</w:t>
        <w:br/>
        <w:t>One responsibility per folder.</w:t>
      </w:r>
    </w:p>
    <w:p>
      <w:pPr>
        <w:pStyle w:val="Heading1"/>
      </w:pPr>
      <w:r>
        <w:t>3. HTML Standards</w:t>
      </w:r>
    </w:p>
    <w:p>
      <w:r>
        <w:t>Use semantic HTML.</w:t>
        <w:br/>
        <w:t>Avoid inline CSS where practical.</w:t>
        <w:br/>
        <w:t>Use shared components for headers, navigation and progress.</w:t>
        <w:br/>
        <w:t>Page-specific configuration should be kept to a minimum.</w:t>
      </w:r>
    </w:p>
    <w:p>
      <w:pPr>
        <w:pStyle w:val="Heading1"/>
      </w:pPr>
      <w:r>
        <w:t>4. CSS Standards</w:t>
      </w:r>
    </w:p>
    <w:p>
      <w:r>
        <w:t>Reuse main.css.</w:t>
        <w:br/>
        <w:t>Avoid page-specific styling unless genuinely unique.</w:t>
        <w:br/>
        <w:t>Use CSS variables for colours, spacing and typography.</w:t>
      </w:r>
    </w:p>
    <w:p>
      <w:pPr>
        <w:pStyle w:val="Heading1"/>
      </w:pPr>
      <w:r>
        <w:t>5. JavaScript Standards</w:t>
      </w:r>
    </w:p>
    <w:p>
      <w:r>
        <w:t>Business logic belongs in shared modules.</w:t>
        <w:br/>
        <w:t>Avoid duplicated functions.</w:t>
        <w:br/>
        <w:t>Prefer metadata-driven behaviour.</w:t>
        <w:br/>
        <w:t>Optimistic updates and silent synchronisation are the default UX.</w:t>
      </w:r>
    </w:p>
    <w:p>
      <w:pPr>
        <w:pStyle w:val="Heading1"/>
      </w:pPr>
      <w:r>
        <w:t>6. Accessibility</w:t>
      </w:r>
    </w:p>
    <w:p>
      <w:r>
        <w:t>Support keyboard navigation.</w:t>
        <w:br/>
        <w:t>Provide meaningful alt text and iframe titles.</w:t>
        <w:br/>
        <w:t>Use aria-live for progress messages.</w:t>
        <w:br/>
        <w:t>Maintain compatibility with GLIP text-size and theme settings.</w:t>
      </w:r>
    </w:p>
    <w:p>
      <w:pPr>
        <w:pStyle w:val="Heading1"/>
      </w:pPr>
      <w:r>
        <w:t>7. Content Standards</w:t>
      </w:r>
    </w:p>
    <w:p>
      <w:r>
        <w:t>Every lesson should contain:</w:t>
        <w:br/>
        <w:t>• Lesson overview</w:t>
        <w:br/>
        <w:t>• Learning outcomes</w:t>
        <w:br/>
        <w:t>• Resources</w:t>
        <w:br/>
        <w:t>• Learning content</w:t>
        <w:br/>
        <w:t>• Progress controls</w:t>
        <w:br/>
        <w:br/>
        <w:t>Practice activities should be separate HTML pages.</w:t>
      </w:r>
    </w:p>
    <w:p>
      <w:pPr>
        <w:pStyle w:val="Heading1"/>
      </w:pPr>
      <w:r>
        <w:t>8. Asset Standards</w:t>
      </w:r>
    </w:p>
    <w:p>
      <w:r>
        <w:t>Assets follow the naming conventions introduced in v3.1.</w:t>
        <w:br/>
        <w:t>Assets should be derivable from metadata wherever possible.</w:t>
      </w:r>
    </w:p>
    <w:p>
      <w:pPr>
        <w:pStyle w:val="Heading1"/>
      </w:pPr>
      <w:r>
        <w:t>9. Performance Standards</w:t>
      </w:r>
    </w:p>
    <w:p>
      <w:r>
        <w:t>Cache for responsiveness, never correctness.</w:t>
        <w:br/>
        <w:t>Lazy-load large resources.</w:t>
        <w:br/>
        <w:t>Preload only what benefits the learner's next action.</w:t>
      </w:r>
    </w:p>
    <w:p>
      <w:pPr>
        <w:pStyle w:val="Heading1"/>
      </w:pPr>
      <w:r>
        <w:t>10. Review Checklist</w:t>
      </w:r>
    </w:p>
    <w:p>
      <w:r>
        <w:t>Before release confirm:</w:t>
        <w:br/>
        <w:t>□ Naming follows standards.</w:t>
        <w:br/>
        <w:t>□ IDs are correct.</w:t>
        <w:br/>
        <w:t>□ No duplicated metadata.</w:t>
        <w:br/>
        <w:t>□ Accessibility checked.</w:t>
        <w:br/>
        <w:t>□ Progress updates correctly.</w:t>
        <w:br/>
        <w:t>□ Navigation generated from metadata.</w:t>
        <w:br/>
        <w:t>□ Assets follow naming standards.</w:t>
      </w:r>
    </w:p>
    <w:p>
      <w:pPr>
        <w:pStyle w:val="Heading1"/>
      </w:pPr>
      <w:r>
        <w:t>Architectural Decision Record</w:t>
      </w:r>
    </w:p>
    <w:p>
      <w:r>
        <w:t>AD-017: All new development shall comply with the GLIP Engineering Standards Manual unless an approved Architectural Decision Record explicitly documents an exception.</w:t>
      </w:r>
    </w:p>
    <w:p>
      <w:pPr>
        <w:pStyle w:val="Heading1"/>
      </w:pPr>
      <w:r>
        <w:t>Version History</w:t>
      </w:r>
    </w:p>
    <w:p>
      <w:r>
        <w:t>v4.0 Introduced the GLIP Engineering Standards Manual covering naming, folder structure, HTML, CSS, JavaScript, accessibility, content, assets, performance and review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