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color w:val="002060"/>
        </w:rPr>
        <w:drawing>
          <wp:inline distB="114300" distT="114300" distL="114300" distR="114300">
            <wp:extent cx="3207112" cy="1625890"/>
            <wp:effectExtent b="0" l="0" r="0" t="0"/>
            <wp:docPr id="10" name="image1.png"/>
            <a:graphic>
              <a:graphicData uri="http://schemas.openxmlformats.org/drawingml/2006/picture">
                <pic:pic>
                  <pic:nvPicPr>
                    <pic:cNvPr id="0" name="image1.png"/>
                    <pic:cNvPicPr preferRelativeResize="0"/>
                  </pic:nvPicPr>
                  <pic:blipFill>
                    <a:blip r:embed="rId7"/>
                    <a:srcRect b="24651" l="0" r="0" t="24651"/>
                    <a:stretch>
                      <a:fillRect/>
                    </a:stretch>
                  </pic:blipFill>
                  <pic:spPr>
                    <a:xfrm>
                      <a:off x="0" y="0"/>
                      <a:ext cx="3207112" cy="16258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br w:type="textWrapp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center"/>
        <w:rPr/>
      </w:pPr>
      <w:bookmarkStart w:colFirst="0" w:colLast="0" w:name="_heading=h.7tsghjhvx72b" w:id="0"/>
      <w:bookmarkEnd w:id="0"/>
      <w:r w:rsidDel="00000000" w:rsidR="00000000" w:rsidRPr="00000000">
        <w:rPr>
          <w:rtl w:val="0"/>
        </w:rPr>
        <w:t xml:space="preserve">Lettre de mission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b w:val="1"/>
          <w:bCs w:val="1"/>
          <w:rtl w:val="0"/>
        </w:rPr>
        <w:t xml:space="preserve">DOSSIER</w:t>
      </w:r>
      <w:r w:rsidDel="00000000" w:rsidR="00000000" w:rsidRPr="00000000">
        <w:rPr>
          <w:rtl w:val="0"/>
        </w:rPr>
        <w:t xml:space="preserve"> : </w:t>
        <w:br w:type="textWrapping"/>
        <w:t xml:space="preserve">PANDY Flore</w:t>
      </w:r>
    </w:p>
    <w:p w:rsidR="00000000" w:rsidDel="00000000" w:rsidP="00000000" w:rsidRDefault="00000000" w:rsidRPr="00000000" w14:paraId="00000012">
      <w:pPr>
        <w:jc w:val="center"/>
        <w:rPr/>
      </w:pPr>
      <w:r w:rsidDel="00000000" w:rsidR="00000000" w:rsidRPr="00000000">
        <w:rPr>
          <w:b w:val="1"/>
          <w:bCs w:val="1"/>
          <w:rtl w:val="0"/>
        </w:rPr>
        <w:t xml:space="preserve">REF</w:t>
      </w:r>
      <w:r w:rsidDel="00000000" w:rsidR="00000000" w:rsidRPr="00000000">
        <w:rPr>
          <w:rtl w:val="0"/>
        </w:rPr>
        <w:t xml:space="preserve"> : PF-2026-02-06</w:t>
      </w:r>
    </w:p>
    <w:p w:rsidR="00000000" w:rsidDel="00000000" w:rsidP="00000000" w:rsidRDefault="00000000" w:rsidRPr="00000000" w14:paraId="00000013">
      <w:pPr>
        <w:jc w:val="center"/>
        <w:rPr/>
      </w:pPr>
      <w:r w:rsidDel="00000000" w:rsidR="00000000" w:rsidRPr="00000000">
        <w:rPr>
          <w:rtl w:val="0"/>
        </w:rPr>
        <w:t xml:space="preserve">Date: 06 février 2025 à 13 heures et 29 minutes</w:t>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b w:val="1"/>
          <w:bCs w:val="1"/>
          <w:sz w:val="52"/>
          <w:szCs w:val="52"/>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ab/>
        <w:tab/>
        <w:tab/>
        <w:tab/>
        <w:tab/>
      </w:r>
    </w:p>
    <w:p w:rsidR="00000000" w:rsidDel="00000000" w:rsidP="00000000" w:rsidRDefault="00000000" w:rsidRPr="00000000" w14:paraId="0000001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keepNext w:val="0"/>
        <w:keepLines w:val="0"/>
        <w:rPr>
          <w:b w:val="1"/>
          <w:bCs w:val="1"/>
        </w:rPr>
      </w:pPr>
      <w:bookmarkStart w:colFirst="0" w:colLast="0" w:name="_heading=h.3jm4fqpxrvek" w:id="1"/>
      <w:bookmarkEnd w:id="1"/>
      <w:r w:rsidDel="00000000" w:rsidR="00000000" w:rsidRPr="00000000">
        <w:rPr>
          <w:rtl w:val="0"/>
        </w:rPr>
        <w:t xml:space="preserve">SOMMAIRE</w:t>
      </w:r>
      <w:r w:rsidDel="00000000" w:rsidR="00000000" w:rsidRPr="00000000">
        <w:rPr>
          <w:rtl w:val="0"/>
        </w:rPr>
      </w:r>
    </w:p>
    <w:sdt>
      <w:sdtPr>
        <w:id w:val="951157296"/>
        <w:docPartObj>
          <w:docPartGallery w:val="Table of Contents"/>
          <w:docPartUnique w:val="1"/>
        </w:docPartObj>
      </w:sdtPr>
      <w:sdtContent>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jm4fqpxr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0snx5t3pg4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ENTRE</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m9ojei6s04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ET</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chql673qy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1 - OBJET, PÉRIMÈTRE ET HONORAIRES CONVENUS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y0dqf4lvr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2 - DONNÉES ET COOPÉRATION ATTENDUES DU CLIENT</w:t>
            </w:r>
          </w:hyperlink>
          <w:hyperlink w:anchor="_heading=h.f7oimy7504w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7ajehl7bnh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3 - MÉTHODOLOGIE &amp; LIVRABLES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ebtc8fw4bo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4 - LIMITES TECHNIQUES ET RESPONSABILITÉS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13gk1oz9q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5 - PRIX, ACOMPTE ET FACTURATION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ww4q1aor02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6 - CONFIDENTIALITÉ ET PROTECTION DES DONNÉES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y07vw9vwmf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ARTICLE 7 - DROIT APPLICABLE - JURIDICTION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hhzki1r0eq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VALIDATION ET SIGNATURES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o0snx5t3pg4i" w:id="2"/>
      <w:bookmarkEnd w:id="2"/>
      <w:r w:rsidDel="00000000" w:rsidR="00000000" w:rsidRPr="00000000">
        <w:rPr>
          <w:rtl w:val="0"/>
        </w:rPr>
        <w:t xml:space="preserve">ENTRE</w:t>
      </w:r>
    </w:p>
    <w:p w:rsidR="00000000" w:rsidDel="00000000" w:rsidP="00000000" w:rsidRDefault="00000000" w:rsidRPr="00000000" w14:paraId="0000002A">
      <w:pPr>
        <w:rPr/>
      </w:pPr>
      <w:r w:rsidDel="00000000" w:rsidR="00000000" w:rsidRPr="00000000">
        <w:rPr>
          <w:rtl w:val="0"/>
        </w:rPr>
        <w:t xml:space="preserve">KLYR, prestataire d’analyses on-chain et forensics crypto (ci-après «le Prestataire»).</w:t>
      </w:r>
    </w:p>
    <w:p w:rsidR="00000000" w:rsidDel="00000000" w:rsidP="00000000" w:rsidRDefault="00000000" w:rsidRPr="00000000" w14:paraId="0000002B">
      <w:pPr>
        <w:pStyle w:val="Heading2"/>
        <w:rPr/>
      </w:pPr>
      <w:bookmarkStart w:colFirst="0" w:colLast="0" w:name="_heading=h.1m9ojei6s04r" w:id="3"/>
      <w:bookmarkEnd w:id="3"/>
      <w:r w:rsidDel="00000000" w:rsidR="00000000" w:rsidRPr="00000000">
        <w:rPr>
          <w:rtl w:val="0"/>
        </w:rPr>
        <w:t xml:space="preserve">ET</w:t>
      </w:r>
    </w:p>
    <w:p w:rsidR="00000000" w:rsidDel="00000000" w:rsidP="00000000" w:rsidRDefault="00000000" w:rsidRPr="00000000" w14:paraId="0000002C">
      <w:pPr>
        <w:rPr/>
      </w:pPr>
      <w:r w:rsidDel="00000000" w:rsidR="00000000" w:rsidRPr="00000000">
        <w:rPr>
          <w:rtl w:val="0"/>
        </w:rPr>
        <w:t xml:space="preserve">Mme PANDY FLORE (adresse) (pandyflo@yahoo.fr) (téléphone) (ci-après «Le Client»).</w:t>
      </w:r>
    </w:p>
    <w:p w:rsidR="00000000" w:rsidDel="00000000" w:rsidP="00000000" w:rsidRDefault="00000000" w:rsidRPr="00000000" w14:paraId="0000002D">
      <w:pPr>
        <w:pStyle w:val="Heading2"/>
        <w:rPr/>
      </w:pPr>
      <w:bookmarkStart w:colFirst="0" w:colLast="0" w:name="_heading=h.ichql673qyfd" w:id="4"/>
      <w:bookmarkEnd w:id="4"/>
      <w:r w:rsidDel="00000000" w:rsidR="00000000" w:rsidRPr="00000000">
        <w:rPr>
          <w:rtl w:val="0"/>
        </w:rPr>
        <w:t xml:space="preserve">ARTICLE 1 - OBJET, PÉRIMÈTRE ET HONORAIRES CONVENUS</w:t>
      </w:r>
    </w:p>
    <w:p w:rsidR="00000000" w:rsidDel="00000000" w:rsidP="00000000" w:rsidRDefault="00000000" w:rsidRPr="00000000" w14:paraId="0000002E">
      <w:pPr>
        <w:spacing w:after="240" w:before="240" w:lineRule="auto"/>
        <w:rPr/>
      </w:pPr>
      <w:r w:rsidDel="00000000" w:rsidR="00000000" w:rsidRPr="00000000">
        <w:rPr>
          <w:rtl w:val="0"/>
        </w:rPr>
        <w:t xml:space="preserve">Suite à l'analyse préliminaire des éléments transmis, les parties conviennent du périmètre d'intervention suivant :</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1.1. Nature des diligences</w:t>
      </w:r>
      <w:r w:rsidDel="00000000" w:rsidR="00000000" w:rsidRPr="00000000">
        <w:rPr>
          <w:rtl w:val="0"/>
        </w:rPr>
        <w:t xml:space="preserve"> Le Prestataire s'engage à réaliser une investigation numérique (Tracing de fonds) sur les transactions identifiées en annexe, visant à :</w:t>
      </w:r>
    </w:p>
    <w:p w:rsidR="00000000" w:rsidDel="00000000" w:rsidP="00000000" w:rsidRDefault="00000000" w:rsidRPr="00000000" w14:paraId="00000030">
      <w:pPr>
        <w:numPr>
          <w:ilvl w:val="0"/>
          <w:numId w:val="1"/>
        </w:numPr>
        <w:spacing w:after="0" w:before="240" w:lineRule="auto"/>
        <w:ind w:left="720" w:hanging="360"/>
        <w:rPr/>
      </w:pPr>
      <w:r w:rsidDel="00000000" w:rsidR="00000000" w:rsidRPr="00000000">
        <w:rPr>
          <w:rtl w:val="0"/>
        </w:rPr>
        <w:t xml:space="preserve">Reconstituer les circuits financiers (Flux sortants / Hubs / Démixage).</w:t>
      </w:r>
    </w:p>
    <w:p w:rsidR="00000000" w:rsidDel="00000000" w:rsidP="00000000" w:rsidRDefault="00000000" w:rsidRPr="00000000" w14:paraId="00000031">
      <w:pPr>
        <w:numPr>
          <w:ilvl w:val="0"/>
          <w:numId w:val="1"/>
        </w:numPr>
        <w:spacing w:after="0" w:before="0" w:lineRule="auto"/>
        <w:ind w:left="720" w:hanging="360"/>
        <w:rPr/>
      </w:pPr>
      <w:r w:rsidDel="00000000" w:rsidR="00000000" w:rsidRPr="00000000">
        <w:rPr>
          <w:rtl w:val="0"/>
        </w:rPr>
        <w:t xml:space="preserve">Identifier les points de sortie vers des plateformes régulées (VASP/CEX).</w:t>
      </w:r>
    </w:p>
    <w:p w:rsidR="00000000" w:rsidDel="00000000" w:rsidP="00000000" w:rsidRDefault="00000000" w:rsidRPr="00000000" w14:paraId="00000032">
      <w:pPr>
        <w:numPr>
          <w:ilvl w:val="0"/>
          <w:numId w:val="1"/>
        </w:numPr>
        <w:spacing w:after="240" w:before="0" w:lineRule="auto"/>
        <w:ind w:left="720" w:hanging="360"/>
        <w:rPr/>
      </w:pPr>
      <w:r w:rsidDel="00000000" w:rsidR="00000000" w:rsidRPr="00000000">
        <w:rPr>
          <w:rtl w:val="0"/>
        </w:rPr>
        <w:t xml:space="preserve">Produire un Rapport d'Investigation Opposable (PDF) et les fichiers de preuves (CSV).</w:t>
      </w:r>
    </w:p>
    <w:p w:rsidR="00000000" w:rsidDel="00000000" w:rsidP="00000000" w:rsidRDefault="00000000" w:rsidRPr="00000000" w14:paraId="00000033">
      <w:pPr>
        <w:spacing w:after="240" w:befor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1.2. Honoraires et Modalités</w:t>
      </w:r>
      <w:r w:rsidDel="00000000" w:rsidR="00000000" w:rsidRPr="00000000">
        <w:rPr>
          <w:rtl w:val="0"/>
        </w:rPr>
        <w:t xml:space="preserve"> En contrepartie de ces diligences, le Client s'acquittera d'un honoraire forfaitaire global arrêté comme suit :</w:t>
      </w:r>
      <w:r w:rsidDel="00000000" w:rsidR="00000000" w:rsidRPr="00000000">
        <w:rPr>
          <w:rtl w:val="0"/>
        </w:rPr>
      </w:r>
    </w:p>
    <w:tbl>
      <w:tblPr>
        <w:tblStyle w:val="Table1"/>
        <w:tblW w:w="1077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2.3333333333335"/>
        <w:gridCol w:w="3592.3333333333335"/>
        <w:gridCol w:w="3592.3333333333335"/>
        <w:tblGridChange w:id="0">
          <w:tblGrid>
            <w:gridCol w:w="3592.3333333333335"/>
            <w:gridCol w:w="3592.3333333333335"/>
            <w:gridCol w:w="3592.33333333333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Désignation de la prestation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Détails &amp; Justification technique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Montant HT</w:t>
            </w:r>
            <w:r w:rsidDel="00000000" w:rsidR="00000000" w:rsidRPr="00000000">
              <w:rPr>
                <w:rtl w:val="0"/>
              </w:rPr>
            </w:r>
          </w:p>
        </w:tc>
      </w:tr>
      <w:tr>
        <w:trPr>
          <w:cantSplit w:val="0"/>
          <w:trHeight w:val="218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PACK : Investigation On-Chain (CATC)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(Le Socle de la mission)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Inclus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Traçage Standard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Reconstitution des flux sortants et identification des Hubs .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Identification CEX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Localisation des points de sortie (VASP) pour réquisition judiciaire .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Rapport Opposable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PDF structuré (Art. 313-1) chiffrant le préjudice .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Preuves Brutes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Livraison du fichier CSV Evidence (Hashs auditables).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490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Supplément : Complexité Technique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(Si applicable)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Activations requises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Traçage Complexe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Cross-chain (Ponts/Bridges) ou Démixage (Mixers).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Décodage Logs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Analyse approfondie de smart contracts ou DeFi.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 Visualisation Avancée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Cartographie des flux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Schéma interactif (type Figma) compréhensible par un magistrat.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NON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76" w:lineRule="auto"/>
              <w:rPr>
                <w:rFonts w:ascii="Arial" w:cs="Arial" w:eastAsia="Arial" w:hAnsi="Arial"/>
              </w:rPr>
            </w:pPr>
            <w:r w:rsidDel="00000000" w:rsidR="00000000" w:rsidRPr="00000000">
              <w:rPr>
                <w:rFonts w:ascii="Arial" w:cs="Arial" w:eastAsia="Arial" w:hAnsi="Arial"/>
                <w:b w:val="1"/>
                <w:bCs w:val="1"/>
                <w:rtl w:val="0"/>
              </w:rPr>
              <w:t xml:space="preserve">Option : Secure Wallet Rescue</w:t>
            </w:r>
            <w:r w:rsidDel="00000000" w:rsidR="00000000" w:rsidRPr="00000000">
              <w:rPr>
                <w:rFonts w:ascii="Arial" w:cs="Arial" w:eastAsia="Arial" w:hAnsi="Arial"/>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Configuration Script de Sweep :</w:t>
            </w:r>
            <w:r w:rsidDel="00000000" w:rsidR="00000000" w:rsidRPr="00000000">
              <w:rPr>
                <w:rFonts w:ascii="Arial" w:cs="Arial" w:eastAsia="Arial" w:hAnsi="Arial"/>
                <w:rtl w:val="0"/>
              </w:rPr>
              <w:t xml:space="preserve"> Tentative de récupération des actifs résiduels avant le hacker (Flashbots/MEV).</w:t>
            </w:r>
          </w:p>
          <w:p w:rsidR="00000000" w:rsidDel="00000000" w:rsidP="00000000" w:rsidRDefault="00000000" w:rsidRPr="00000000" w14:paraId="00000047">
            <w:pPr>
              <w:widowControl w:val="0"/>
              <w:spacing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Nettoyage :</w:t>
            </w:r>
            <w:r w:rsidDel="00000000" w:rsidR="00000000" w:rsidRPr="00000000">
              <w:rPr>
                <w:rFonts w:ascii="Arial" w:cs="Arial" w:eastAsia="Arial" w:hAnsi="Arial"/>
                <w:rtl w:val="0"/>
              </w:rPr>
              <w:t xml:space="preserve"> Sécurisation et migration vers un nouveau wallet sain.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76" w:lineRule="auto"/>
              <w:rPr>
                <w:rFonts w:ascii="Arial" w:cs="Arial" w:eastAsia="Arial" w:hAnsi="Arial"/>
              </w:rPr>
            </w:pPr>
            <w:r w:rsidDel="00000000" w:rsidR="00000000" w:rsidRPr="00000000">
              <w:rPr>
                <w:rFonts w:ascii="Arial" w:cs="Arial" w:eastAsia="Arial" w:hAnsi="Arial"/>
                <w:b w:val="1"/>
                <w:bCs w:val="1"/>
                <w:rtl w:val="0"/>
              </w:rPr>
              <w:t xml:space="preserve">NON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Option : Surveillance (Monitoring)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Setup Alerting :</w:t>
            </w:r>
            <w:r w:rsidDel="00000000" w:rsidR="00000000" w:rsidRPr="00000000">
              <w:rPr>
                <w:rFonts w:ascii="Arial" w:cs="Arial" w:eastAsia="Arial" w:hAnsi="Arial"/>
                <w:rtl w:val="0"/>
              </w:rPr>
              <w:t xml:space="preserve"> Configuration des sondes sur les adresses du hacker.</w:t>
            </w:r>
          </w:p>
          <w:p w:rsidR="00000000" w:rsidDel="00000000" w:rsidP="00000000" w:rsidRDefault="00000000" w:rsidRPr="00000000" w14:paraId="0000004B">
            <w:pPr>
              <w:widowControl w:val="0"/>
              <w:spacing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Durée :</w:t>
            </w:r>
            <w:r w:rsidDel="00000000" w:rsidR="00000000" w:rsidRPr="00000000">
              <w:rPr>
                <w:rFonts w:ascii="Arial" w:cs="Arial" w:eastAsia="Arial" w:hAnsi="Arial"/>
                <w:rtl w:val="0"/>
              </w:rPr>
              <w:t xml:space="preserve"> Surveillance active pendant [X] mois.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76" w:lineRule="auto"/>
              <w:rPr>
                <w:rFonts w:ascii="Arial" w:cs="Arial" w:eastAsia="Arial" w:hAnsi="Arial"/>
              </w:rPr>
            </w:pPr>
            <w:r w:rsidDel="00000000" w:rsidR="00000000" w:rsidRPr="00000000">
              <w:rPr>
                <w:rFonts w:ascii="Arial" w:cs="Arial" w:eastAsia="Arial" w:hAnsi="Arial"/>
                <w:b w:val="1"/>
                <w:bCs w:val="1"/>
                <w:rtl w:val="0"/>
              </w:rPr>
              <w:t xml:space="preserve">[Forfait 150€]</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 Vidéo Pédagogique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Vulgarisation vidéo du rapport pour le client/avocat.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NON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 : Priorité Absolue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Triage d'urgence et livraison accélérée (Rush 24h).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NON</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TOTAL FORFAITAIRE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rtl w:val="0"/>
              </w:rPr>
              <w:t xml:space="preserve">490</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TVA non applicable, art. 293 B du CGI.</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1.3. Clause de complexité (Sécurité)</w:t>
      </w:r>
      <w:r w:rsidDel="00000000" w:rsidR="00000000" w:rsidRPr="00000000">
        <w:rPr>
          <w:rtl w:val="0"/>
        </w:rPr>
        <w:t xml:space="preserve"> Le présent devis est établi sur la base des éléments connus à ce jour. Si, en cours d'investigation, une complexité technique majeure non détectable initialement survient (ex: utilisation massive de Peel Chains ou Mixers non déclarés), le Prestataire en informera immédiatement le Client. Toute investigation supplémentaire fera l'objet d'un avenant validé par le Client avant exécution.</w:t>
      </w:r>
    </w:p>
    <w:p w:rsidR="00000000" w:rsidDel="00000000" w:rsidP="00000000" w:rsidRDefault="00000000" w:rsidRPr="00000000" w14:paraId="00000058">
      <w:pPr>
        <w:spacing w:after="40" w:line="276" w:lineRule="auto"/>
        <w:rPr/>
      </w:pPr>
      <w:r w:rsidDel="00000000" w:rsidR="00000000" w:rsidRPr="00000000">
        <w:rPr>
          <w:i w:val="1"/>
          <w:iCs w:val="1"/>
          <w:color w:val="343434"/>
          <w:rtl w:val="0"/>
        </w:rPr>
        <w:t xml:space="preserve">SLA indicatif : premier retour sous 24h : livraison selon pack ci-dessus..</w:t>
      </w:r>
      <w:r w:rsidDel="00000000" w:rsidR="00000000" w:rsidRPr="00000000">
        <w:rPr>
          <w:rtl w:val="0"/>
        </w:rPr>
      </w:r>
    </w:p>
    <w:p w:rsidR="00000000" w:rsidDel="00000000" w:rsidP="00000000" w:rsidRDefault="00000000" w:rsidRPr="00000000" w14:paraId="00000059">
      <w:pPr>
        <w:pStyle w:val="Heading2"/>
        <w:rPr/>
      </w:pPr>
      <w:bookmarkStart w:colFirst="0" w:colLast="0" w:name="_heading=h.oy0dqf4lvrd5" w:id="5"/>
      <w:bookmarkEnd w:id="5"/>
      <w:r w:rsidDel="00000000" w:rsidR="00000000" w:rsidRPr="00000000">
        <w:rPr>
          <w:rtl w:val="0"/>
        </w:rPr>
        <w:t xml:space="preserve">ARTICLE 2 - DONNÉES ET COOPÉRATION ATTENDUES DU CLIENT</w:t>
      </w:r>
    </w:p>
    <w:p w:rsidR="00000000" w:rsidDel="00000000" w:rsidP="00000000" w:rsidRDefault="00000000" w:rsidRPr="00000000" w14:paraId="0000005A">
      <w:pPr>
        <w:pStyle w:val="Heading2"/>
        <w:spacing w:after="280" w:before="0" w:line="276" w:lineRule="auto"/>
        <w:ind w:left="0" w:firstLine="0"/>
        <w:rPr/>
      </w:pPr>
      <w:bookmarkStart w:colFirst="0" w:colLast="0" w:name="_heading=h.f7oimy7504w7" w:id="6"/>
      <w:bookmarkEnd w:id="6"/>
      <w:r w:rsidDel="00000000" w:rsidR="00000000" w:rsidRPr="00000000">
        <w:rPr>
          <w:b w:val="0"/>
          <w:bCs w:val="0"/>
          <w:sz w:val="22"/>
          <w:szCs w:val="22"/>
          <w:rtl w:val="0"/>
        </w:rPr>
        <w:t xml:space="preserve">Le Client garantit l'exactitude des informations transmises via le formulaire d'entrée sécurisé (Intake Form) ou tout autre canal (notamment les adresses de portefeuilles victimes et le contexte des faits ). Le Prestataire ne saurait être tenu responsable des erreurs d'analyse découlant de données initiales erronées.</w:t>
      </w:r>
      <w:r w:rsidDel="00000000" w:rsidR="00000000" w:rsidRPr="00000000">
        <w:rPr>
          <w:rtl w:val="0"/>
        </w:rPr>
      </w:r>
    </w:p>
    <w:p w:rsidR="00000000" w:rsidDel="00000000" w:rsidP="00000000" w:rsidRDefault="00000000" w:rsidRPr="00000000" w14:paraId="0000005B">
      <w:pPr>
        <w:pStyle w:val="Heading2"/>
        <w:rPr/>
      </w:pPr>
      <w:bookmarkStart w:colFirst="0" w:colLast="0" w:name="_heading=h.t7ajehl7bnhg" w:id="7"/>
      <w:bookmarkEnd w:id="7"/>
      <w:r w:rsidDel="00000000" w:rsidR="00000000" w:rsidRPr="00000000">
        <w:rPr>
          <w:rtl w:val="0"/>
        </w:rPr>
        <w:t xml:space="preserve">ARTICLE 3 - MÉTHODOLOGIE &amp; LIVRABLES</w:t>
      </w:r>
    </w:p>
    <w:p w:rsidR="00000000" w:rsidDel="00000000" w:rsidP="00000000" w:rsidRDefault="00000000" w:rsidRPr="00000000" w14:paraId="0000005C">
      <w:pPr>
        <w:spacing w:after="100" w:line="276" w:lineRule="auto"/>
        <w:rPr/>
      </w:pPr>
      <w:r w:rsidDel="00000000" w:rsidR="00000000" w:rsidRPr="00000000">
        <w:rPr>
          <w:rtl w:val="0"/>
        </w:rPr>
        <w:t xml:space="preserve">Collecte on-chain → Identification des circuits → Documentation des dépôts CEX/off-ramps → Contrôles de cohérence. Les livrables incluent le rapport PDF et le fichier CSV evidence (mouvements + liens d’explorateurs).</w:t>
      </w:r>
    </w:p>
    <w:p w:rsidR="00000000" w:rsidDel="00000000" w:rsidP="00000000" w:rsidRDefault="00000000" w:rsidRPr="00000000" w14:paraId="0000005D">
      <w:pPr>
        <w:pStyle w:val="Heading2"/>
        <w:ind w:left="0" w:firstLine="0"/>
        <w:rPr>
          <w:b w:val="1"/>
          <w:bCs w:val="1"/>
        </w:rPr>
      </w:pPr>
      <w:bookmarkStart w:colFirst="0" w:colLast="0" w:name="_heading=h.iebtc8fw4bo7" w:id="8"/>
      <w:bookmarkEnd w:id="8"/>
      <w:r w:rsidDel="00000000" w:rsidR="00000000" w:rsidRPr="00000000">
        <w:rPr>
          <w:rtl w:val="0"/>
        </w:rPr>
        <w:t xml:space="preserve">ARTICLE 4 - LIMITES TECHNIQUES ET RESPONSABILITÉS</w:t>
      </w:r>
      <w:r w:rsidDel="00000000" w:rsidR="00000000" w:rsidRPr="00000000">
        <w:rPr>
          <w:rtl w:val="0"/>
        </w:rPr>
      </w:r>
    </w:p>
    <w:p w:rsidR="00000000" w:rsidDel="00000000" w:rsidP="00000000" w:rsidRDefault="00000000" w:rsidRPr="00000000" w14:paraId="0000005E">
      <w:pPr>
        <w:numPr>
          <w:ilvl w:val="0"/>
          <w:numId w:val="2"/>
        </w:numPr>
        <w:spacing w:after="0" w:before="240" w:lineRule="auto"/>
        <w:ind w:left="720" w:hanging="360"/>
        <w:rPr/>
      </w:pPr>
      <w:r w:rsidDel="00000000" w:rsidR="00000000" w:rsidRPr="00000000">
        <w:rPr>
          <w:rtl w:val="0"/>
        </w:rPr>
        <w:t xml:space="preserve">Aucune garantie de gel ou de recouvrement. L’action dépend des CEX/autorités et des réquisitions menées par l’avocat du Client.</w:t>
      </w:r>
    </w:p>
    <w:p w:rsidR="00000000" w:rsidDel="00000000" w:rsidP="00000000" w:rsidRDefault="00000000" w:rsidRPr="00000000" w14:paraId="0000005F">
      <w:pPr>
        <w:numPr>
          <w:ilvl w:val="0"/>
          <w:numId w:val="2"/>
        </w:numPr>
        <w:spacing w:after="0" w:before="0" w:lineRule="auto"/>
        <w:ind w:left="720" w:hanging="360"/>
        <w:rPr/>
      </w:pPr>
      <w:r w:rsidDel="00000000" w:rsidR="00000000" w:rsidRPr="00000000">
        <w:rPr>
          <w:rtl w:val="0"/>
        </w:rPr>
        <w:t xml:space="preserve">Les réseaux et bridges évoluent ; certaines étapes peuvent requérir la coopération d’opérateurs tiers.</w:t>
      </w:r>
    </w:p>
    <w:p w:rsidR="00000000" w:rsidDel="00000000" w:rsidP="00000000" w:rsidRDefault="00000000" w:rsidRPr="00000000" w14:paraId="00000060">
      <w:pPr>
        <w:numPr>
          <w:ilvl w:val="0"/>
          <w:numId w:val="2"/>
        </w:numPr>
        <w:spacing w:after="0" w:before="0" w:lineRule="auto"/>
        <w:ind w:left="720" w:hanging="360"/>
        <w:rPr/>
      </w:pPr>
      <w:r w:rsidDel="00000000" w:rsidR="00000000" w:rsidRPr="00000000">
        <w:rPr>
          <w:rtl w:val="0"/>
        </w:rPr>
        <w:t xml:space="preserve">En « Secure Wallet Sweep », l’opération est </w:t>
      </w:r>
      <w:r w:rsidDel="00000000" w:rsidR="00000000" w:rsidRPr="00000000">
        <w:rPr>
          <w:i w:val="1"/>
          <w:iCs w:val="1"/>
          <w:rtl w:val="0"/>
        </w:rPr>
        <w:t xml:space="preserve">best-effort</w:t>
      </w:r>
      <w:r w:rsidDel="00000000" w:rsidR="00000000" w:rsidRPr="00000000">
        <w:rPr>
          <w:rtl w:val="0"/>
        </w:rPr>
        <w:t xml:space="preserve"> (risques MEV/front-run). Le Client garde toujours la maîtrise de ses clés.</w:t>
      </w:r>
    </w:p>
    <w:p w:rsidR="00000000" w:rsidDel="00000000" w:rsidP="00000000" w:rsidRDefault="00000000" w:rsidRPr="00000000" w14:paraId="00000061">
      <w:pPr>
        <w:numPr>
          <w:ilvl w:val="0"/>
          <w:numId w:val="2"/>
        </w:numPr>
        <w:spacing w:after="0" w:before="0" w:lineRule="auto"/>
        <w:ind w:left="720" w:hanging="360"/>
        <w:rPr/>
      </w:pPr>
      <w:r w:rsidDel="00000000" w:rsidR="00000000" w:rsidRPr="00000000">
        <w:rPr>
          <w:rtl w:val="0"/>
        </w:rPr>
        <w:t xml:space="preserve">Le Client reconnaît que l'aboutissement vers une plateforme centralisée (CEX) n'est pas systématique et dépend des agissements de l'auteur de la fraude (ex: usage de mixeurs, cold wallets). Par conséquent, l'absence d'identification d'un point de sortie (CEX) ne saurait constituer un motif de contestation des honoraires, la prestation étant constituée par l'analyse technique et le rapport de traçabilité, quel qu'en soit le résultat.</w:t>
      </w:r>
    </w:p>
    <w:p w:rsidR="00000000" w:rsidDel="00000000" w:rsidP="00000000" w:rsidRDefault="00000000" w:rsidRPr="00000000" w14:paraId="00000062">
      <w:pPr>
        <w:numPr>
          <w:ilvl w:val="0"/>
          <w:numId w:val="2"/>
        </w:numPr>
        <w:spacing w:after="240" w:before="0" w:lineRule="auto"/>
        <w:ind w:left="720" w:hanging="360"/>
        <w:rPr>
          <w:u w:val="none"/>
        </w:rPr>
      </w:pPr>
      <w:r w:rsidDel="00000000" w:rsidR="00000000" w:rsidRPr="00000000">
        <w:rPr>
          <w:b w:val="1"/>
          <w:bCs w:val="1"/>
          <w:rtl w:val="0"/>
        </w:rPr>
        <w:t xml:space="preserve">Limitation spécifique "Secure Wallet / Rescue" :</w:t>
      </w:r>
      <w:r w:rsidDel="00000000" w:rsidR="00000000" w:rsidRPr="00000000">
        <w:rPr>
          <w:rtl w:val="0"/>
        </w:rPr>
        <w:t xml:space="preserve"> Le Client reconnaît que toute prestation de récupération d'actifs sur un portefeuille compromis ("Compromised Wallet Rescue") est une obligation de moyens stricte et non de résultat. Le Prestataire utilise des techniques avancées (Bundles Flashbots, MEV), mais ne peut garantir la supériorité technique face aux scripts automatisés ("Sweepers") déjà en place par l'attaquant. L'échec de l'exfiltration ne pourra donner lieu à aucun remboursement des frais de mise en place technique.</w:t>
      </w:r>
      <w:r w:rsidDel="00000000" w:rsidR="00000000" w:rsidRPr="00000000">
        <w:rPr>
          <w:rtl w:val="0"/>
        </w:rPr>
      </w:r>
    </w:p>
    <w:p w:rsidR="00000000" w:rsidDel="00000000" w:rsidP="00000000" w:rsidRDefault="00000000" w:rsidRPr="00000000" w14:paraId="00000063">
      <w:pPr>
        <w:pStyle w:val="Heading2"/>
        <w:rPr/>
      </w:pPr>
      <w:bookmarkStart w:colFirst="0" w:colLast="0" w:name="_heading=h.t13gk1oz9qhx" w:id="9"/>
      <w:bookmarkEnd w:id="9"/>
      <w:r w:rsidDel="00000000" w:rsidR="00000000" w:rsidRPr="00000000">
        <w:rPr>
          <w:rtl w:val="0"/>
        </w:rPr>
        <w:t xml:space="preserve">ARTICLE 5 - PRIX, ACOMPTE ET FACTURATION</w:t>
      </w:r>
    </w:p>
    <w:p w:rsidR="00000000" w:rsidDel="00000000" w:rsidP="00000000" w:rsidRDefault="00000000" w:rsidRPr="00000000" w14:paraId="00000064">
      <w:pPr>
        <w:spacing w:after="100" w:line="276" w:lineRule="auto"/>
        <w:ind w:left="0" w:firstLine="0"/>
        <w:rPr/>
      </w:pPr>
      <w:r w:rsidDel="00000000" w:rsidR="00000000" w:rsidRPr="00000000">
        <w:rPr>
          <w:rtl w:val="0"/>
        </w:rPr>
        <w:t xml:space="preserve">Sauf stipulation contraire : 50 % à l’ouverture, solde à la livraison ; paiement en EUR (virement. Toute évolution majeure du périmètre fera l’objet d’un accord écrit (devis rectificatif).</w:t>
      </w:r>
    </w:p>
    <w:p w:rsidR="00000000" w:rsidDel="00000000" w:rsidP="00000000" w:rsidRDefault="00000000" w:rsidRPr="00000000" w14:paraId="00000065">
      <w:pPr>
        <w:spacing w:after="100" w:line="276" w:lineRule="auto"/>
        <w:ind w:left="0" w:firstLine="0"/>
        <w:rPr/>
      </w:pPr>
      <w:r w:rsidDel="00000000" w:rsidR="00000000" w:rsidRPr="00000000">
        <w:rPr>
          <w:rtl w:val="0"/>
        </w:rPr>
      </w:r>
    </w:p>
    <w:p w:rsidR="00000000" w:rsidDel="00000000" w:rsidP="00000000" w:rsidRDefault="00000000" w:rsidRPr="00000000" w14:paraId="00000066">
      <w:pPr>
        <w:spacing w:after="10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Information bancaires:</w:t>
      </w:r>
    </w:p>
    <w:p w:rsidR="00000000" w:rsidDel="00000000" w:rsidP="00000000" w:rsidRDefault="00000000" w:rsidRPr="00000000" w14:paraId="00000067">
      <w:pPr>
        <w:spacing w:after="100" w:lineRule="auto"/>
        <w:rPr/>
      </w:pPr>
      <w:r w:rsidDel="00000000" w:rsidR="00000000" w:rsidRPr="00000000">
        <w:rPr>
          <w:rtl w:val="0"/>
        </w:rPr>
        <w:t xml:space="preserve">Bénéficiaire : TONI RODOLFO</w:t>
      </w:r>
    </w:p>
    <w:p w:rsidR="00000000" w:rsidDel="00000000" w:rsidP="00000000" w:rsidRDefault="00000000" w:rsidRPr="00000000" w14:paraId="00000068">
      <w:pPr>
        <w:spacing w:after="100" w:lineRule="auto"/>
        <w:rPr/>
      </w:pPr>
      <w:r w:rsidDel="00000000" w:rsidR="00000000" w:rsidRPr="00000000">
        <w:rPr>
          <w:rtl w:val="0"/>
        </w:rPr>
        <w:t xml:space="preserve">IBAN : FR76 2823 3000 0150 2441 4244 936</w:t>
      </w:r>
    </w:p>
    <w:p w:rsidR="00000000" w:rsidDel="00000000" w:rsidP="00000000" w:rsidRDefault="00000000" w:rsidRPr="00000000" w14:paraId="00000069">
      <w:pPr>
        <w:spacing w:after="100" w:lineRule="auto"/>
        <w:rPr/>
      </w:pPr>
      <w:r w:rsidDel="00000000" w:rsidR="00000000" w:rsidRPr="00000000">
        <w:rPr>
          <w:rtl w:val="0"/>
        </w:rPr>
        <w:t xml:space="preserve">BIC : REVOFRP2</w:t>
      </w:r>
    </w:p>
    <w:p w:rsidR="00000000" w:rsidDel="00000000" w:rsidP="00000000" w:rsidRDefault="00000000" w:rsidRPr="00000000" w14:paraId="0000006A">
      <w:pPr>
        <w:spacing w:after="100" w:lineRule="auto"/>
        <w:rPr/>
      </w:pPr>
      <w:r w:rsidDel="00000000" w:rsidR="00000000" w:rsidRPr="00000000">
        <w:rPr>
          <w:rFonts w:ascii="Roboto" w:cs="Roboto" w:eastAsia="Roboto" w:hAnsi="Roboto"/>
          <w:b w:val="1"/>
          <w:bCs w:val="1"/>
          <w:u w:val="single"/>
          <w:rtl w:val="0"/>
        </w:rPr>
        <w:t xml:space="preserve">Référence de virement: </w:t>
      </w:r>
      <w:r w:rsidDel="00000000" w:rsidR="00000000" w:rsidRPr="00000000">
        <w:rPr>
          <w:rtl w:val="0"/>
        </w:rPr>
        <w:t xml:space="preserve">PM20251128</w:t>
      </w:r>
    </w:p>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spacing w:after="100" w:lineRule="auto"/>
        <w:rPr>
          <w:u w:val="single"/>
        </w:rPr>
      </w:pPr>
      <w:r w:rsidDel="00000000" w:rsidR="00000000" w:rsidRPr="00000000">
        <w:rPr>
          <w:u w:val="single"/>
          <w:rtl w:val="0"/>
        </w:rPr>
        <w:t xml:space="preserve">Nom et adresse de la banque:</w:t>
      </w:r>
    </w:p>
    <w:p w:rsidR="00000000" w:rsidDel="00000000" w:rsidP="00000000" w:rsidRDefault="00000000" w:rsidRPr="00000000" w14:paraId="0000006D">
      <w:pPr>
        <w:spacing w:after="100" w:lineRule="auto"/>
        <w:rPr/>
      </w:pPr>
      <w:r w:rsidDel="00000000" w:rsidR="00000000" w:rsidRPr="00000000">
        <w:rPr>
          <w:rtl w:val="0"/>
        </w:rPr>
        <w:t xml:space="preserve">Revolut Bank UAB </w:t>
      </w:r>
    </w:p>
    <w:p w:rsidR="00000000" w:rsidDel="00000000" w:rsidP="00000000" w:rsidRDefault="00000000" w:rsidRPr="00000000" w14:paraId="0000006E">
      <w:pPr>
        <w:spacing w:after="100" w:lineRule="auto"/>
        <w:rPr/>
      </w:pPr>
      <w:r w:rsidDel="00000000" w:rsidR="00000000" w:rsidRPr="00000000">
        <w:rPr>
          <w:rtl w:val="0"/>
        </w:rPr>
        <w:t xml:space="preserve">10 avenue Kléber, 75116, Paris, France</w:t>
      </w:r>
    </w:p>
    <w:p w:rsidR="00000000" w:rsidDel="00000000" w:rsidP="00000000" w:rsidRDefault="00000000" w:rsidRPr="00000000" w14:paraId="0000006F">
      <w:pPr>
        <w:spacing w:after="100" w:lineRule="auto"/>
        <w:rPr/>
      </w:pPr>
      <w:r w:rsidDel="00000000" w:rsidR="00000000" w:rsidRPr="00000000">
        <w:rPr>
          <w:rtl w:val="0"/>
        </w:rPr>
        <w:t xml:space="preserve">Numéro BIC de la banque correspondante : CHASDEFX</w:t>
      </w:r>
    </w:p>
    <w:p w:rsidR="00000000" w:rsidDel="00000000" w:rsidP="00000000" w:rsidRDefault="00000000" w:rsidRPr="00000000" w14:paraId="00000070">
      <w:pPr>
        <w:spacing w:after="100" w:lineRule="auto"/>
        <w:rPr/>
      </w:pP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b w:val="1"/>
          <w:bCs w:val="1"/>
          <w:i w:val="1"/>
          <w:iCs w:val="1"/>
          <w:rtl w:val="0"/>
        </w:rPr>
        <w:t xml:space="preserve">KLYR ne perçoit aucun success fee</w:t>
      </w:r>
      <w:r w:rsidDel="00000000" w:rsidR="00000000" w:rsidRPr="00000000">
        <w:rPr>
          <w:i w:val="1"/>
          <w:iCs w:val="1"/>
          <w:rtl w:val="0"/>
        </w:rPr>
        <w:t xml:space="preserve"> ; toute rémunération variable relève de l’avocat.</w:t>
      </w:r>
      <w:r w:rsidDel="00000000" w:rsidR="00000000" w:rsidRPr="00000000">
        <w:rPr>
          <w:rtl w:val="0"/>
        </w:rPr>
      </w:r>
    </w:p>
    <w:p w:rsidR="00000000" w:rsidDel="00000000" w:rsidP="00000000" w:rsidRDefault="00000000" w:rsidRPr="00000000" w14:paraId="00000072">
      <w:pPr>
        <w:pStyle w:val="Heading2"/>
        <w:rPr/>
      </w:pPr>
      <w:bookmarkStart w:colFirst="0" w:colLast="0" w:name="_heading=h.uww4q1aor02i" w:id="10"/>
      <w:bookmarkEnd w:id="10"/>
      <w:r w:rsidDel="00000000" w:rsidR="00000000" w:rsidRPr="00000000">
        <w:rPr>
          <w:rtl w:val="0"/>
        </w:rPr>
        <w:t xml:space="preserve">ARTICLE 6 - CONFIDENTIALITÉ ET PROTECTION DES DONNÉES</w:t>
      </w:r>
    </w:p>
    <w:p w:rsidR="00000000" w:rsidDel="00000000" w:rsidP="00000000" w:rsidRDefault="00000000" w:rsidRPr="00000000" w14:paraId="00000073">
      <w:pPr>
        <w:spacing w:after="100" w:line="276" w:lineRule="auto"/>
        <w:rPr/>
      </w:pPr>
      <w:r w:rsidDel="00000000" w:rsidR="00000000" w:rsidRPr="00000000">
        <w:rPr>
          <w:rtl w:val="0"/>
        </w:rPr>
        <w:t xml:space="preserve">Les informations communiquées sont strictement confidentielles. Le Prestataire met en œuvre des </w:t>
      </w:r>
      <w:r w:rsidDel="00000000" w:rsidR="00000000" w:rsidRPr="00000000">
        <w:rPr>
          <w:b w:val="1"/>
          <w:bCs w:val="1"/>
          <w:rtl w:val="0"/>
        </w:rPr>
        <w:t xml:space="preserve">mesures techniques et organisationnelles</w:t>
      </w:r>
      <w:r w:rsidDel="00000000" w:rsidR="00000000" w:rsidRPr="00000000">
        <w:rPr>
          <w:rtl w:val="0"/>
        </w:rPr>
        <w:t xml:space="preserve"> adaptées (contrôle d’intégrité, journalisation, gestion des accès, sauvegardes) et traite les données personnelles aux seules fins d’exécuter la mission, conformément au RGPD (droits d’accès, rectification, effacement).</w:t>
      </w:r>
    </w:p>
    <w:p w:rsidR="00000000" w:rsidDel="00000000" w:rsidP="00000000" w:rsidRDefault="00000000" w:rsidRPr="00000000" w14:paraId="00000074">
      <w:pPr>
        <w:pStyle w:val="Heading2"/>
        <w:rPr/>
      </w:pPr>
      <w:bookmarkStart w:colFirst="0" w:colLast="0" w:name="_heading=h.fy07vw9vwmf6" w:id="11"/>
      <w:bookmarkEnd w:id="11"/>
      <w:r w:rsidDel="00000000" w:rsidR="00000000" w:rsidRPr="00000000">
        <w:rPr>
          <w:rtl w:val="0"/>
        </w:rPr>
        <w:t xml:space="preserve">ARTICLE 7 - DROIT APPLICABLE - JURIDICTION</w:t>
      </w:r>
    </w:p>
    <w:p w:rsidR="00000000" w:rsidDel="00000000" w:rsidP="00000000" w:rsidRDefault="00000000" w:rsidRPr="00000000" w14:paraId="00000075">
      <w:pPr>
        <w:spacing w:after="100" w:line="276" w:lineRule="auto"/>
        <w:rPr/>
      </w:pPr>
      <w:r w:rsidDel="00000000" w:rsidR="00000000" w:rsidRPr="00000000">
        <w:rPr>
          <w:rtl w:val="0"/>
        </w:rPr>
        <w:t xml:space="preserve">Contrat soumis au droit français. Compétence exclusive des tribunaux de Paris en cas de litige, sous réserve de dispositions impératives.</w:t>
      </w:r>
    </w:p>
    <w:p w:rsidR="00000000" w:rsidDel="00000000" w:rsidP="00000000" w:rsidRDefault="00000000" w:rsidRPr="00000000" w14:paraId="00000076">
      <w:pPr>
        <w:pStyle w:val="Heading2"/>
        <w:rPr/>
      </w:pPr>
      <w:bookmarkStart w:colFirst="0" w:colLast="0" w:name="_heading=h.bhhzki1r0eq9" w:id="12"/>
      <w:bookmarkEnd w:id="12"/>
      <w:r w:rsidDel="00000000" w:rsidR="00000000" w:rsidRPr="00000000">
        <w:rPr>
          <w:rtl w:val="0"/>
        </w:rPr>
        <w:t xml:space="preserve">VALIDATION ET SIGNATURES</w:t>
      </w:r>
    </w:p>
    <w:p w:rsidR="00000000" w:rsidDel="00000000" w:rsidP="00000000" w:rsidRDefault="00000000" w:rsidRPr="00000000" w14:paraId="00000077">
      <w:pPr>
        <w:spacing w:after="100" w:line="276" w:lineRule="auto"/>
        <w:rPr/>
      </w:pPr>
      <w:r w:rsidDel="00000000" w:rsidR="00000000" w:rsidRPr="00000000">
        <w:rPr>
          <w:rtl w:val="0"/>
        </w:rPr>
        <w:t xml:space="preserve">Pour accord sur l’objet, le périmètre, les délais et conditions ci-dessus.</w:t>
      </w:r>
    </w:p>
    <w:p w:rsidR="00000000" w:rsidDel="00000000" w:rsidP="00000000" w:rsidRDefault="00000000" w:rsidRPr="00000000" w14:paraId="00000078">
      <w:pPr>
        <w:spacing w:after="100" w:line="276" w:lineRule="auto"/>
        <w:rPr/>
      </w:pPr>
      <w:r w:rsidDel="00000000" w:rsidR="00000000" w:rsidRPr="00000000">
        <w:rPr>
          <w:rtl w:val="0"/>
        </w:rPr>
      </w:r>
    </w:p>
    <w:tbl>
      <w:tblPr>
        <w:tblStyle w:val="Table2"/>
        <w:tblW w:w="10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65"/>
        <w:gridCol w:w="5280"/>
        <w:tblGridChange w:id="0">
          <w:tblGrid>
            <w:gridCol w:w="5265"/>
            <w:gridCol w:w="5280"/>
          </w:tblGrid>
        </w:tblGridChange>
      </w:tblGrid>
      <w:tr>
        <w:trPr>
          <w:cantSplit w:val="0"/>
          <w:trHeight w:val="126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spacing w:after="160" w:line="276" w:lineRule="auto"/>
              <w:rPr/>
            </w:pPr>
            <w:r w:rsidDel="00000000" w:rsidR="00000000" w:rsidRPr="00000000">
              <w:rPr>
                <w:rFonts w:ascii="Roboto" w:cs="Roboto" w:eastAsia="Roboto" w:hAnsi="Roboto"/>
                <w:b w:val="1"/>
                <w:bCs w:val="1"/>
                <w:rtl w:val="0"/>
              </w:rPr>
              <w:t xml:space="preserve">Le Client</w:t>
            </w:r>
            <w:r w:rsidDel="00000000" w:rsidR="00000000" w:rsidRPr="00000000">
              <w:rPr>
                <w:rtl w:val="0"/>
              </w:rPr>
              <w:br w:type="textWrapping"/>
              <w:t xml:space="preserve"> Nom : PANDY Flore</w:t>
              <w:br w:type="textWrapping"/>
              <w:t xml:space="preserve"> Qualité : Particulier</w:t>
              <w:br w:type="textWrapping"/>
              <w:t xml:space="preserve"> Date : </w:t>
              <w:br w:type="textWrapping"/>
              <w:t xml:space="preserve"> Signature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spacing w:line="276" w:lineRule="auto"/>
              <w:rPr/>
            </w:pPr>
            <w:r w:rsidDel="00000000" w:rsidR="00000000" w:rsidRPr="00000000">
              <w:rPr>
                <w:rFonts w:ascii="Roboto" w:cs="Roboto" w:eastAsia="Roboto" w:hAnsi="Roboto"/>
                <w:b w:val="1"/>
                <w:bCs w:val="1"/>
                <w:rtl w:val="0"/>
              </w:rPr>
              <w:t xml:space="preserve">KLYR</w:t>
            </w:r>
            <w:r w:rsidDel="00000000" w:rsidR="00000000" w:rsidRPr="00000000">
              <w:rPr>
                <w:rtl w:val="0"/>
              </w:rPr>
              <w:br w:type="textWrapping"/>
              <w:t xml:space="preserve"> Nom : RODOLFO Toni</w:t>
              <w:br w:type="textWrapping"/>
              <w:t xml:space="preserve"> Qualité : Enquêteur</w:t>
              <w:br w:type="textWrapping"/>
              <w:t xml:space="preserve"> Date : 06/02/26</w:t>
              <w:br w:type="textWrapping"/>
              <w:t xml:space="preserve"> Signature :</w:t>
            </w:r>
          </w:p>
          <w:p w:rsidR="00000000" w:rsidDel="00000000" w:rsidP="00000000" w:rsidRDefault="00000000" w:rsidRPr="00000000" w14:paraId="0000007B">
            <w:pPr>
              <w:spacing w:line="276" w:lineRule="auto"/>
              <w:rPr/>
            </w:pPr>
            <w:r w:rsidDel="00000000" w:rsidR="00000000" w:rsidRPr="00000000">
              <w:rPr/>
              <mc:AlternateContent>
                <mc:Choice Requires="wpg">
                  <w:drawing>
                    <wp:inline distB="114300" distT="114300" distL="114300" distR="114300">
                      <wp:extent cx="3314700" cy="1384300"/>
                      <wp:effectExtent b="0" l="0" r="0" t="0"/>
                      <wp:docPr id="9" name=""/>
                      <a:graphic>
                        <a:graphicData uri="http://schemas.microsoft.com/office/word/2010/wordprocessingShape">
                          <wps:wsp>
                            <wps:cNvSpPr/>
                            <wps:cNvPr id="2" name="Shape 2"/>
                            <wps:spPr>
                              <a:xfrm>
                                <a:off x="3327250" y="2955500"/>
                                <a:ext cx="4037500" cy="1649000"/>
                              </a:xfrm>
                              <a:custGeom>
                                <a:rect b="b" l="l" r="r" t="t"/>
                                <a:pathLst>
                                  <a:path extrusionOk="0" h="65960" w="161500">
                                    <a:moveTo>
                                      <a:pt x="12502" y="10549"/>
                                    </a:moveTo>
                                    <a:cubicBezTo>
                                      <a:pt x="14553" y="20802"/>
                                      <a:pt x="13869" y="31416"/>
                                      <a:pt x="14483" y="41854"/>
                                    </a:cubicBezTo>
                                    <a:cubicBezTo>
                                      <a:pt x="15019" y="50972"/>
                                      <a:pt x="15044" y="50971"/>
                                      <a:pt x="15672" y="60083"/>
                                    </a:cubicBezTo>
                                    <a:cubicBezTo>
                                      <a:pt x="15801" y="61947"/>
                                      <a:pt x="15142" y="66951"/>
                                      <a:pt x="16464" y="65631"/>
                                    </a:cubicBezTo>
                                    <a:cubicBezTo>
                                      <a:pt x="22017" y="60085"/>
                                      <a:pt x="18604" y="50073"/>
                                      <a:pt x="19238" y="42251"/>
                                    </a:cubicBezTo>
                                    <a:cubicBezTo>
                                      <a:pt x="20039" y="32369"/>
                                      <a:pt x="18533" y="22433"/>
                                      <a:pt x="18050" y="12530"/>
                                    </a:cubicBezTo>
                                    <a:cubicBezTo>
                                      <a:pt x="17851" y="8440"/>
                                      <a:pt x="14539" y="2352"/>
                                      <a:pt x="18050" y="246"/>
                                    </a:cubicBezTo>
                                    <a:cubicBezTo>
                                      <a:pt x="19591" y="-678"/>
                                      <a:pt x="21518" y="1856"/>
                                      <a:pt x="22409" y="3416"/>
                                    </a:cubicBezTo>
                                    <a:cubicBezTo>
                                      <a:pt x="26162" y="9984"/>
                                      <a:pt x="17586" y="18084"/>
                                      <a:pt x="12898" y="24022"/>
                                    </a:cubicBezTo>
                                    <a:cubicBezTo>
                                      <a:pt x="11334" y="26003"/>
                                      <a:pt x="9607" y="28045"/>
                                      <a:pt x="7350" y="29174"/>
                                    </a:cubicBezTo>
                                    <a:cubicBezTo>
                                      <a:pt x="6790" y="29454"/>
                                      <a:pt x="5534" y="29570"/>
                                      <a:pt x="6161" y="29570"/>
                                    </a:cubicBezTo>
                                    <a:cubicBezTo>
                                      <a:pt x="17260" y="29570"/>
                                      <a:pt x="32342" y="21836"/>
                                      <a:pt x="39448" y="30362"/>
                                    </a:cubicBezTo>
                                    <a:cubicBezTo>
                                      <a:pt x="42192" y="33655"/>
                                      <a:pt x="34946" y="37678"/>
                                      <a:pt x="32315" y="41062"/>
                                    </a:cubicBezTo>
                                    <a:cubicBezTo>
                                      <a:pt x="31398" y="42242"/>
                                      <a:pt x="28161" y="45357"/>
                                      <a:pt x="29145" y="44232"/>
                                    </a:cubicBezTo>
                                    <a:cubicBezTo>
                                      <a:pt x="33646" y="39089"/>
                                      <a:pt x="38889" y="34512"/>
                                      <a:pt x="44600" y="30759"/>
                                    </a:cubicBezTo>
                                    <a:cubicBezTo>
                                      <a:pt x="47669" y="28742"/>
                                      <a:pt x="54209" y="27585"/>
                                      <a:pt x="53318" y="24022"/>
                                    </a:cubicBezTo>
                                    <a:cubicBezTo>
                                      <a:pt x="52587" y="21100"/>
                                      <a:pt x="41780" y="25342"/>
                                      <a:pt x="44600" y="26400"/>
                                    </a:cubicBezTo>
                                    <a:cubicBezTo>
                                      <a:pt x="46830" y="27236"/>
                                      <a:pt x="52401" y="26153"/>
                                      <a:pt x="51337" y="24022"/>
                                    </a:cubicBezTo>
                                    <a:cubicBezTo>
                                      <a:pt x="50833" y="23012"/>
                                      <a:pt x="49083" y="24552"/>
                                      <a:pt x="48166" y="25211"/>
                                    </a:cubicBezTo>
                                    <a:cubicBezTo>
                                      <a:pt x="42321" y="29412"/>
                                      <a:pt x="33726" y="32815"/>
                                      <a:pt x="32315" y="39873"/>
                                    </a:cubicBezTo>
                                    <a:cubicBezTo>
                                      <a:pt x="31439" y="44256"/>
                                      <a:pt x="15875" y="46649"/>
                                      <a:pt x="19635" y="44232"/>
                                    </a:cubicBezTo>
                                    <a:cubicBezTo>
                                      <a:pt x="21328" y="43144"/>
                                      <a:pt x="26085" y="40055"/>
                                      <a:pt x="25183" y="41854"/>
                                    </a:cubicBezTo>
                                    <a:cubicBezTo>
                                      <a:pt x="22337" y="47532"/>
                                      <a:pt x="13214" y="46329"/>
                                      <a:pt x="6954" y="47402"/>
                                    </a:cubicBezTo>
                                    <a:cubicBezTo>
                                      <a:pt x="5392" y="47670"/>
                                      <a:pt x="3078" y="48721"/>
                                      <a:pt x="2199" y="47402"/>
                                    </a:cubicBezTo>
                                    <a:cubicBezTo>
                                      <a:pt x="1833" y="46853"/>
                                      <a:pt x="3387" y="45157"/>
                                      <a:pt x="3387" y="45817"/>
                                    </a:cubicBezTo>
                                    <a:cubicBezTo>
                                      <a:pt x="3387" y="46882"/>
                                      <a:pt x="1367" y="48155"/>
                                      <a:pt x="614" y="47402"/>
                                    </a:cubicBezTo>
                                    <a:cubicBezTo>
                                      <a:pt x="-2094" y="44694"/>
                                      <a:pt x="5372" y="40883"/>
                                      <a:pt x="8935" y="39477"/>
                                    </a:cubicBezTo>
                                    <a:cubicBezTo>
                                      <a:pt x="20766" y="34807"/>
                                      <a:pt x="20633" y="34032"/>
                                      <a:pt x="33108" y="31551"/>
                                    </a:cubicBezTo>
                                    <a:cubicBezTo>
                                      <a:pt x="75342" y="23153"/>
                                      <a:pt x="118617" y="21191"/>
                                      <a:pt x="161500" y="17285"/>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3314700" cy="1384300"/>
                      <wp:effectExtent b="0" l="0" r="0" t="0"/>
                      <wp:docPr id="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314700" cy="13843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7C">
      <w:pPr>
        <w:spacing w:after="100" w:line="276" w:lineRule="auto"/>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566.9291338582677" w:top="566.9291338582677" w:left="566.9291338582677" w:right="566.9291338582677" w:header="396.85039370078744" w:footer="396.850393700787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center"/>
      <w:rPr>
        <w:b w:val="1"/>
        <w:bCs w:val="1"/>
      </w:rPr>
    </w:pPr>
    <w:r w:rsidDel="00000000" w:rsidR="00000000" w:rsidRPr="00000000">
      <w:rPr>
        <w:sz w:val="20"/>
        <w:szCs w:val="20"/>
        <w:rtl w:val="0"/>
      </w:rPr>
      <w:t xml:space="preserve">KLYR  - SIRET 514 635 382 00021 — SIREN 514 635 382 — APE 74.90B</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sz w:val="16"/>
        <w:szCs w:val="16"/>
      </w:rPr>
    </w:pPr>
    <w:r w:rsidDel="00000000" w:rsidR="00000000" w:rsidRPr="00000000">
      <w:rPr>
        <w:rtl w:val="0"/>
      </w:rPr>
    </w:r>
  </w:p>
  <w:tbl>
    <w:tblPr>
      <w:tblStyle w:val="Table3"/>
      <w:tblpPr w:leftFromText="180" w:rightFromText="180" w:topFromText="180" w:bottomFromText="180" w:vertAnchor="text" w:horzAnchor="text" w:tblpX="3.0708661417315852" w:tblpY="0"/>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85"/>
      <w:gridCol w:w="1185"/>
      <w:gridCol w:w="1185"/>
      <w:gridCol w:w="1185"/>
      <w:gridCol w:w="1005"/>
      <w:gridCol w:w="1680"/>
      <w:gridCol w:w="930"/>
      <w:gridCol w:w="1245"/>
      <w:tblGridChange w:id="0">
        <w:tblGrid>
          <w:gridCol w:w="1185"/>
          <w:gridCol w:w="1185"/>
          <w:gridCol w:w="1185"/>
          <w:gridCol w:w="1185"/>
          <w:gridCol w:w="1185"/>
          <w:gridCol w:w="1005"/>
          <w:gridCol w:w="1680"/>
          <w:gridCol w:w="930"/>
          <w:gridCol w:w="1245"/>
        </w:tblGrid>
      </w:tblGridChange>
    </w:tblGrid>
    <w:tr>
      <w:trPr>
        <w:cantSplit w:val="0"/>
        <w:trHeight w:val="442.96875" w:hRule="atLeast"/>
        <w:tblHeader w:val="0"/>
      </w:trPr>
      <w:tc>
        <w:tcPr>
          <w:shd w:fill="0b5394" w:val="clear"/>
        </w:tcPr>
        <w:p w:rsidR="00000000" w:rsidDel="00000000" w:rsidP="00000000" w:rsidRDefault="00000000" w:rsidRPr="00000000" w14:paraId="0000007E">
          <w:pPr>
            <w:widowControl w:val="0"/>
            <w:spacing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Document</w:t>
          </w:r>
          <w:r w:rsidDel="00000000" w:rsidR="00000000" w:rsidRPr="00000000">
            <w:rPr>
              <w:rFonts w:ascii="Courier New" w:cs="Courier New" w:eastAsia="Courier New" w:hAnsi="Courier New"/>
              <w:color w:val="ffffff"/>
              <w:sz w:val="16"/>
              <w:szCs w:val="16"/>
              <w:rtl w:val="0"/>
            </w:rPr>
            <w:t xml:space="preserve"> </w:t>
          </w:r>
        </w:p>
      </w:tc>
      <w:tc>
        <w:tcPr>
          <w:shd w:fill="0b5394" w:val="clear"/>
        </w:tcPr>
        <w:p w:rsidR="00000000" w:rsidDel="00000000" w:rsidP="00000000" w:rsidRDefault="00000000" w:rsidRPr="00000000" w14:paraId="0000007F">
          <w:pPr>
            <w:widowControl w:val="0"/>
            <w:spacing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Référence</w:t>
          </w:r>
          <w:r w:rsidDel="00000000" w:rsidR="00000000" w:rsidRPr="00000000">
            <w:rPr>
              <w:rtl w:val="0"/>
            </w:rPr>
          </w:r>
        </w:p>
      </w:tc>
      <w:tc>
        <w:tcPr>
          <w:shd w:fill="0b5394" w:val="clear"/>
        </w:tcPr>
        <w:p w:rsidR="00000000" w:rsidDel="00000000" w:rsidP="00000000" w:rsidRDefault="00000000" w:rsidRPr="00000000" w14:paraId="00000080">
          <w:pPr>
            <w:widowControl w:val="0"/>
            <w:spacing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Client</w:t>
          </w:r>
          <w:r w:rsidDel="00000000" w:rsidR="00000000" w:rsidRPr="00000000">
            <w:rPr>
              <w:rtl w:val="0"/>
            </w:rPr>
          </w:r>
        </w:p>
      </w:tc>
      <w:tc>
        <w:tcPr>
          <w:shd w:fill="0b5394" w:val="clear"/>
        </w:tcPr>
        <w:p w:rsidR="00000000" w:rsidDel="00000000" w:rsidP="00000000" w:rsidRDefault="00000000" w:rsidRPr="00000000" w14:paraId="00000081">
          <w:pPr>
            <w:widowControl w:val="0"/>
            <w:spacing w:line="240" w:lineRule="auto"/>
            <w:rPr>
              <w:rFonts w:ascii="Courier New" w:cs="Courier New" w:eastAsia="Courier New" w:hAnsi="Courier New"/>
              <w:b w:val="1"/>
              <w:bCs w:val="1"/>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Destinataire</w:t>
          </w:r>
        </w:p>
      </w:tc>
      <w:tc>
        <w:tcPr>
          <w:shd w:fill="0b5394" w:val="clear"/>
        </w:tcPr>
        <w:p w:rsidR="00000000" w:rsidDel="00000000" w:rsidP="00000000" w:rsidRDefault="00000000" w:rsidRPr="00000000" w14:paraId="00000082">
          <w:pPr>
            <w:widowControl w:val="0"/>
            <w:spacing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Rédigé par</w:t>
          </w:r>
          <w:r w:rsidDel="00000000" w:rsidR="00000000" w:rsidRPr="00000000">
            <w:rPr>
              <w:rtl w:val="0"/>
            </w:rPr>
          </w:r>
        </w:p>
      </w:tc>
      <w:tc>
        <w:tcPr>
          <w:shd w:fill="0b5394" w:val="clear"/>
        </w:tcPr>
        <w:p w:rsidR="00000000" w:rsidDel="00000000" w:rsidP="00000000" w:rsidRDefault="00000000" w:rsidRPr="00000000" w14:paraId="00000083">
          <w:pPr>
            <w:widowControl w:val="0"/>
            <w:spacing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Date</w:t>
          </w:r>
          <w:r w:rsidDel="00000000" w:rsidR="00000000" w:rsidRPr="00000000">
            <w:rPr>
              <w:rtl w:val="0"/>
            </w:rPr>
          </w:r>
        </w:p>
      </w:tc>
      <w:tc>
        <w:tcPr>
          <w:shd w:fill="0b5394" w:val="clear"/>
        </w:tcPr>
        <w:p w:rsidR="00000000" w:rsidDel="00000000" w:rsidP="00000000" w:rsidRDefault="00000000" w:rsidRPr="00000000" w14:paraId="00000084">
          <w:pPr>
            <w:widowControl w:val="0"/>
            <w:spacing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Confidentialité</w:t>
          </w:r>
          <w:r w:rsidDel="00000000" w:rsidR="00000000" w:rsidRPr="00000000">
            <w:rPr>
              <w:rtl w:val="0"/>
            </w:rPr>
          </w:r>
        </w:p>
      </w:tc>
      <w:tc>
        <w:tcPr>
          <w:shd w:fill="0b5394" w:val="clear"/>
        </w:tcPr>
        <w:p w:rsidR="00000000" w:rsidDel="00000000" w:rsidP="00000000" w:rsidRDefault="00000000" w:rsidRPr="00000000" w14:paraId="00000085">
          <w:pPr>
            <w:widowControl w:val="0"/>
            <w:spacing w:line="240" w:lineRule="auto"/>
            <w:rPr>
              <w:rFonts w:ascii="Courier New" w:cs="Courier New" w:eastAsia="Courier New" w:hAnsi="Courier New"/>
              <w:b w:val="1"/>
              <w:bCs w:val="1"/>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Version</w:t>
          </w:r>
        </w:p>
      </w:tc>
      <w:tc>
        <w:tcPr>
          <w:shd w:fill="0b5394" w:val="clear"/>
        </w:tcPr>
        <w:p w:rsidR="00000000" w:rsidDel="00000000" w:rsidP="00000000" w:rsidRDefault="00000000" w:rsidRPr="00000000" w14:paraId="00000086">
          <w:pPr>
            <w:widowControl w:val="0"/>
            <w:spacing w:line="240" w:lineRule="auto"/>
            <w:rPr>
              <w:rFonts w:ascii="Courier New" w:cs="Courier New" w:eastAsia="Courier New" w:hAnsi="Courier New"/>
              <w:b w:val="1"/>
              <w:bCs w:val="1"/>
              <w:color w:val="ffffff"/>
              <w:sz w:val="16"/>
              <w:szCs w:val="16"/>
            </w:rPr>
          </w:pPr>
          <w:r w:rsidDel="00000000" w:rsidR="00000000" w:rsidRPr="00000000">
            <w:rPr>
              <w:rFonts w:ascii="Courier New" w:cs="Courier New" w:eastAsia="Courier New" w:hAnsi="Courier New"/>
              <w:b w:val="1"/>
              <w:bCs w:val="1"/>
              <w:color w:val="ffffff"/>
              <w:sz w:val="16"/>
              <w:szCs w:val="16"/>
              <w:rtl w:val="0"/>
            </w:rPr>
            <w:t xml:space="preserve">Nbr Pages</w:t>
          </w:r>
        </w:p>
      </w:tc>
    </w:tr>
    <w:tr>
      <w:trPr>
        <w:cantSplit w:val="0"/>
        <w:trHeight w:val="671.953125" w:hRule="atLeast"/>
        <w:tblHeader w:val="0"/>
      </w:trPr>
      <w:tc>
        <w:tcPr/>
        <w:p w:rsidR="00000000" w:rsidDel="00000000" w:rsidP="00000000" w:rsidRDefault="00000000" w:rsidRPr="00000000" w14:paraId="0000008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Lettre de mission</w:t>
          </w:r>
        </w:p>
      </w:tc>
      <w:tc>
        <w:tcPr/>
        <w:p w:rsidR="00000000" w:rsidDel="00000000" w:rsidP="00000000" w:rsidRDefault="00000000" w:rsidRPr="00000000" w14:paraId="0000008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PF-2025-11-28</w:t>
          </w:r>
        </w:p>
      </w:tc>
      <w:tc>
        <w:tcPr/>
        <w:p w:rsidR="00000000" w:rsidDel="00000000" w:rsidP="00000000" w:rsidRDefault="00000000" w:rsidRPr="00000000" w14:paraId="0000008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PANDY FLORE</w:t>
          </w:r>
        </w:p>
      </w:tc>
      <w:tc>
        <w:tcPr/>
        <w:p w:rsidR="00000000" w:rsidDel="00000000" w:rsidP="00000000" w:rsidRDefault="00000000" w:rsidRPr="00000000" w14:paraId="0000008A">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PANDY FLORE</w:t>
          </w:r>
        </w:p>
        <w:p w:rsidR="00000000" w:rsidDel="00000000" w:rsidP="00000000" w:rsidRDefault="00000000" w:rsidRPr="00000000" w14:paraId="0000008B">
          <w:pPr>
            <w:widowControl w:val="0"/>
            <w:spacing w:line="240" w:lineRule="auto"/>
            <w:rPr>
              <w:rFonts w:ascii="Courier New" w:cs="Courier New" w:eastAsia="Courier New" w:hAnsi="Courier New"/>
              <w:sz w:val="16"/>
              <w:szCs w:val="16"/>
            </w:rPr>
          </w:pPr>
          <w:r w:rsidDel="00000000" w:rsidR="00000000" w:rsidRPr="00000000">
            <w:rPr>
              <w:rtl w:val="0"/>
            </w:rPr>
          </w:r>
        </w:p>
      </w:tc>
      <w:tc>
        <w:tcPr/>
        <w:p w:rsidR="00000000" w:rsidDel="00000000" w:rsidP="00000000" w:rsidRDefault="00000000" w:rsidRPr="00000000" w14:paraId="0000008C">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Toni RODOLFO</w:t>
          </w:r>
        </w:p>
      </w:tc>
      <w:tc>
        <w:tcPr/>
        <w:p w:rsidR="00000000" w:rsidDel="00000000" w:rsidP="00000000" w:rsidRDefault="00000000" w:rsidRPr="00000000" w14:paraId="0000008D">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06/02/26</w:t>
          </w:r>
        </w:p>
      </w:tc>
      <w:tc>
        <w:tcPr/>
        <w:p w:rsidR="00000000" w:rsidDel="00000000" w:rsidP="00000000" w:rsidRDefault="00000000" w:rsidRPr="00000000" w14:paraId="0000008E">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Ouvert</w:t>
          </w:r>
        </w:p>
      </w:tc>
      <w:tc>
        <w:tcPr/>
        <w:p w:rsidR="00000000" w:rsidDel="00000000" w:rsidP="00000000" w:rsidRDefault="00000000" w:rsidRPr="00000000" w14:paraId="0000008F">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1</w:t>
          </w:r>
        </w:p>
      </w:tc>
      <w:tc>
        <w:tcPr/>
        <w:p w:rsidR="00000000" w:rsidDel="00000000" w:rsidP="00000000" w:rsidRDefault="00000000" w:rsidRPr="00000000" w14:paraId="00000090">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6</w:t>
          </w:r>
        </w:p>
      </w:tc>
    </w:tr>
  </w:tbl>
  <w:p w:rsidR="00000000" w:rsidDel="00000000" w:rsidP="00000000" w:rsidRDefault="00000000" w:rsidRPr="00000000" w14:paraId="00000091">
    <w:pPr>
      <w:rPr>
        <w:sz w:val="16"/>
        <w:szCs w:val="1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Light" w:cs="Roboto Light" w:eastAsia="Roboto Light" w:hAnsi="Roboto Light"/>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sz w:val="34"/>
      <w:szCs w:val="34"/>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240" w:lineRule="auto"/>
    </w:pPr>
    <w:rPr>
      <w:b w:val="1"/>
      <w:bCs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Light-regular.ttf"/><Relationship Id="rId6" Type="http://schemas.openxmlformats.org/officeDocument/2006/relationships/font" Target="fonts/RobotoLight-bold.ttf"/><Relationship Id="rId7" Type="http://schemas.openxmlformats.org/officeDocument/2006/relationships/font" Target="fonts/RobotoLight-italic.ttf"/><Relationship Id="rId8" Type="http://schemas.openxmlformats.org/officeDocument/2006/relationships/font" Target="fonts/Roboto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p+DL+6+tKVWemXiiGoX3YLV0Ew==">CgMxLjAyDmguN3RzZ2hqaHZ4NzJiMg5oLjNqbTRmcXB4cnZlazIOaC5vMHNueDV0M3BnNGkyDmguMW05b2plaTZzMDRyMg5oLmljaHFsNjczcXlmZDIOaC5veTBkcWY0bHZyZDUyDmguZjdvaW15NzUwNHc3Mg5oLnQ3YWplaGw3Ym5oZzIOaC5pZWJ0YzhmdzRibzcyDmgudDEzZ2sxb3o5cWh4Mg5oLnV3dzRxMWFvcjAyaTIOaC5meTA3dnc5dndtZjYyDmguYmhoemtpMXIwZXE5OAByITFhSTBrRzgyUWZNUnBPWlFWNWl4TkxWeFI1bzZXam9j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