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48"/>
          <w:szCs w:val="48"/>
        </w:rPr>
        <w:t xml:space="preserve">OBSCURA PROTOCOL</w:t>
      </w:r>
    </w:p>
    <w:p>
      <w:pPr>
        <w:spacing w:after="100"/>
        <w:jc w:val="center"/>
      </w:pPr>
      <w:r>
        <w:rPr>
          <w:rFonts w:ascii="Arial" w:cs="Arial" w:eastAsia="Arial" w:hAnsi="Arial"/>
          <w:color w:val="555555"/>
          <w:sz w:val="36"/>
          <w:szCs w:val="36"/>
        </w:rPr>
        <w:t xml:space="preserve">Security Audit Document</w:t>
      </w:r>
    </w:p>
    <w:p>
      <w:pPr>
        <w:spacing w:after="100"/>
        <w:jc w:val="center"/>
      </w:pPr>
      <w:r>
        <w:rPr>
          <w:rFonts w:ascii="Arial" w:cs="Arial" w:eastAsia="Arial" w:hAnsi="Arial"/>
          <w:color w:val="777777"/>
          <w:sz w:val="24"/>
          <w:szCs w:val="24"/>
        </w:rPr>
        <w:t xml:space="preserve">MVP Phase 1 -- Shielded Transfer Circuit</w:t>
      </w:r>
    </w:p>
    <w:p>
      <w:pPr>
        <w:spacing w:before="600"/>
        <w:jc w:val="center"/>
      </w:pPr>
      <w:r>
        <w:rPr>
          <w:rFonts w:ascii="Arial" w:cs="Arial" w:eastAsia="Arial" w:hAnsi="Arial"/>
          <w:color w:val="999999"/>
          <w:sz w:val="20"/>
          <w:szCs w:val="20"/>
        </w:rPr>
        <w:t xml:space="preserve">Noir v1.0.0-beta.20 | Barretenberg UltraHonk | BN254</w:t>
      </w:r>
    </w:p>
    <w:p>
      <w:pPr>
        <w:spacing w:before="200"/>
        <w:jc w:val="center"/>
      </w:pPr>
      <w:r>
        <w:rPr>
          <w:rFonts w:ascii="Arial" w:cs="Arial" w:eastAsia="Arial" w:hAnsi="Arial"/>
          <w:color w:val="999999"/>
          <w:sz w:val="22"/>
          <w:szCs w:val="22"/>
        </w:rPr>
        <w:t xml:space="preserve">April 2026</w:t>
      </w:r>
    </w:p>
    <w:p>
      <w:pPr>
        <w:spacing w:before="200"/>
        <w:jc w:val="center"/>
      </w:pPr>
      <w:r>
        <w:rPr>
          <w:rFonts w:ascii="Arial" w:cs="Arial" w:eastAsia="Arial" w:hAnsi="Arial"/>
          <w:b/>
          <w:bCs/>
          <w:color w:val="CC0000"/>
          <w:sz w:val="20"/>
          <w:szCs w:val="20"/>
        </w:rPr>
        <w:t xml:space="preserve">CONFIDENTIAL</w:t>
      </w:r>
    </w:p>
    <w:p>
      <w:r>
        <w:br w:type="page"/>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Executive Summary</w:t>
      </w:r>
    </w:p>
    <w:p>
      <w:pPr>
        <w:spacing w:after="120"/>
      </w:pPr>
      <w:r>
        <w:rPr>
          <w:rFonts w:ascii="Arial" w:cs="Arial" w:eastAsia="Arial" w:hAnsi="Arial"/>
          <w:sz w:val="22"/>
          <w:szCs w:val="22"/>
        </w:rPr>
        <w:t xml:space="preserve">This document provides a comprehensive security audit of the Obscura Protocol MVP Phase 1 shielded transfer circuit and its supporting Rust prover infrastructure. The system enables private 2-input / 2-output token transfers on a UTXO-based architecture using zero-knowledge proofs, where the sender, receiver, amounts, and linkage between inputs and outputs are never revealed on-chain.</w:t>
      </w:r>
    </w:p>
    <w:p>
      <w:pPr>
        <w:spacing w:after="120"/>
      </w:pPr>
      <w:r>
        <w:rPr>
          <w:rFonts w:ascii="Arial" w:cs="Arial" w:eastAsia="Arial" w:hAnsi="Arial"/>
          <w:sz w:val="22"/>
          <w:szCs w:val="22"/>
        </w:rPr>
        <w:t xml:space="preserve">The audit surface consists of a Noir zero-knowledge circuit (obscura-transfer) compiled against Noir v1.0.0-beta.20, an in-process Rust witness solver and prover CLI (obscura-prover) that orchestrates Barretenberg 4.0-nightly UltraHonk proving, and a hierarchical deterministic key derivation scheme based on BLAKE3 with cross-language parity between Rust and Python.</w:t>
      </w:r>
    </w:p>
    <w:p>
      <w:pPr>
        <w:spacing w:after="120"/>
      </w:pPr>
      <w:r>
        <w:rPr>
          <w:rFonts w:ascii="Arial" w:cs="Arial" w:eastAsia="Arial" w:hAnsi="Arial"/>
          <w:sz w:val="22"/>
          <w:szCs w:val="22"/>
        </w:rPr>
        <w:t xml:space="preserve">The circuit enforces 11 discrete constraint steps covering value integrity, note authenticity, Merkle membership, nullifier binding, key ownership, output binding, and conservation of value. The test suite comprises 67 tests (36 Noir + 31 Rust) providing 100% constraint coverage, including 19 dedicated negative tests that validate every constraint fires independently.</w:t>
      </w:r>
    </w:p>
    <w:p>
      <w:pPr>
        <w:spacing w:after="120"/>
      </w:pPr>
      <w:r>
        <w:rPr>
          <w:rFonts w:ascii="Arial" w:cs="Arial" w:eastAsia="Arial" w:hAnsi="Arial"/>
          <w:sz w:val="22"/>
          <w:szCs w:val="22"/>
        </w:rPr>
        <w:t xml:space="preserve">Key findings: the circuit constraint set is complete for Phase 1. Residual risks are confined to operational concerns (SSD wear-levelling for secure deletion, Python GC copies of key material) and are documented in Section 7 with recommended mitigations for production hardening.</w:t>
      </w:r>
    </w:p>
    <w:p>
      <w:r>
        <w:br w:type="page"/>
      </w:r>
    </w:p>
    <w:p>
      <w:pPr>
        <w:pStyle w:val="Heading1"/>
      </w:pPr>
      <w:r>
        <w:rPr>
          <w:rFonts w:ascii="Arial" w:cs="Arial" w:eastAsia="Arial" w:hAnsi="Arial"/>
        </w:rPr>
        <w:t xml:space="preserve">2. System Architecture</w:t>
      </w:r>
    </w:p>
    <w:p>
      <w:pPr>
        <w:spacing w:after="120"/>
      </w:pPr>
      <w:r>
        <w:rPr>
          <w:rFonts w:ascii="Arial" w:cs="Arial" w:eastAsia="Arial" w:hAnsi="Arial"/>
          <w:sz w:val="22"/>
          <w:szCs w:val="22"/>
        </w:rPr>
        <w:t xml:space="preserve">The Obscura Protocol Phase 1 consists of three cooperating components arranged in a pipeline that takes transaction parameters as JSON input and produces a zero-knowledge proof as output.</w:t>
      </w:r>
    </w:p>
    <w:p>
      <w:pPr>
        <w:pStyle w:val="Heading2"/>
      </w:pPr>
      <w:r>
        <w:rPr>
          <w:rFonts w:ascii="Arial" w:cs="Arial" w:eastAsia="Arial" w:hAnsi="Arial"/>
        </w:rPr>
        <w:t xml:space="preserve">2.1 Component Overview</w:t>
      </w:r>
    </w:p>
    <w:p>
      <w:pPr>
        <w:spacing w:after="120"/>
      </w:pPr>
      <w:r>
        <w:rPr>
          <w:rFonts w:ascii="Arial" w:cs="Arial" w:eastAsia="Arial" w:hAnsi="Arial"/>
          <w:b/>
          <w:bCs/>
          <w:sz w:val="22"/>
          <w:szCs w:val="22"/>
        </w:rPr>
        <w:t xml:space="preserve">obscura-transfer (Noir circuit): </w:t>
      </w:r>
      <w:r>
        <w:rPr>
          <w:rFonts w:ascii="Arial" w:cs="Arial" w:eastAsia="Arial" w:hAnsi="Arial"/>
          <w:sz w:val="22"/>
          <w:szCs w:val="22"/>
        </w:rPr>
        <w:t xml:space="preserve">The zero-knowledge circuit written in Noir that defines the transfer relation. It contains the main circuit (main.nr), note primitives (note.nr), hash functions (hash.nr), and protocol constants (constants.nr). Compiled by nargo into a JSON artifact containing ACIR bytecode and ABI metadata.</w:t>
      </w:r>
    </w:p>
    <w:p>
      <w:pPr>
        <w:spacing w:after="120"/>
      </w:pPr>
      <w:r>
        <w:rPr>
          <w:rFonts w:ascii="Arial" w:cs="Arial" w:eastAsia="Arial" w:hAnsi="Arial"/>
          <w:b/>
          <w:bCs/>
          <w:sz w:val="22"/>
          <w:szCs w:val="22"/>
        </w:rPr>
        <w:t xml:space="preserve">obscura-prover (Rust binary): </w:t>
      </w:r>
      <w:r>
        <w:rPr>
          <w:rFonts w:ascii="Arial" w:cs="Arial" w:eastAsia="Arial" w:hAnsi="Arial"/>
          <w:sz w:val="22"/>
          <w:szCs w:val="22"/>
        </w:rPr>
        <w:t xml:space="preserve">A single-binary CLI tool that reads circuit inputs from stdin JSON, solves the witness in-process via ACVM with Bn254BlackBoxSolver, serializes to msgpack wire format, and optionally orchestrates Barretenberg (bb) for proof generation and verification. Spending keys never touch disk.</w:t>
      </w:r>
    </w:p>
    <w:p>
      <w:pPr>
        <w:spacing w:after="120"/>
      </w:pPr>
      <w:r>
        <w:rPr>
          <w:rFonts w:ascii="Arial" w:cs="Arial" w:eastAsia="Arial" w:hAnsi="Arial"/>
          <w:b/>
          <w:bCs/>
          <w:sz w:val="22"/>
          <w:szCs w:val="22"/>
        </w:rPr>
        <w:t xml:space="preserve">Barretenberg (bb): </w:t>
      </w:r>
      <w:r>
        <w:rPr>
          <w:rFonts w:ascii="Arial" w:cs="Arial" w:eastAsia="Arial" w:hAnsi="Arial"/>
          <w:sz w:val="22"/>
          <w:szCs w:val="22"/>
        </w:rPr>
        <w:t xml:space="preserve">The Aztec cryptographic backend (version 4.0-nightly.20260120) invoked as a subprocess by the prove subcommand. Handles UltraHonk proof generation, verification key computation, and proof verification.</w:t>
      </w:r>
    </w:p>
    <w:p>
      <w:pPr>
        <w:pStyle w:val="Heading2"/>
      </w:pPr>
      <w:r>
        <w:rPr>
          <w:rFonts w:ascii="Arial" w:cs="Arial" w:eastAsia="Arial" w:hAnsi="Arial"/>
        </w:rPr>
        <w:t xml:space="preserve">2.2 Data Flow</w:t>
      </w:r>
    </w:p>
    <w:p>
      <w:pPr>
        <w:spacing w:after="120"/>
      </w:pPr>
      <w:r>
        <w:rPr>
          <w:rFonts w:ascii="Arial" w:cs="Arial" w:eastAsia="Arial" w:hAnsi="Arial"/>
          <w:sz w:val="22"/>
          <w:szCs w:val="22"/>
        </w:rPr>
        <w:t xml:space="preserve">The prove pipeline operates as follows: (1) Transaction JSON is piped to stdin, containing either raw spending keys or HD derivation parameters (_master_seed_hex + _note_indices). (2) If HD parameters are present, spending keys are derived in-process using BLAKE3 and injected into the input map. (3) The ACVM solves the full witness from circuit inputs. (4) The witness is serialized to msgpack, gzip-compressed, and written to a temporary file. (5) bb generates a verification key, produces the proof (with inline verification), and writes proof + public_inputs. (6) The temporary witness file is secure-deleted (3-pass overwrite + unlink). (7) A standalone bb verify confirms the proof.</w:t>
      </w:r>
    </w:p>
    <w:p>
      <w:pPr>
        <w:pStyle w:val="Heading2"/>
      </w:pPr>
      <w:r>
        <w:rPr>
          <w:rFonts w:ascii="Arial" w:cs="Arial" w:eastAsia="Arial" w:hAnsi="Arial"/>
        </w:rPr>
        <w:t xml:space="preserve">2.3 On-Chain Footprint</w:t>
      </w:r>
    </w:p>
    <w:p>
      <w:pPr>
        <w:spacing w:after="120"/>
      </w:pPr>
      <w:r>
        <w:rPr>
          <w:rFonts w:ascii="Arial" w:cs="Arial" w:eastAsia="Arial" w:hAnsi="Arial"/>
          <w:sz w:val="22"/>
          <w:szCs w:val="22"/>
        </w:rPr>
        <w:t xml:space="preserve">Each proof commits exactly 7 public field elements on-chain: merkle_root, nf_1, nf_2, cm_out_1, cm_out_2, fee, and asset_id. All other transaction data (values, keys, Merkle paths) remains private inside the proof.</w:t>
      </w:r>
    </w:p>
    <w:p>
      <w:r>
        <w:br w:type="page"/>
      </w:r>
    </w:p>
    <w:p>
      <w:pPr>
        <w:pStyle w:val="Heading1"/>
      </w:pPr>
      <w:r>
        <w:rPr>
          <w:rFonts w:ascii="Arial" w:cs="Arial" w:eastAsia="Arial" w:hAnsi="Arial"/>
        </w:rPr>
        <w:t xml:space="preserve">3. Circuit Constraint Analysis</w:t>
      </w:r>
    </w:p>
    <w:p>
      <w:pPr>
        <w:spacing w:after="120"/>
      </w:pPr>
      <w:r>
        <w:rPr>
          <w:rFonts w:ascii="Arial" w:cs="Arial" w:eastAsia="Arial" w:hAnsi="Arial"/>
          <w:sz w:val="22"/>
          <w:szCs w:val="22"/>
        </w:rPr>
        <w:t xml:space="preserve">The transfer circuit enforces 11 constraint steps. Each step is analyzed below with the attack it prevents, its implementation, and the hash functions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160"/>
        <w:gridCol w:w="2800"/>
      </w:tblGrid>
      <w:tr>
        <w:tc>
          <w:tcPr>
            <w:tcW w:type="dxa" w:w="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Constraint</w:t>
            </w:r>
          </w:p>
        </w:tc>
        <w:tc>
          <w:tcPr>
            <w:tcW w:type="dxa" w:w="4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Implementation</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Attack Prevented</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Step 1</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0"/>
                <w:szCs w:val="20"/>
              </w:rPr>
              <w:t xml:space="preserve">Value Range Check</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assert_value_range() on all 5 values (in1, in2, out1, out2, fee) constrains each to 64-bit unsigned range via u64 truncation equality.</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Field overflow token creation: attacker supplies value = p-1 which wraps modulo BN254 to create tokens from nothing.</w:t>
            </w:r>
          </w:p>
        </w:tc>
      </w:tr>
      <w:tr>
        <w:tc>
          <w:tcPr>
            <w:tcW w:type="dxa" w:w="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Step 2-3</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sz w:val="20"/>
                <w:szCs w:val="20"/>
              </w:rPr>
              <w:t xml:space="preserve">Note Construction + Commitment</w:t>
            </w:r>
          </w:p>
        </w:tc>
        <w:tc>
          <w:tcPr>
            <w:tcW w:type="dxa" w:w="4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Input notes are constructed from private fields and committed via hash_7(COMMITMENT_DOMAIN, VERSION, value, asset_id, pk_x, pk_y, rho). Poseidon2 sponge (t=4, rate=3).</w:t>
            </w:r>
          </w:p>
        </w:tc>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Commitment malleability: binding property ensures any change to note fields produces a different commitment.</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Step 4</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0"/>
                <w:szCs w:val="20"/>
              </w:rPr>
              <w:t xml:space="preserve">Merkle Membership</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compute_merkle_root() walks a depth-32 path using LSB-first index bits and hash_2() at each level. Asserts computed root equals public merkle_root.</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Phantom notes: attacker tries to spend a note not in the state tree. Invalid path or wrong root causes rejection.</w:t>
            </w:r>
          </w:p>
        </w:tc>
      </w:tr>
      <w:tr>
        <w:tc>
          <w:tcPr>
            <w:tcW w:type="dxa" w:w="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Step 5</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sz w:val="20"/>
                <w:szCs w:val="20"/>
              </w:rPr>
              <w:t xml:space="preserve">Nullifier Binding</w:t>
            </w:r>
          </w:p>
        </w:tc>
        <w:tc>
          <w:tcPr>
            <w:tcW w:type="dxa" w:w="4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Computes nullifier = hash_3(NULLIFIER_DOMAIN, cm, sk) and asserts it matches the declared public nullifier.</w:t>
            </w:r>
          </w:p>
        </w:tc>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Nullifier forgery: attacker declares an arbitrary nullifier to avoid double-spend detection. Binding to cm and sk prevents this.</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Step 6</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0"/>
                <w:szCs w:val="20"/>
              </w:rPr>
              <w:t xml:space="preserve">Nullifier Uniqueness</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Asserts nf_1 != nf_2.</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Double-spend within a single transaction: reusing the same note as both inputs.</w:t>
            </w:r>
          </w:p>
        </w:tc>
      </w:tr>
      <w:tr>
        <w:tc>
          <w:tcPr>
            <w:tcW w:type="dxa" w:w="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Step 7</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sz w:val="20"/>
                <w:szCs w:val="20"/>
              </w:rPr>
              <w:t xml:space="preserve">Key Ownership</w:t>
            </w:r>
          </w:p>
        </w:tc>
        <w:tc>
          <w:tcPr>
            <w:tcW w:type="dxa" w:w="4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assert_ownership() derives pk = sk * G on Grumpkin and checks both coordinates match the note's embedded pk.</w:t>
            </w:r>
          </w:p>
        </w:tc>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Unauthorized spend: attacker knows the commitment preimage but not sk. Without ownership check, any sk that produces a valid nullifier could spend.</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Step 8</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0"/>
                <w:szCs w:val="20"/>
              </w:rPr>
              <w:t xml:space="preserve">Output Commitment Binding</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Constructs output notes and asserts commitment(note_out) == cm_out (public).</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Output forgery: attacker declares a public commitment that doesn't match the actual output note, enabling hidden inflation.</w:t>
            </w:r>
          </w:p>
        </w:tc>
      </w:tr>
      <w:tr>
        <w:tc>
          <w:tcPr>
            <w:tcW w:type="dxa" w:w="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Step 9</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sz w:val="20"/>
                <w:szCs w:val="20"/>
              </w:rPr>
              <w:t xml:space="preserve">Output Distinctness</w:t>
            </w:r>
          </w:p>
        </w:tc>
        <w:tc>
          <w:tcPr>
            <w:tcW w:type="dxa" w:w="4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Asserts cm_out_1 != cm_out_2.</w:t>
            </w:r>
          </w:p>
        </w:tc>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Replay attack: identical output commitments would allow a receiver to claim the same note twice from the tree.</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Step 10</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0"/>
                <w:szCs w:val="20"/>
              </w:rPr>
              <w:t xml:space="preserve">Value Conservation</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in1 + in2 == out1 + out2 + fee.</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Inflation/deflation: creating or destroying tokens. All arithmetic is in BN254 field; range checks (Step 1) prevent wraparound exploits.</w:t>
            </w:r>
          </w:p>
        </w:tc>
      </w:tr>
      <w:tr>
        <w:tc>
          <w:tcPr>
            <w:tcW w:type="dxa" w:w="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Step 11</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sz w:val="20"/>
                <w:szCs w:val="20"/>
              </w:rPr>
              <w:t xml:space="preserve">Non-Zero Primary Output</w:t>
            </w:r>
          </w:p>
        </w:tc>
        <w:tc>
          <w:tcPr>
            <w:tcW w:type="dxa" w:w="4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out1_value != 0.</w:t>
            </w:r>
          </w:p>
        </w:tc>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Dust attack / accidental burn: ensures the primary transfer carries value. Change output (out2) may be zero.</w:t>
            </w:r>
          </w:p>
        </w:tc>
      </w:tr>
    </w:tbl>
    <w:p>
      <w:pPr>
        <w:spacing w:after="200"/>
      </w:pPr>
    </w:p>
    <w:p>
      <w:pPr>
        <w:pStyle w:val="Heading2"/>
      </w:pPr>
      <w:r>
        <w:rPr>
          <w:rFonts w:ascii="Arial" w:cs="Arial" w:eastAsia="Arial" w:hAnsi="Arial"/>
        </w:rPr>
        <w:t xml:space="preserve">3.1 Hash Function Details</w:t>
      </w:r>
    </w:p>
    <w:p>
      <w:pPr>
        <w:spacing w:after="120"/>
      </w:pPr>
      <w:r>
        <w:rPr>
          <w:rFonts w:ascii="Arial" w:cs="Arial" w:eastAsia="Arial" w:hAnsi="Arial"/>
          <w:sz w:val="22"/>
          <w:szCs w:val="22"/>
        </w:rPr>
        <w:t xml:space="preserve">All hashing uses the Barretenberg Poseidon2 permutation blackbox (std::hash::poseidon2_permutation) with state width t=4, rate=3, capacity=1. This provides 254-bit collision resistance over the BN254 scalar field with proven security margins against algebraic attacks.</w:t>
      </w:r>
    </w:p>
    <w:p>
      <w:pPr>
        <w:pStyle w:val="ListParagraph"/>
        <w:numPr>
          <w:ilvl w:val="0"/>
          <w:numId w:val="2"/>
        </w:numPr>
      </w:pPr>
      <w:r>
        <w:rPr>
          <w:rFonts w:ascii="Arial" w:cs="Arial" w:eastAsia="Arial" w:hAnsi="Arial"/>
          <w:sz w:val="22"/>
          <w:szCs w:val="22"/>
        </w:rPr>
        <w:t xml:space="preserve">hash_2(a, b): Single permutation, 2 rate elements filled, used for Merkle tree node hashing.</w:t>
      </w:r>
    </w:p>
    <w:p>
      <w:pPr>
        <w:pStyle w:val="ListParagraph"/>
        <w:numPr>
          <w:ilvl w:val="0"/>
          <w:numId w:val="2"/>
        </w:numPr>
      </w:pPr>
      <w:r>
        <w:rPr>
          <w:rFonts w:ascii="Arial" w:cs="Arial" w:eastAsia="Arial" w:hAnsi="Arial"/>
          <w:sz w:val="22"/>
          <w:szCs w:val="22"/>
        </w:rPr>
        <w:t xml:space="preserve">hash_3(a, b, c): Single permutation, full rate, used for nullifier computation with NULLIFIER_DOMAIN=1.</w:t>
      </w:r>
    </w:p>
    <w:p>
      <w:pPr>
        <w:pStyle w:val="ListParagraph"/>
        <w:numPr>
          <w:ilvl w:val="0"/>
          <w:numId w:val="2"/>
        </w:numPr>
      </w:pPr>
      <w:r>
        <w:rPr>
          <w:rFonts w:ascii="Arial" w:cs="Arial" w:eastAsia="Arial" w:hAnsi="Arial"/>
          <w:sz w:val="22"/>
          <w:szCs w:val="22"/>
        </w:rPr>
        <w:t xml:space="preserve">hash_7(a..g): Three-phase sponge (absorb 3, XOR 3, XOR 1), used for note commitment with COMMITMENT_DOMAIN=2 and NOTE_VERSION=0.</w:t>
      </w:r>
    </w:p>
    <w:p>
      <w:pPr>
        <w:spacing w:after="120"/>
      </w:pPr>
      <w:r>
        <w:rPr>
          <w:rFonts w:ascii="Arial" w:cs="Arial" w:eastAsia="Arial" w:hAnsi="Arial"/>
          <w:sz w:val="22"/>
          <w:szCs w:val="22"/>
        </w:rPr>
        <w:t xml:space="preserve">Domain separation between commitment and nullifier hashes is enforced at two levels: structurally (different number of absorption phases) and explicitly (different domain constants as the first input field).</w:t>
      </w:r>
    </w:p>
    <w:p>
      <w:r>
        <w:br w:type="page"/>
      </w:r>
    </w:p>
    <w:p>
      <w:pPr>
        <w:pStyle w:val="Heading1"/>
      </w:pPr>
      <w:r>
        <w:rPr>
          <w:rFonts w:ascii="Arial" w:cs="Arial" w:eastAsia="Arial" w:hAnsi="Arial"/>
        </w:rPr>
        <w:t xml:space="preserve">4. Key Lifecycle and Trust Assumptions</w:t>
      </w:r>
    </w:p>
    <w:p>
      <w:pPr>
        <w:pStyle w:val="Heading2"/>
      </w:pPr>
      <w:r>
        <w:rPr>
          <w:rFonts w:ascii="Arial" w:cs="Arial" w:eastAsia="Arial" w:hAnsi="Arial"/>
        </w:rPr>
        <w:t xml:space="preserve">4.1 HD Key Derivation</w:t>
      </w:r>
    </w:p>
    <w:p>
      <w:pPr>
        <w:spacing w:after="120"/>
      </w:pPr>
      <w:r>
        <w:rPr>
          <w:rFonts w:ascii="Arial" w:cs="Arial" w:eastAsia="Arial" w:hAnsi="Arial"/>
          <w:sz w:val="22"/>
          <w:szCs w:val="22"/>
        </w:rPr>
        <w:t xml:space="preserve">Spending keys are derived hierarchically from a BIP-39 master seed using the formula:</w:t>
      </w:r>
    </w:p>
    <w:p>
      <w:pPr>
        <w:spacing w:after="120"/>
        <w:jc w:val="center"/>
      </w:pPr>
      <w:r>
        <w:rPr>
          <w:rFonts w:ascii="Courier New" w:cs="Courier New" w:eastAsia="Courier New" w:hAnsi="Courier New"/>
          <w:sz w:val="20"/>
          <w:szCs w:val="20"/>
        </w:rPr>
        <w:t xml:space="preserve">sk = BLAKE3("Obscura::note_sk_v1" || master_seed_64B || index_8B_BE) mod BN254_P</w:t>
      </w:r>
    </w:p>
    <w:p>
      <w:pPr>
        <w:pStyle w:val="ListParagraph"/>
        <w:numPr>
          <w:ilvl w:val="0"/>
          <w:numId w:val="2"/>
        </w:numPr>
      </w:pPr>
      <w:r>
        <w:rPr>
          <w:rFonts w:ascii="Arial" w:cs="Arial" w:eastAsia="Arial" w:hAnsi="Arial"/>
          <w:sz w:val="22"/>
          <w:szCs w:val="22"/>
        </w:rPr>
        <w:t xml:space="preserve">The domain tag "Obscura::note_sk_v1" is versioned to prevent collisions across protocol upgrades.</w:t>
      </w:r>
    </w:p>
    <w:p>
      <w:pPr>
        <w:pStyle w:val="ListParagraph"/>
        <w:numPr>
          <w:ilvl w:val="0"/>
          <w:numId w:val="2"/>
        </w:numPr>
      </w:pPr>
      <w:r>
        <w:rPr>
          <w:rFonts w:ascii="Arial" w:cs="Arial" w:eastAsia="Arial" w:hAnsi="Arial"/>
          <w:sz w:val="22"/>
          <w:szCs w:val="22"/>
        </w:rPr>
        <w:t xml:space="preserve">The master seed is always 512 bits (64 bytes), produced by BIP-39 PBKDF2 from a mnemonic.</w:t>
      </w:r>
    </w:p>
    <w:p>
      <w:pPr>
        <w:pStyle w:val="ListParagraph"/>
        <w:numPr>
          <w:ilvl w:val="0"/>
          <w:numId w:val="2"/>
        </w:numPr>
      </w:pPr>
      <w:r>
        <w:rPr>
          <w:rFonts w:ascii="Arial" w:cs="Arial" w:eastAsia="Arial" w:hAnsi="Arial"/>
          <w:sz w:val="22"/>
          <w:szCs w:val="22"/>
        </w:rPr>
        <w:t xml:space="preserve">The note index is a u64 encoded as 8 big-endian bytes, supporting up to 2^64 derived keys.</w:t>
      </w:r>
    </w:p>
    <w:p>
      <w:pPr>
        <w:pStyle w:val="ListParagraph"/>
        <w:numPr>
          <w:ilvl w:val="0"/>
          <w:numId w:val="2"/>
        </w:numPr>
      </w:pPr>
      <w:r>
        <w:rPr>
          <w:rFonts w:ascii="Arial" w:cs="Arial" w:eastAsia="Arial" w:hAnsi="Arial"/>
          <w:sz w:val="22"/>
          <w:szCs w:val="22"/>
        </w:rPr>
        <w:t xml:space="preserve">The BLAKE3 output (256 bits) is reduced modulo BN254_P to produce a valid scalar field element.</w:t>
      </w:r>
    </w:p>
    <w:p>
      <w:pPr>
        <w:pStyle w:val="ListParagraph"/>
        <w:numPr>
          <w:ilvl w:val="0"/>
          <w:numId w:val="2"/>
        </w:numPr>
      </w:pPr>
      <w:r>
        <w:rPr>
          <w:rFonts w:ascii="Arial" w:cs="Arial" w:eastAsia="Arial" w:hAnsi="Arial"/>
          <w:sz w:val="22"/>
          <w:szCs w:val="22"/>
        </w:rPr>
        <w:t xml:space="preserve">Cross-language parity is verified by 5 pinned test vectors generated from the Python reference implementation (scripts/generate_hd_test_vectors.py).</w:t>
      </w:r>
    </w:p>
    <w:p>
      <w:pPr>
        <w:pStyle w:val="Heading2"/>
      </w:pPr>
      <w:r>
        <w:rPr>
          <w:rFonts w:ascii="Arial" w:cs="Arial" w:eastAsia="Arial" w:hAnsi="Arial"/>
        </w:rPr>
        <w:t xml:space="preserve">4.2 Key Material Handling</w:t>
      </w:r>
    </w:p>
    <w:p>
      <w:pPr>
        <w:spacing w:after="120"/>
      </w:pPr>
      <w:r>
        <w:rPr>
          <w:rFonts w:ascii="Arial" w:cs="Arial" w:eastAsia="Arial" w:hAnsi="Arial"/>
          <w:b/>
          <w:bCs/>
          <w:sz w:val="22"/>
          <w:szCs w:val="22"/>
        </w:rPr>
        <w:t xml:space="preserve">In Rust (obscura-prover): </w:t>
      </w:r>
      <w:r>
        <w:rPr>
          <w:rFonts w:ascii="Arial" w:cs="Arial" w:eastAsia="Arial" w:hAnsi="Arial"/>
          <w:sz w:val="22"/>
          <w:szCs w:val="22"/>
        </w:rPr>
        <w:t xml:space="preserve">Stdin input is wrapped in a SensitiveInput struct with Zeroize-on-drop. The master seed is zeroized immediately after derivation. The BLAKE3 intermediate buffer is zeroized before the modular reduction result is returned. The serialized msgpack buffer is zeroized after gzip compression.</w:t>
      </w:r>
    </w:p>
    <w:p>
      <w:pPr>
        <w:spacing w:after="120"/>
      </w:pPr>
      <w:r>
        <w:rPr>
          <w:rFonts w:ascii="Arial" w:cs="Arial" w:eastAsia="Arial" w:hAnsi="Arial"/>
          <w:b/>
          <w:bCs/>
          <w:sz w:val="22"/>
          <w:szCs w:val="22"/>
        </w:rPr>
        <w:t xml:space="preserve">On disk: </w:t>
      </w:r>
      <w:r>
        <w:rPr>
          <w:rFonts w:ascii="Arial" w:cs="Arial" w:eastAsia="Arial" w:hAnsi="Arial"/>
          <w:sz w:val="22"/>
          <w:szCs w:val="22"/>
        </w:rPr>
        <w:t xml:space="preserve">Spending keys are never written to disk. The temporary witness file (which contains derived witness values, not raw sk) is secure-deleted with a 3-pass overwrite (zeros, 0xFF, pseudo-random) followed by unlink. The secure_delete function is defense-in-depth; SSD wear-levelling may retain prior page copies (see Section 7).</w:t>
      </w:r>
    </w:p>
    <w:p>
      <w:pPr>
        <w:spacing w:after="120"/>
      </w:pPr>
      <w:r>
        <w:rPr>
          <w:rFonts w:ascii="Arial" w:cs="Arial" w:eastAsia="Arial" w:hAnsi="Arial"/>
          <w:b/>
          <w:bCs/>
          <w:sz w:val="22"/>
          <w:szCs w:val="22"/>
        </w:rPr>
        <w:t xml:space="preserve">Public key derivation: </w:t>
      </w:r>
      <w:r>
        <w:rPr>
          <w:rFonts w:ascii="Arial" w:cs="Arial" w:eastAsia="Arial" w:hAnsi="Arial"/>
          <w:sz w:val="22"/>
          <w:szCs w:val="22"/>
        </w:rPr>
        <w:t xml:space="preserve">pk = sk * G on the Grumpkin embedded curve via std::embedded_curve_ops::multi_scalar_mul. The Grumpkin generator is the canonical embedded curve point for BN254, ensuring compatibility with Aztec wallet infrastructure.</w:t>
      </w:r>
    </w:p>
    <w:p>
      <w:pPr>
        <w:pStyle w:val="Heading2"/>
      </w:pPr>
      <w:r>
        <w:rPr>
          <w:rFonts w:ascii="Arial" w:cs="Arial" w:eastAsia="Arial" w:hAnsi="Arial"/>
        </w:rPr>
        <w:t xml:space="preserve">4.3 Trust Assumptions</w:t>
      </w:r>
    </w:p>
    <w:p>
      <w:pPr>
        <w:pStyle w:val="ListParagraph"/>
        <w:numPr>
          <w:ilvl w:val="0"/>
          <w:numId w:val="2"/>
        </w:numPr>
      </w:pPr>
      <w:r>
        <w:rPr>
          <w:rFonts w:ascii="Arial" w:cs="Arial" w:eastAsia="Arial" w:hAnsi="Arial"/>
          <w:sz w:val="22"/>
          <w:szCs w:val="22"/>
        </w:rPr>
        <w:t xml:space="preserve">The BIP-39 mnemonic is generated and stored securely by the wallet layer (out of scope for Phase 1).</w:t>
      </w:r>
    </w:p>
    <w:p>
      <w:pPr>
        <w:pStyle w:val="ListParagraph"/>
        <w:numPr>
          <w:ilvl w:val="0"/>
          <w:numId w:val="2"/>
        </w:numPr>
      </w:pPr>
      <w:r>
        <w:rPr>
          <w:rFonts w:ascii="Arial" w:cs="Arial" w:eastAsia="Arial" w:hAnsi="Arial"/>
          <w:sz w:val="22"/>
          <w:szCs w:val="22"/>
        </w:rPr>
        <w:t xml:space="preserve">The Noir compiler (v1.0.0-beta.20) correctly translates circuit constraints to ACIR bytecode.</w:t>
      </w:r>
    </w:p>
    <w:p>
      <w:pPr>
        <w:pStyle w:val="ListParagraph"/>
        <w:numPr>
          <w:ilvl w:val="0"/>
          <w:numId w:val="2"/>
        </w:numPr>
      </w:pPr>
      <w:r>
        <w:rPr>
          <w:rFonts w:ascii="Arial" w:cs="Arial" w:eastAsia="Arial" w:hAnsi="Arial"/>
          <w:sz w:val="22"/>
          <w:szCs w:val="22"/>
        </w:rPr>
        <w:t xml:space="preserve">Barretenberg (4.0-nightly) correctly implements UltraHonk and its Poseidon2 permutation.</w:t>
      </w:r>
    </w:p>
    <w:p>
      <w:pPr>
        <w:pStyle w:val="ListParagraph"/>
        <w:numPr>
          <w:ilvl w:val="0"/>
          <w:numId w:val="2"/>
        </w:numPr>
      </w:pPr>
      <w:r>
        <w:rPr>
          <w:rFonts w:ascii="Arial" w:cs="Arial" w:eastAsia="Arial" w:hAnsi="Arial"/>
          <w:sz w:val="22"/>
          <w:szCs w:val="22"/>
        </w:rPr>
        <w:t xml:space="preserve">The Grumpkin embedded curve provides standard discrete-log hardness (~127-bit security).</w:t>
      </w:r>
    </w:p>
    <w:p>
      <w:pPr>
        <w:pStyle w:val="ListParagraph"/>
        <w:numPr>
          <w:ilvl w:val="0"/>
          <w:numId w:val="2"/>
        </w:numPr>
      </w:pPr>
      <w:r>
        <w:rPr>
          <w:rFonts w:ascii="Arial" w:cs="Arial" w:eastAsia="Arial" w:hAnsi="Arial"/>
          <w:sz w:val="22"/>
          <w:szCs w:val="22"/>
        </w:rPr>
        <w:t xml:space="preserve">The BLAKE3 hash function is collision-resistant and pseudorandom.</w:t>
      </w:r>
    </w:p>
    <w:p>
      <w:pPr>
        <w:pStyle w:val="ListParagraph"/>
        <w:numPr>
          <w:ilvl w:val="0"/>
          <w:numId w:val="2"/>
        </w:numPr>
      </w:pPr>
      <w:r>
        <w:rPr>
          <w:rFonts w:ascii="Arial" w:cs="Arial" w:eastAsia="Arial" w:hAnsi="Arial"/>
          <w:sz w:val="22"/>
          <w:szCs w:val="22"/>
        </w:rPr>
        <w:t xml:space="preserve">The build-time circuit hash (BLAKE3 of compiled JSON, baked via build.rs) ensures the binary refuses to run against a swapped or tampered circuit artifact.</w:t>
      </w:r>
    </w:p>
    <w:p>
      <w:r>
        <w:br w:type="page"/>
      </w:r>
    </w:p>
    <w:p>
      <w:pPr>
        <w:pStyle w:val="Heading1"/>
      </w:pPr>
      <w:r>
        <w:rPr>
          <w:rFonts w:ascii="Arial" w:cs="Arial" w:eastAsia="Arial" w:hAnsi="Arial"/>
        </w:rPr>
        <w:t xml:space="preserve">5. Test Coverage Summary</w:t>
      </w:r>
    </w:p>
    <w:p>
      <w:pPr>
        <w:spacing w:after="120"/>
      </w:pPr>
      <w:r>
        <w:rPr>
          <w:rFonts w:ascii="Arial" w:cs="Arial" w:eastAsia="Arial" w:hAnsi="Arial"/>
          <w:sz w:val="22"/>
          <w:szCs w:val="22"/>
        </w:rPr>
        <w:t xml:space="preserve">The protocol is validated by 67 tests across two language runtimes. Every circuit constraint has at least one dedicated negative test that tampers exactly one witness field and verifies the expected assertion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Test Suite</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Count</w:t>
            </w:r>
          </w:p>
        </w:tc>
        <w:tc>
          <w:tcPr>
            <w:tcW w:type="dxa" w:w="3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Noir Circuit (nargo test)</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main.nr</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4 positive + 19 negative = 23</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Every constraint step has at least one dedicated should_fail test.</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Noir Unit (nargo test)</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note.nr</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13</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commitment, nullifier, value range, derive_pk, assert_ownership (incl. 4 negative).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Rust Unit (cargo test)</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lib.rs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29</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msgpack encoding (8), FE padding (2), version checks (2), str_to_field (3), HD derivation (8+1 parity).</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Rust Integration</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witness_compatibility.rs</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2</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Byte-exact parity with nargo reference witness + version rejection.</w:t>
            </w:r>
          </w:p>
        </w:tc>
      </w:tr>
    </w:tbl>
    <w:p>
      <w:pPr>
        <w:spacing w:after="200"/>
      </w:pPr>
    </w:p>
    <w:p>
      <w:pPr>
        <w:pStyle w:val="Heading2"/>
      </w:pPr>
      <w:r>
        <w:rPr>
          <w:rFonts w:ascii="Arial" w:cs="Arial" w:eastAsia="Arial" w:hAnsi="Arial"/>
        </w:rPr>
        <w:t xml:space="preserve">5.1 Negative Test Methodology</w:t>
      </w:r>
    </w:p>
    <w:p>
      <w:pPr>
        <w:spacing w:after="120"/>
      </w:pPr>
      <w:r>
        <w:rPr>
          <w:rFonts w:ascii="Arial" w:cs="Arial" w:eastAsia="Arial" w:hAnsi="Arial"/>
          <w:sz w:val="22"/>
          <w:szCs w:val="22"/>
        </w:rPr>
        <w:t xml:space="preserve">Each negative test in main.nr follows a consistent pattern: build_valid_witness() constructs a complete, passing baseline with two input notes at sparse Merkle tree positions 0 and 1, four distinct spending keys, and proper value conservation (100 + 50 = 130 + 20 + 0 fee). The test then tampers exactly one element and calls call_main(w). Noir's #[test(should_fail_with = "...")] attribute verifies the circuit rejects with the expected assertion message.</w:t>
      </w:r>
    </w:p>
    <w:p>
      <w:pPr>
        <w:spacing w:after="120"/>
      </w:pPr>
      <w:r>
        <w:rPr>
          <w:rFonts w:ascii="Arial" w:cs="Arial" w:eastAsia="Arial" w:hAnsi="Arial"/>
          <w:sz w:val="22"/>
          <w:szCs w:val="22"/>
        </w:rPr>
        <w:t xml:space="preserve">Where tampering one field would trigger an earlier constraint (e.g., changing sk would break nullifier binding before ownership is checked), the test explicitly recomputes dependent values so that only the targeted constraint fires. This ensures each test validates one and only one constraint.</w:t>
      </w:r>
    </w:p>
    <w:p>
      <w:pPr>
        <w:pStyle w:val="Heading2"/>
      </w:pPr>
      <w:r>
        <w:rPr>
          <w:rFonts w:ascii="Arial" w:cs="Arial" w:eastAsia="Arial" w:hAnsi="Arial"/>
        </w:rPr>
        <w:t xml:space="preserve">5.2 Constraint Coverage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600"/>
        <w:gridCol w:w="2860"/>
      </w:tblGrid>
      <w:tr>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Constraint</w:t>
            </w:r>
          </w:p>
        </w:tc>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Positive Test(s)</w:t>
            </w:r>
          </w:p>
        </w:tc>
        <w:tc>
          <w:tcPr>
            <w:tcW w:type="dxa" w:w="28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Negative Test(s)</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Value Range</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range_check_max_u64</w:t>
            </w:r>
          </w:p>
        </w:tc>
        <w:tc>
          <w:tcPr>
            <w:tcW w:type="dxa" w:w="2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reject_overflow_input, reject_overflow_output, reject_overflow_fee</w:t>
            </w:r>
          </w:p>
        </w:tc>
      </w:tr>
      <w:tr>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4</w:t>
            </w:r>
          </w:p>
        </w:tc>
        <w:tc>
          <w:tcPr>
            <w:tcW w:type="dxa" w:w="2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Merkle Membership</w:t>
            </w:r>
          </w:p>
        </w:tc>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valid_transfer_passes</w:t>
            </w:r>
          </w:p>
        </w:tc>
        <w:tc>
          <w:tcPr>
            <w:tcW w:type="dxa" w:w="28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reject_bad_merkle_path_1, reject_bad_merkle_path_2, reject_wrong_merkle_root</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5</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Nullifier Binding</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valid_transfer_passes</w:t>
            </w:r>
          </w:p>
        </w:tc>
        <w:tc>
          <w:tcPr>
            <w:tcW w:type="dxa" w:w="2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reject_wrong_nullifier_1, reject_wrong_nullifier_2</w:t>
            </w:r>
          </w:p>
        </w:tc>
      </w:tr>
      <w:tr>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6</w:t>
            </w:r>
          </w:p>
        </w:tc>
        <w:tc>
          <w:tcPr>
            <w:tcW w:type="dxa" w:w="2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Nullifier Uniqueness</w:t>
            </w:r>
          </w:p>
        </w:tc>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valid_transfer_passes</w:t>
            </w:r>
          </w:p>
        </w:tc>
        <w:tc>
          <w:tcPr>
            <w:tcW w:type="dxa" w:w="28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reject_duplicate_nullifier</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7</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Key Ownership</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valid_transfer_passes</w:t>
            </w:r>
          </w:p>
        </w:tc>
        <w:tc>
          <w:tcPr>
            <w:tcW w:type="dxa" w:w="2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reject_wrong_sk_1, reject_wrong_sk_2, reject_zero_sk</w:t>
            </w:r>
          </w:p>
        </w:tc>
      </w:tr>
      <w:tr>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8</w:t>
            </w:r>
          </w:p>
        </w:tc>
        <w:tc>
          <w:tcPr>
            <w:tcW w:type="dxa" w:w="2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Output Commitment</w:t>
            </w:r>
          </w:p>
        </w:tc>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valid_transfer_passes</w:t>
            </w:r>
          </w:p>
        </w:tc>
        <w:tc>
          <w:tcPr>
            <w:tcW w:type="dxa" w:w="28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reject_output_cm_mismatch_1, reject_output_cm_mismatch_2</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9</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Output Distinctness</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valid_transfer_passes</w:t>
            </w:r>
          </w:p>
        </w:tc>
        <w:tc>
          <w:tcPr>
            <w:tcW w:type="dxa" w:w="2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reject_duplicate_output_commitments</w:t>
            </w:r>
          </w:p>
        </w:tc>
      </w:tr>
      <w:tr>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10</w:t>
            </w:r>
          </w:p>
        </w:tc>
        <w:tc>
          <w:tcPr>
            <w:tcW w:type="dxa" w:w="2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Value Conservation</w:t>
            </w:r>
          </w:p>
        </w:tc>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value_conservation_arithmetic</w:t>
            </w:r>
          </w:p>
        </w:tc>
        <w:tc>
          <w:tcPr>
            <w:tcW w:type="dxa" w:w="28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reject_value_conservation_violation</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11</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Non-Zero Primary</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valid_transfer_passes</w:t>
            </w:r>
          </w:p>
        </w:tc>
        <w:tc>
          <w:tcPr>
            <w:tcW w:type="dxa" w:w="2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reject_zero_primary_output</w:t>
            </w:r>
          </w:p>
        </w:tc>
      </w:tr>
      <w:tr>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w:t>
            </w:r>
          </w:p>
        </w:tc>
        <w:tc>
          <w:tcPr>
            <w:tcW w:type="dxa" w:w="2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Asset ID Binding</w:t>
            </w:r>
          </w:p>
        </w:tc>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valid_transfer_passes</w:t>
            </w:r>
          </w:p>
        </w:tc>
        <w:tc>
          <w:tcPr>
            <w:tcW w:type="dxa" w:w="28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reject_tampered_asset_id</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Cross-Domain</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valid_transfer_passes</w:t>
            </w:r>
          </w:p>
        </w:tc>
        <w:tc>
          <w:tcPr>
            <w:tcW w:type="dxa" w:w="28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reject_cross_domain_nullifier_as_commitment</w:t>
            </w:r>
          </w:p>
        </w:tc>
      </w:tr>
      <w:tr>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w:t>
            </w:r>
          </w:p>
        </w:tc>
        <w:tc>
          <w:tcPr>
            <w:tcW w:type="dxa" w:w="2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Zero Rho Edge</w:t>
            </w:r>
          </w:p>
        </w:tc>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zero_rho_is_accepted</w:t>
            </w:r>
          </w:p>
        </w:tc>
        <w:tc>
          <w:tcPr>
            <w:tcW w:type="dxa" w:w="28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(positive edge case)</w:t>
            </w:r>
          </w:p>
        </w:tc>
      </w:tr>
    </w:tbl>
    <w:p>
      <w:r>
        <w:br w:type="page"/>
      </w:r>
    </w:p>
    <w:p>
      <w:pPr>
        <w:pStyle w:val="Heading1"/>
      </w:pPr>
      <w:r>
        <w:rPr>
          <w:rFonts w:ascii="Arial" w:cs="Arial" w:eastAsia="Arial" w:hAnsi="Arial"/>
        </w:rPr>
        <w:t xml:space="preserve">6. Threat Model</w:t>
      </w:r>
    </w:p>
    <w:p>
      <w:pPr>
        <w:pStyle w:val="Heading2"/>
      </w:pPr>
      <w:r>
        <w:rPr>
          <w:rFonts w:ascii="Arial" w:cs="Arial" w:eastAsia="Arial" w:hAnsi="Arial"/>
        </w:rPr>
        <w:t xml:space="preserve">6.1 Adversary Capabilities</w:t>
      </w:r>
    </w:p>
    <w:p>
      <w:pPr>
        <w:spacing w:after="120"/>
      </w:pPr>
      <w:r>
        <w:rPr>
          <w:rFonts w:ascii="Arial" w:cs="Arial" w:eastAsia="Arial" w:hAnsi="Arial"/>
          <w:sz w:val="22"/>
          <w:szCs w:val="22"/>
        </w:rPr>
        <w:t xml:space="preserve">The assumed adversary can observe all on-chain data (public inputs, proofs, nullifier set, commitment tree) and can submit arbitrary proofs to the verifier. The adversary cannot break the discrete log assumption on Grumpkin, find collisions in Poseidon2 or BLAKE3, or compromise the trusted setup ceremony for BN254.</w:t>
      </w:r>
    </w:p>
    <w:p>
      <w:pPr>
        <w:pStyle w:val="Heading2"/>
      </w:pPr>
      <w:r>
        <w:rPr>
          <w:rFonts w:ascii="Arial" w:cs="Arial" w:eastAsia="Arial" w:hAnsi="Arial"/>
        </w:rPr>
        <w:t xml:space="preserve">6.2 Attack Surface Analysis</w:t>
      </w:r>
    </w:p>
    <w:p>
      <w:pPr>
        <w:spacing w:after="120"/>
      </w:pPr>
      <w:r>
        <w:rPr>
          <w:rFonts w:ascii="Arial" w:cs="Arial" w:eastAsia="Arial" w:hAnsi="Arial"/>
          <w:b/>
          <w:bCs/>
          <w:sz w:val="22"/>
          <w:szCs w:val="22"/>
        </w:rPr>
        <w:t xml:space="preserve">Token inflation via field overflow: </w:t>
      </w:r>
      <w:r>
        <w:rPr>
          <w:rFonts w:ascii="Arial" w:cs="Arial" w:eastAsia="Arial" w:hAnsi="Arial"/>
          <w:sz w:val="22"/>
          <w:szCs w:val="22"/>
        </w:rPr>
        <w:t xml:space="preserve">Mitigated by Step 1 (value range check). All values are constrained to u64 before any arithmetic. An attacker supplying value = p-1 would cause the truncation check to fail.</w:t>
      </w:r>
    </w:p>
    <w:p>
      <w:pPr>
        <w:spacing w:after="120"/>
      </w:pPr>
      <w:r>
        <w:rPr>
          <w:rFonts w:ascii="Arial" w:cs="Arial" w:eastAsia="Arial" w:hAnsi="Arial"/>
          <w:b/>
          <w:bCs/>
          <w:sz w:val="22"/>
          <w:szCs w:val="22"/>
        </w:rPr>
        <w:t xml:space="preserve">Double-spend (same transaction): </w:t>
      </w:r>
      <w:r>
        <w:rPr>
          <w:rFonts w:ascii="Arial" w:cs="Arial" w:eastAsia="Arial" w:hAnsi="Arial"/>
          <w:sz w:val="22"/>
          <w:szCs w:val="22"/>
        </w:rPr>
        <w:t xml:space="preserve">Mitigated by Step 6 (nullifier uniqueness). Using the same note as both inputs produces nf_1 == nf_2, which is rejected.</w:t>
      </w:r>
    </w:p>
    <w:p>
      <w:pPr>
        <w:spacing w:after="120"/>
      </w:pPr>
      <w:r>
        <w:rPr>
          <w:rFonts w:ascii="Arial" w:cs="Arial" w:eastAsia="Arial" w:hAnsi="Arial"/>
          <w:b/>
          <w:bCs/>
          <w:sz w:val="22"/>
          <w:szCs w:val="22"/>
        </w:rPr>
        <w:t xml:space="preserve">Double-spend (cross-transaction): </w:t>
      </w:r>
      <w:r>
        <w:rPr>
          <w:rFonts w:ascii="Arial" w:cs="Arial" w:eastAsia="Arial" w:hAnsi="Arial"/>
          <w:sz w:val="22"/>
          <w:szCs w:val="22"/>
        </w:rPr>
        <w:t xml:space="preserve">Mitigated by the on-chain nullifier set (out of circuit scope). Each nullifier is published on-chain and checked for uniqueness by the aggregator contract.</w:t>
      </w:r>
    </w:p>
    <w:p>
      <w:pPr>
        <w:spacing w:after="120"/>
      </w:pPr>
      <w:r>
        <w:rPr>
          <w:rFonts w:ascii="Arial" w:cs="Arial" w:eastAsia="Arial" w:hAnsi="Arial"/>
          <w:b/>
          <w:bCs/>
          <w:sz w:val="22"/>
          <w:szCs w:val="22"/>
        </w:rPr>
        <w:t xml:space="preserve">Phantom note spend: </w:t>
      </w:r>
      <w:r>
        <w:rPr>
          <w:rFonts w:ascii="Arial" w:cs="Arial" w:eastAsia="Arial" w:hAnsi="Arial"/>
          <w:sz w:val="22"/>
          <w:szCs w:val="22"/>
        </w:rPr>
        <w:t xml:space="preserve">Mitigated by Step 4 (Merkle membership). The prover must demonstrate a valid authentication path from the note commitment to the current Merkle root.</w:t>
      </w:r>
    </w:p>
    <w:p>
      <w:pPr>
        <w:spacing w:after="120"/>
      </w:pPr>
      <w:r>
        <w:rPr>
          <w:rFonts w:ascii="Arial" w:cs="Arial" w:eastAsia="Arial" w:hAnsi="Arial"/>
          <w:b/>
          <w:bCs/>
          <w:sz w:val="22"/>
          <w:szCs w:val="22"/>
        </w:rPr>
        <w:t xml:space="preserve">Unauthorized spend (stolen preimage): </w:t>
      </w:r>
      <w:r>
        <w:rPr>
          <w:rFonts w:ascii="Arial" w:cs="Arial" w:eastAsia="Arial" w:hAnsi="Arial"/>
          <w:sz w:val="22"/>
          <w:szCs w:val="22"/>
        </w:rPr>
        <w:t xml:space="preserve">Mitigated by Step 7 (key ownership). Even if an attacker learns the note's commitment preimage, they cannot produce a valid proof without the spending key sk, because derive_pk(wrong_sk) != note.pk.</w:t>
      </w:r>
    </w:p>
    <w:p>
      <w:pPr>
        <w:spacing w:after="120"/>
      </w:pPr>
      <w:r>
        <w:rPr>
          <w:rFonts w:ascii="Arial" w:cs="Arial" w:eastAsia="Arial" w:hAnsi="Arial"/>
          <w:b/>
          <w:bCs/>
          <w:sz w:val="22"/>
          <w:szCs w:val="22"/>
        </w:rPr>
        <w:t xml:space="preserve">Output forgery / hidden inflation: </w:t>
      </w:r>
      <w:r>
        <w:rPr>
          <w:rFonts w:ascii="Arial" w:cs="Arial" w:eastAsia="Arial" w:hAnsi="Arial"/>
          <w:sz w:val="22"/>
          <w:szCs w:val="22"/>
        </w:rPr>
        <w:t xml:space="preserve">Mitigated by Step 8 (output commitment binding). The public output commitments are recomputed from private note fields inside the circuit and compared to the declared values.</w:t>
      </w:r>
    </w:p>
    <w:p>
      <w:pPr>
        <w:spacing w:after="120"/>
      </w:pPr>
      <w:r>
        <w:rPr>
          <w:rFonts w:ascii="Arial" w:cs="Arial" w:eastAsia="Arial" w:hAnsi="Arial"/>
          <w:b/>
          <w:bCs/>
          <w:sz w:val="22"/>
          <w:szCs w:val="22"/>
        </w:rPr>
        <w:t xml:space="preserve">Cross-domain collision (nf == cm): </w:t>
      </w:r>
      <w:r>
        <w:rPr>
          <w:rFonts w:ascii="Arial" w:cs="Arial" w:eastAsia="Arial" w:hAnsi="Arial"/>
          <w:sz w:val="22"/>
          <w:szCs w:val="22"/>
        </w:rPr>
        <w:t xml:space="preserve">Mitigated by domain separation. Nullifiers use hash_3(NULLIFIER_DOMAIN=1, ...) while commitments use hash_7(COMMITMENT_DOMAIN=2, ...). Different domain constants plus different absorption phases make collisions computationally infeasible.</w:t>
      </w:r>
    </w:p>
    <w:p>
      <w:pPr>
        <w:spacing w:after="120"/>
      </w:pPr>
      <w:r>
        <w:rPr>
          <w:rFonts w:ascii="Arial" w:cs="Arial" w:eastAsia="Arial" w:hAnsi="Arial"/>
          <w:b/>
          <w:bCs/>
          <w:sz w:val="22"/>
          <w:szCs w:val="22"/>
        </w:rPr>
        <w:t xml:space="preserve">Circuit swap attack: </w:t>
      </w:r>
      <w:r>
        <w:rPr>
          <w:rFonts w:ascii="Arial" w:cs="Arial" w:eastAsia="Arial" w:hAnsi="Arial"/>
          <w:sz w:val="22"/>
          <w:szCs w:val="22"/>
        </w:rPr>
        <w:t xml:space="preserve">Mitigated by compile-time circuit hash verification. build.rs computes BLAKE3(circuit JSON) and bakes it into the binary. At runtime, the prover recomputes the hash and refuses to run on a mismatch.</w:t>
      </w:r>
    </w:p>
    <w:p>
      <w:pPr>
        <w:spacing w:after="120"/>
      </w:pPr>
      <w:r>
        <w:rPr>
          <w:rFonts w:ascii="Arial" w:cs="Arial" w:eastAsia="Arial" w:hAnsi="Arial"/>
          <w:b/>
          <w:bCs/>
          <w:sz w:val="22"/>
          <w:szCs w:val="22"/>
        </w:rPr>
        <w:t xml:space="preserve">Noir version mismatch: </w:t>
      </w:r>
      <w:r>
        <w:rPr>
          <w:rFonts w:ascii="Arial" w:cs="Arial" w:eastAsia="Arial" w:hAnsi="Arial"/>
          <w:sz w:val="22"/>
          <w:szCs w:val="22"/>
        </w:rPr>
        <w:t xml:space="preserve">Mitigated by version pinning. The prover checks the circuit artifact's noir_version against SUPPORTED_NOIR_VERSIONS and rejects unsupported versions with a remediation message.</w:t>
      </w:r>
    </w:p>
    <w:p>
      <w:r>
        <w:br w:type="page"/>
      </w:r>
    </w:p>
    <w:p>
      <w:pPr>
        <w:pStyle w:val="Heading1"/>
      </w:pPr>
      <w:r>
        <w:rPr>
          <w:rFonts w:ascii="Arial" w:cs="Arial" w:eastAsia="Arial" w:hAnsi="Arial"/>
        </w:rPr>
        <w:t xml:space="preserve">7. Residual Risks and Mitigations</w:t>
      </w:r>
    </w:p>
    <w:p>
      <w:pPr>
        <w:pStyle w:val="Heading2"/>
      </w:pPr>
      <w:r>
        <w:rPr>
          <w:rFonts w:ascii="Arial" w:cs="Arial" w:eastAsia="Arial" w:hAnsi="Arial"/>
        </w:rPr>
        <w:t xml:space="preserve">7.1 SSD Wear-Levelling</w:t>
      </w:r>
    </w:p>
    <w:p>
      <w:pPr>
        <w:spacing w:after="120"/>
      </w:pPr>
      <w:r>
        <w:rPr>
          <w:rFonts w:ascii="Arial" w:cs="Arial" w:eastAsia="Arial" w:hAnsi="Arial"/>
          <w:b/>
          <w:bCs/>
          <w:sz w:val="22"/>
          <w:szCs w:val="22"/>
        </w:rPr>
        <w:t xml:space="preserve">Risk: </w:t>
      </w:r>
      <w:r>
        <w:rPr>
          <w:rFonts w:ascii="Arial" w:cs="Arial" w:eastAsia="Arial" w:hAnsi="Arial"/>
          <w:sz w:val="22"/>
          <w:szCs w:val="22"/>
        </w:rPr>
        <w:t xml:space="preserve">The 3-pass secure_delete function overwrites the witness file's logical sectors, but SSD controllers may retain prior copies of the data in spare pages due to wear-levelling. An attacker with physical access to the storage device could potentially recover witness data using forensic tools.</w:t>
      </w:r>
    </w:p>
    <w:p>
      <w:pPr>
        <w:spacing w:after="120"/>
      </w:pPr>
      <w:r>
        <w:rPr>
          <w:rFonts w:ascii="Arial" w:cs="Arial" w:eastAsia="Arial" w:hAnsi="Arial"/>
          <w:b/>
          <w:bCs/>
          <w:sz w:val="22"/>
          <w:szCs w:val="22"/>
        </w:rPr>
        <w:t xml:space="preserve">Mitigation: </w:t>
      </w:r>
      <w:r>
        <w:rPr>
          <w:rFonts w:ascii="Arial" w:cs="Arial" w:eastAsia="Arial" w:hAnsi="Arial"/>
          <w:sz w:val="22"/>
          <w:szCs w:val="22"/>
        </w:rPr>
        <w:t xml:space="preserve">This is defense-in-depth. The witness file contains solved witness values (field elements), not raw spending keys. The spending key is derived in-process and never serialized to disk. For production, consider: (a) using an encrypted tmpfs for the witness file, (b) full-disk encryption, or (c) moving witness serialization entirely to memory (pass via pipe to bb rather than temp file).</w:t>
      </w:r>
    </w:p>
    <w:p>
      <w:pPr>
        <w:pStyle w:val="Heading2"/>
      </w:pPr>
      <w:r>
        <w:rPr>
          <w:rFonts w:ascii="Arial" w:cs="Arial" w:eastAsia="Arial" w:hAnsi="Arial"/>
        </w:rPr>
        <w:t xml:space="preserve">7.2 Python GC Copies of Key Material</w:t>
      </w:r>
    </w:p>
    <w:p>
      <w:pPr>
        <w:spacing w:after="120"/>
      </w:pPr>
      <w:r>
        <w:rPr>
          <w:rFonts w:ascii="Arial" w:cs="Arial" w:eastAsia="Arial" w:hAnsi="Arial"/>
          <w:b/>
          <w:bCs/>
          <w:sz w:val="22"/>
          <w:szCs w:val="22"/>
        </w:rPr>
        <w:t xml:space="preserve">Risk: </w:t>
      </w:r>
      <w:r>
        <w:rPr>
          <w:rFonts w:ascii="Arial" w:cs="Arial" w:eastAsia="Arial" w:hAnsi="Arial"/>
          <w:sz w:val="22"/>
          <w:szCs w:val="22"/>
        </w:rPr>
        <w:t xml:space="preserve">The Python wallet layer (secure_key_manager.py) handles the BIP-39 mnemonic and master seed. Python's garbage collector may leave copies of sensitive strings in freed heap memory. The ctypes-based mlock and explicit zeroing in the Python layer are best-effort but not guaranteed.</w:t>
      </w:r>
    </w:p>
    <w:p>
      <w:pPr>
        <w:spacing w:after="120"/>
      </w:pPr>
      <w:r>
        <w:rPr>
          <w:rFonts w:ascii="Arial" w:cs="Arial" w:eastAsia="Arial" w:hAnsi="Arial"/>
          <w:b/>
          <w:bCs/>
          <w:sz w:val="22"/>
          <w:szCs w:val="22"/>
        </w:rPr>
        <w:t xml:space="preserve">Mitigation: </w:t>
      </w:r>
      <w:r>
        <w:rPr>
          <w:rFonts w:ascii="Arial" w:cs="Arial" w:eastAsia="Arial" w:hAnsi="Arial"/>
          <w:sz w:val="22"/>
          <w:szCs w:val="22"/>
        </w:rPr>
        <w:t xml:space="preserve">For production, the wallet layer should run inside an OS-level enclave (SGX, TrustZone) or use a hardware security module. The Rust prover side uses the zeroize crate with Drop-based guarantees, which is more reliable than Python's manual memory management.</w:t>
      </w:r>
    </w:p>
    <w:p>
      <w:pPr>
        <w:pStyle w:val="Heading2"/>
      </w:pPr>
      <w:r>
        <w:rPr>
          <w:rFonts w:ascii="Arial" w:cs="Arial" w:eastAsia="Arial" w:hAnsi="Arial"/>
        </w:rPr>
        <w:t xml:space="preserve">7.3 Side-Channel Leakage</w:t>
      </w:r>
    </w:p>
    <w:p>
      <w:pPr>
        <w:spacing w:after="120"/>
      </w:pPr>
      <w:r>
        <w:rPr>
          <w:rFonts w:ascii="Arial" w:cs="Arial" w:eastAsia="Arial" w:hAnsi="Arial"/>
          <w:b/>
          <w:bCs/>
          <w:sz w:val="22"/>
          <w:szCs w:val="22"/>
        </w:rPr>
        <w:t xml:space="preserve">Risk: </w:t>
      </w:r>
      <w:r>
        <w:rPr>
          <w:rFonts w:ascii="Arial" w:cs="Arial" w:eastAsia="Arial" w:hAnsi="Arial"/>
          <w:sz w:val="22"/>
          <w:szCs w:val="22"/>
        </w:rPr>
        <w:t xml:space="preserve">Timing side channels during witness solving or key derivation could theoretically leak information about private inputs. BLAKE3 and Poseidon2 are not specifically designed for constant-time execution on all platforms.</w:t>
      </w:r>
    </w:p>
    <w:p>
      <w:pPr>
        <w:spacing w:after="120"/>
      </w:pPr>
      <w:r>
        <w:rPr>
          <w:rFonts w:ascii="Arial" w:cs="Arial" w:eastAsia="Arial" w:hAnsi="Arial"/>
          <w:b/>
          <w:bCs/>
          <w:sz w:val="22"/>
          <w:szCs w:val="22"/>
        </w:rPr>
        <w:t xml:space="preserve">Mitigation: </w:t>
      </w:r>
      <w:r>
        <w:rPr>
          <w:rFonts w:ascii="Arial" w:cs="Arial" w:eastAsia="Arial" w:hAnsi="Arial"/>
          <w:sz w:val="22"/>
          <w:szCs w:val="22"/>
        </w:rPr>
        <w:t xml:space="preserve">The prover runs locally (not on a shared server), which limits remote timing attacks. For production deployment on shared infrastructure, the prove operation should be isolated in a confidential computing environment.</w:t>
      </w:r>
    </w:p>
    <w:p>
      <w:pPr>
        <w:pStyle w:val="Heading2"/>
      </w:pPr>
      <w:r>
        <w:rPr>
          <w:rFonts w:ascii="Arial" w:cs="Arial" w:eastAsia="Arial" w:hAnsi="Arial"/>
        </w:rPr>
        <w:t xml:space="preserve">7.4 Witness Solver Correctness</w:t>
      </w:r>
    </w:p>
    <w:p>
      <w:pPr>
        <w:spacing w:after="120"/>
      </w:pPr>
      <w:r>
        <w:rPr>
          <w:rFonts w:ascii="Arial" w:cs="Arial" w:eastAsia="Arial" w:hAnsi="Arial"/>
          <w:b/>
          <w:bCs/>
          <w:sz w:val="22"/>
          <w:szCs w:val="22"/>
        </w:rPr>
        <w:t xml:space="preserve">Risk: </w:t>
      </w:r>
      <w:r>
        <w:rPr>
          <w:rFonts w:ascii="Arial" w:cs="Arial" w:eastAsia="Arial" w:hAnsi="Arial"/>
          <w:sz w:val="22"/>
          <w:szCs w:val="22"/>
        </w:rPr>
        <w:t xml:space="preserve">The ACVM witness solver is a complex piece of software. A bug in ACVM could produce a valid-looking witness that doesn't actually satisfy all constraints, which Barretenberg would then reject at proof time.</w:t>
      </w:r>
    </w:p>
    <w:p>
      <w:pPr>
        <w:spacing w:after="120"/>
      </w:pPr>
      <w:r>
        <w:rPr>
          <w:rFonts w:ascii="Arial" w:cs="Arial" w:eastAsia="Arial" w:hAnsi="Arial"/>
          <w:b/>
          <w:bCs/>
          <w:sz w:val="22"/>
          <w:szCs w:val="22"/>
        </w:rPr>
        <w:t xml:space="preserve">Mitigation: </w:t>
      </w:r>
      <w:r>
        <w:rPr>
          <w:rFonts w:ascii="Arial" w:cs="Arial" w:eastAsia="Arial" w:hAnsi="Arial"/>
          <w:sz w:val="22"/>
          <w:szCs w:val="22"/>
        </w:rPr>
        <w:t xml:space="preserve">The integration test (witness_compatibility.rs) verifies byte-exact parity between the Rust solver and nargo's reference implementation. The bb prove --verify flag ensures every proof is self-verified before being returned. The 19 negative circuit tests confirm that invalid witnesses are correctly rejected.</w:t>
      </w:r>
    </w:p>
    <w:p>
      <w:pPr>
        <w:pStyle w:val="Heading2"/>
      </w:pPr>
      <w:r>
        <w:rPr>
          <w:rFonts w:ascii="Arial" w:cs="Arial" w:eastAsia="Arial" w:hAnsi="Arial"/>
        </w:rPr>
        <w:t xml:space="preserve">7.5 Trusted Setup</w:t>
      </w:r>
    </w:p>
    <w:p>
      <w:pPr>
        <w:spacing w:after="120"/>
      </w:pPr>
      <w:r>
        <w:rPr>
          <w:rFonts w:ascii="Arial" w:cs="Arial" w:eastAsia="Arial" w:hAnsi="Arial"/>
          <w:b/>
          <w:bCs/>
          <w:sz w:val="22"/>
          <w:szCs w:val="22"/>
        </w:rPr>
        <w:t xml:space="preserve">Risk: </w:t>
      </w:r>
      <w:r>
        <w:rPr>
          <w:rFonts w:ascii="Arial" w:cs="Arial" w:eastAsia="Arial" w:hAnsi="Arial"/>
          <w:sz w:val="22"/>
          <w:szCs w:val="22"/>
        </w:rPr>
        <w:t xml:space="preserve">UltraHonk's proving system relies on structured reference strings from a trusted setup ceremony. If the ceremony was compromised, an attacker could forge proofs.</w:t>
      </w:r>
    </w:p>
    <w:p>
      <w:pPr>
        <w:spacing w:after="120"/>
      </w:pPr>
      <w:r>
        <w:rPr>
          <w:rFonts w:ascii="Arial" w:cs="Arial" w:eastAsia="Arial" w:hAnsi="Arial"/>
          <w:b/>
          <w:bCs/>
          <w:sz w:val="22"/>
          <w:szCs w:val="22"/>
        </w:rPr>
        <w:t xml:space="preserve">Mitigation: </w:t>
      </w:r>
      <w:r>
        <w:rPr>
          <w:rFonts w:ascii="Arial" w:cs="Arial" w:eastAsia="Arial" w:hAnsi="Arial"/>
          <w:sz w:val="22"/>
          <w:szCs w:val="22"/>
        </w:rPr>
        <w:t xml:space="preserve">Barretenberg uses the Aztec/Ethereum community trusted setup. For production, the protocol should verify the ceremony transcript and consider participating in future setup ceremonies. The MERKLE_DEPTH=32 constant is tied to the setup; changing it requires a new ceremony.</w:t>
      </w:r>
    </w:p>
    <w:p>
      <w:r>
        <w:br w:type="page"/>
      </w:r>
    </w:p>
    <w:p>
      <w:pPr>
        <w:pStyle w:val="Heading1"/>
      </w:pPr>
      <w:r>
        <w:rPr>
          <w:rFonts w:ascii="Arial" w:cs="Arial" w:eastAsia="Arial" w:hAnsi="Arial"/>
        </w:rPr>
        <w:t xml:space="preserve">8. Deferred to Production</w:t>
      </w:r>
    </w:p>
    <w:p>
      <w:pPr>
        <w:spacing w:after="120"/>
      </w:pPr>
      <w:r>
        <w:rPr>
          <w:rFonts w:ascii="Arial" w:cs="Arial" w:eastAsia="Arial" w:hAnsi="Arial"/>
          <w:sz w:val="22"/>
          <w:szCs w:val="22"/>
        </w:rPr>
        <w:t xml:space="preserve">The following security hardening measures are identified but deferred beyond MVP Phase 1:</w:t>
      </w:r>
    </w:p>
    <w:p>
      <w:pPr>
        <w:pStyle w:val="ListParagraph"/>
        <w:numPr>
          <w:ilvl w:val="0"/>
          <w:numId w:val="2"/>
        </w:numPr>
      </w:pPr>
      <w:r>
        <w:rPr>
          <w:rFonts w:ascii="Arial" w:cs="Arial" w:eastAsia="Arial" w:hAnsi="Arial"/>
          <w:sz w:val="22"/>
          <w:szCs w:val="22"/>
        </w:rPr>
        <w:t xml:space="preserve">Enclave-based key management: Move mnemonic handling and key derivation into an SGX/TrustZone enclave or HSM to eliminate Python GC and OS-level memory exposure risks.</w:t>
      </w:r>
    </w:p>
    <w:p>
      <w:pPr>
        <w:pStyle w:val="ListParagraph"/>
        <w:numPr>
          <w:ilvl w:val="0"/>
          <w:numId w:val="2"/>
        </w:numPr>
      </w:pPr>
      <w:r>
        <w:rPr>
          <w:rFonts w:ascii="Arial" w:cs="Arial" w:eastAsia="Arial" w:hAnsi="Arial"/>
          <w:sz w:val="22"/>
          <w:szCs w:val="22"/>
        </w:rPr>
        <w:t xml:space="preserve">Blinded proving: Add a protocol-level blinding factor to prevent correlation between the prover's identity and the proof (relevant when proving is delegated to a third party).</w:t>
      </w:r>
    </w:p>
    <w:p>
      <w:pPr>
        <w:pStyle w:val="ListParagraph"/>
        <w:numPr>
          <w:ilvl w:val="0"/>
          <w:numId w:val="2"/>
        </w:numPr>
      </w:pPr>
      <w:r>
        <w:rPr>
          <w:rFonts w:ascii="Arial" w:cs="Arial" w:eastAsia="Arial" w:hAnsi="Arial"/>
          <w:sz w:val="22"/>
          <w:szCs w:val="22"/>
        </w:rPr>
        <w:t xml:space="preserve">Merkle tree synchronization: Implement a secure, incremental sync protocol for the note commitment tree with inclusion proofs from the aggregator contract.</w:t>
      </w:r>
    </w:p>
    <w:p>
      <w:pPr>
        <w:pStyle w:val="ListParagraph"/>
        <w:numPr>
          <w:ilvl w:val="0"/>
          <w:numId w:val="2"/>
        </w:numPr>
      </w:pPr>
      <w:r>
        <w:rPr>
          <w:rFonts w:ascii="Arial" w:cs="Arial" w:eastAsia="Arial" w:hAnsi="Arial"/>
          <w:sz w:val="22"/>
          <w:szCs w:val="22"/>
        </w:rPr>
        <w:t xml:space="preserve">Transaction graph analysis resistance: Add timing jitter, decoy transactions, or multi-hop routing to prevent statistical linkage of transfers over time.</w:t>
      </w:r>
    </w:p>
    <w:p>
      <w:pPr>
        <w:pStyle w:val="ListParagraph"/>
        <w:numPr>
          <w:ilvl w:val="0"/>
          <w:numId w:val="2"/>
        </w:numPr>
      </w:pPr>
      <w:r>
        <w:rPr>
          <w:rFonts w:ascii="Arial" w:cs="Arial" w:eastAsia="Arial" w:hAnsi="Arial"/>
          <w:sz w:val="22"/>
          <w:szCs w:val="22"/>
        </w:rPr>
        <w:t xml:space="preserve">Memory-only witness pipeline: Replace the temp-file witness handoff to bb with a pipe or shared-memory approach to eliminate disk exposure entirely.</w:t>
      </w:r>
    </w:p>
    <w:p>
      <w:pPr>
        <w:pStyle w:val="ListParagraph"/>
        <w:numPr>
          <w:ilvl w:val="0"/>
          <w:numId w:val="2"/>
        </w:numPr>
      </w:pPr>
      <w:r>
        <w:rPr>
          <w:rFonts w:ascii="Arial" w:cs="Arial" w:eastAsia="Arial" w:hAnsi="Arial"/>
          <w:sz w:val="22"/>
          <w:szCs w:val="22"/>
        </w:rPr>
        <w:t xml:space="preserve">Formal verification: Apply formal methods to the Noir circuit constraints to prove the absence of constraint under-specification beyond what testing can demonstrate.</w:t>
      </w:r>
    </w:p>
    <w:p>
      <w:pPr>
        <w:pStyle w:val="ListParagraph"/>
        <w:numPr>
          <w:ilvl w:val="0"/>
          <w:numId w:val="2"/>
        </w:numPr>
      </w:pPr>
      <w:r>
        <w:rPr>
          <w:rFonts w:ascii="Arial" w:cs="Arial" w:eastAsia="Arial" w:hAnsi="Arial"/>
          <w:sz w:val="22"/>
          <w:szCs w:val="22"/>
        </w:rPr>
        <w:t xml:space="preserve">Multi-asset support: The current circuit binds a single asset_id across all notes. Multi-asset transfers will require circuit modifications and re-audit.</w:t>
      </w:r>
    </w:p>
    <w:p>
      <w:pPr>
        <w:pStyle w:val="ListParagraph"/>
        <w:numPr>
          <w:ilvl w:val="0"/>
          <w:numId w:val="2"/>
        </w:numPr>
      </w:pPr>
      <w:r>
        <w:rPr>
          <w:rFonts w:ascii="Arial" w:cs="Arial" w:eastAsia="Arial" w:hAnsi="Arial"/>
          <w:sz w:val="22"/>
          <w:szCs w:val="22"/>
        </w:rPr>
        <w:t xml:space="preserve">Fee privacy: The fee field is currently a public input. A production system may want to hide the fee inside the proof with a range check.</w:t>
      </w:r>
    </w:p>
    <w:p>
      <w:r>
        <w:br w:type="page"/>
      </w:r>
    </w:p>
    <w:p>
      <w:pPr>
        <w:pStyle w:val="Heading1"/>
      </w:pPr>
      <w:r>
        <w:rPr>
          <w:rFonts w:ascii="Arial" w:cs="Arial" w:eastAsia="Arial" w:hAnsi="Arial"/>
        </w:rPr>
        <w:t xml:space="preserve">9. Dependency Inventory</w:t>
      </w:r>
    </w:p>
    <w:p>
      <w:pPr>
        <w:spacing w:after="120"/>
      </w:pPr>
      <w:r>
        <w:rPr>
          <w:rFonts w:ascii="Arial" w:cs="Arial" w:eastAsia="Arial" w:hAnsi="Arial"/>
          <w:sz w:val="22"/>
          <w:szCs w:val="22"/>
        </w:rPr>
        <w:t xml:space="preserve">All Noir dependencies are pinned to the same git tag (v1.0.0-beta.20) from the Noir monorepo to prevent version skew. The Rust release profile uses fat LTO, single codegen unit, and symbol stripping for a minimal binary.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Dependency</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Version</w:t>
            </w:r>
          </w:p>
        </w:tc>
        <w:tc>
          <w:tcPr>
            <w:tcW w:type="dxa" w:w="5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0"/>
                <w:szCs w:val="20"/>
              </w:rPr>
              <w:t xml:space="preserve">acvm</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v1.0.0-beta.20 (git)</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ACVM witness solver -- executes circuit opcodes</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sz w:val="20"/>
                <w:szCs w:val="20"/>
              </w:rPr>
              <w:t xml:space="preserve">noirc_abi</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v1.0.0-beta.20 (git)</w:t>
            </w:r>
          </w:p>
        </w:tc>
        <w:tc>
          <w:tcPr>
            <w:tcW w:type="dxa" w:w="5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Circuit ABI parsing, JSON-to-WitnessMap encoding</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0"/>
                <w:szCs w:val="20"/>
              </w:rPr>
              <w:t xml:space="preserve">bn254_blackbox_solver</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v1.0.0-beta.20 (git)</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BN254 blackbox: Poseidon2, Grumpkin EC, Schnorr</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sz w:val="20"/>
                <w:szCs w:val="20"/>
              </w:rPr>
              <w:t xml:space="preserve">blake3</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1.x</w:t>
            </w:r>
          </w:p>
        </w:tc>
        <w:tc>
          <w:tcPr>
            <w:tcW w:type="dxa" w:w="5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Circuit hash integrity + HD key derivation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0"/>
                <w:szCs w:val="20"/>
              </w:rPr>
              <w:t xml:space="preserve">zeroize</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1.x (derive)</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Secure memory erasure with Drop semantics</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sz w:val="20"/>
                <w:szCs w:val="20"/>
              </w:rPr>
              <w:t xml:space="preserve">clap</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4.x (derive)</w:t>
            </w:r>
          </w:p>
        </w:tc>
        <w:tc>
          <w:tcPr>
            <w:tcW w:type="dxa" w:w="5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CLI argument parsing (witness/prove subcommands)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0"/>
                <w:szCs w:val="20"/>
              </w:rPr>
              <w:t xml:space="preserve">flate2</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1.x</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Gzip compression for witness serialization</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sz w:val="20"/>
                <w:szCs w:val="20"/>
              </w:rPr>
              <w:t xml:space="preserve">serde / serde_json</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1.x</w:t>
            </w:r>
          </w:p>
        </w:tc>
        <w:tc>
          <w:tcPr>
            <w:tcW w:type="dxa" w:w="5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JSON input deserialization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0"/>
                <w:szCs w:val="20"/>
              </w:rPr>
              <w:t xml:space="preserve">base64</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0.22</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ACIR bytecode decoding from circuit artifact</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sz w:val="20"/>
                <w:szCs w:val="20"/>
              </w:rPr>
              <w:t xml:space="preserve">num-bigint</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0.4</w:t>
            </w:r>
          </w:p>
        </w:tc>
        <w:tc>
          <w:tcPr>
            <w:tcW w:type="dxa" w:w="5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Large decimal to field element conversion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sz w:val="20"/>
                <w:szCs w:val="20"/>
              </w:rPr>
              <w:t xml:space="preserve">Barretenberg (bb)</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4.0-nightly.20260120</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External: UltraHonk proof generation and verification</w:t>
            </w:r>
          </w:p>
        </w:tc>
      </w:tr>
    </w:tbl>
    <w:p>
      <w:r>
        <w:br w:type="page"/>
      </w:r>
    </w:p>
    <w:p>
      <w:pPr>
        <w:pStyle w:val="Heading1"/>
      </w:pPr>
      <w:r>
        <w:rPr>
          <w:rFonts w:ascii="Arial" w:cs="Arial" w:eastAsia="Arial" w:hAnsi="Arial"/>
        </w:rPr>
        <w:t xml:space="preserve">10. Audit Surface -- File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800"/>
        <w:gridCol w:w="4760"/>
      </w:tblGrid>
      <w:tr>
        <w:tc>
          <w:tcPr>
            <w:tcW w:type="dxa" w:w="3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Lines</w:t>
            </w:r>
          </w:p>
        </w:tc>
        <w:tc>
          <w:tcPr>
            <w:tcW w:type="dxa" w:w="4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Responsibility</w:t>
            </w:r>
          </w:p>
        </w:tc>
      </w:tr>
      <w:tr>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obscura-transfer/src/main.nr</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~625</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Transfer circuit: 11 constraint steps, TestWitness infrastructure, 23 tests</w:t>
            </w:r>
          </w:p>
        </w:tc>
      </w:tr>
      <w:tr>
        <w:tc>
          <w:tcPr>
            <w:tcW w:type="dxa" w:w="3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obscura-transfer/src/note.nr</w:t>
            </w:r>
          </w:p>
        </w:tc>
        <w:tc>
          <w:tcPr>
            <w:tcW w:type="dxa" w:w="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~227</w:t>
            </w:r>
          </w:p>
        </w:tc>
        <w:tc>
          <w:tcPr>
            <w:tcW w:type="dxa" w:w="4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Note struct, commitment, nullifier, derive_pk, assert_ownership, 13 tests</w:t>
            </w:r>
          </w:p>
        </w:tc>
      </w:tr>
      <w:tr>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obscura-transfer/src/hash.nr</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~90</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Poseidon2 sponge: p2(), hash_2(), hash_3(), hash_7()</w:t>
            </w:r>
          </w:p>
        </w:tc>
      </w:tr>
      <w:tr>
        <w:tc>
          <w:tcPr>
            <w:tcW w:type="dxa" w:w="3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obscura-transfer/src/constants.nr</w:t>
            </w:r>
          </w:p>
        </w:tc>
        <w:tc>
          <w:tcPr>
            <w:tcW w:type="dxa" w:w="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~26</w:t>
            </w:r>
          </w:p>
        </w:tc>
        <w:tc>
          <w:tcPr>
            <w:tcW w:type="dxa" w:w="4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MERKLE_DEPTH, NOTE_VERSION, VALUE_BITS, domain separators</w:t>
            </w:r>
          </w:p>
        </w:tc>
      </w:tr>
      <w:tr>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obscura-prover/src/lib.rs</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~770</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Library: witness solving, msgpack, HD derivation, 29 unit tests</w:t>
            </w:r>
          </w:p>
        </w:tc>
      </w:tr>
      <w:tr>
        <w:tc>
          <w:tcPr>
            <w:tcW w:type="dxa" w:w="3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obscura-prover/src/main.rs</w:t>
            </w:r>
          </w:p>
        </w:tc>
        <w:tc>
          <w:tcPr>
            <w:tcW w:type="dxa" w:w="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~522</w:t>
            </w:r>
          </w:p>
        </w:tc>
        <w:tc>
          <w:tcPr>
            <w:tcW w:type="dxa" w:w="4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CLI: witness/prove subcommands, HD pipeline, secure_delete</w:t>
            </w:r>
          </w:p>
        </w:tc>
      </w:tr>
      <w:tr>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obscura-prover/build.rs</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~78</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20"/>
                <w:szCs w:val="20"/>
              </w:rPr>
              <w:t xml:space="preserve">Compile-time BLAKE3 circuit hash baking</w:t>
            </w:r>
          </w:p>
        </w:tc>
      </w:tr>
      <w:tr>
        <w:tc>
          <w:tcPr>
            <w:tcW w:type="dxa" w:w="3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obscura-prover/tests/witness_compatibility.rs</w:t>
            </w:r>
          </w:p>
        </w:tc>
        <w:tc>
          <w:tcPr>
            <w:tcW w:type="dxa" w:w="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~153</w:t>
            </w:r>
          </w:p>
        </w:tc>
        <w:tc>
          <w:tcPr>
            <w:tcW w:type="dxa" w:w="47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sz w:val="20"/>
                <w:szCs w:val="20"/>
              </w:rPr>
              <w:t xml:space="preserve">Integration: byte-exact nargo parity, version rejection</w:t>
            </w:r>
          </w:p>
        </w:tc>
      </w:tr>
    </w:tbl>
    <w:p>
      <w:pPr>
        <w:spacing w:after="400"/>
      </w:pPr>
    </w:p>
    <w:p>
      <w:pPr>
        <w:pStyle w:val="Heading1"/>
      </w:pPr>
      <w:r>
        <w:rPr>
          <w:rFonts w:ascii="Arial" w:cs="Arial" w:eastAsia="Arial" w:hAnsi="Arial"/>
        </w:rPr>
        <w:t xml:space="preserve">11. Conclusion</w:t>
      </w:r>
    </w:p>
    <w:p>
      <w:pPr>
        <w:spacing w:after="120"/>
      </w:pPr>
      <w:r>
        <w:rPr>
          <w:rFonts w:ascii="Arial" w:cs="Arial" w:eastAsia="Arial" w:hAnsi="Arial"/>
          <w:sz w:val="22"/>
          <w:szCs w:val="22"/>
        </w:rPr>
        <w:t xml:space="preserve">The Obscura Protocol MVP Phase 1 circuit demonstrates a well-structured constraint set with complete coverage of the attack surface for 2-in/2-out shielded transfers. The 11 constraint steps address all standard UTXO privacy circuit requirements: value integrity, note authenticity, spend authorization, and conservation.</w:t>
      </w:r>
    </w:p>
    <w:p>
      <w:pPr>
        <w:spacing w:after="120"/>
      </w:pPr>
      <w:r>
        <w:rPr>
          <w:rFonts w:ascii="Arial" w:cs="Arial" w:eastAsia="Arial" w:hAnsi="Arial"/>
          <w:sz w:val="22"/>
          <w:szCs w:val="22"/>
        </w:rPr>
        <w:t xml:space="preserve">The supporting Rust infrastructure provides multiple layers of defense: compile-time circuit pinning, version verification, secure memory handling via zeroize, and defense-in-depth secure deletion. The HD key derivation scheme is verified for cross-language parity and uses industry-standard primitives (BIP-39, BLAKE3, BN254 scalar field).</w:t>
      </w:r>
    </w:p>
    <w:p>
      <w:pPr>
        <w:spacing w:after="120"/>
      </w:pPr>
      <w:r>
        <w:rPr>
          <w:rFonts w:ascii="Arial" w:cs="Arial" w:eastAsia="Arial" w:hAnsi="Arial"/>
          <w:sz w:val="22"/>
          <w:szCs w:val="22"/>
        </w:rPr>
        <w:t xml:space="preserve">The test suite achieves 100% constraint coverage with isolated negative tests that validate each constraint independently. The byte-exact witness compatibility test provides confidence that the Rust solver is a faithful reimplementation of nargo's execution model.</w:t>
      </w:r>
    </w:p>
    <w:p>
      <w:pPr>
        <w:spacing w:after="120"/>
      </w:pPr>
      <w:r>
        <w:rPr>
          <w:rFonts w:ascii="Arial" w:cs="Arial" w:eastAsia="Arial" w:hAnsi="Arial"/>
          <w:sz w:val="22"/>
          <w:szCs w:val="22"/>
        </w:rPr>
        <w:t xml:space="preserve">Residual risks are confined to operational concerns that are standard for any zero-knowledge proving system at the MVP stage. The deferred items in Section 8 provide a clear roadmap for production hardening.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Obscura Protocol -- Security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B4F72"/>
      <w:sz w:val="26"/>
      <w:szCs w:val="26"/>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2026-04-17T07:18:12.615Z</dcterms:created>
  <dcterms:modified xsi:type="dcterms:W3CDTF">2026-04-17T07:18:12.615Z</dcterms:modified>
</cp:coreProperties>
</file>

<file path=docProps/custom.xml><?xml version="1.0" encoding="utf-8"?>
<Properties xmlns="http://schemas.openxmlformats.org/officeDocument/2006/custom-properties" xmlns:vt="http://schemas.openxmlformats.org/officeDocument/2006/docPropsVTypes"/>
</file>