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800"/>
        <w:jc w:val="center"/>
      </w:pPr>
      <w:r>
        <w:rPr>
          <w:b/>
          <w:bCs/>
          <w:color w:val="1B1F3B"/>
          <w:sz w:val="64"/>
          <w:szCs w:val="64"/>
        </w:rPr>
        <w:t xml:space="preserve">TRIAC</w:t>
      </w:r>
    </w:p>
    <w:p>
      <w:pPr>
        <w:spacing w:after="100"/>
        <w:jc w:val="center"/>
      </w:pPr>
      <w:r>
        <w:rPr>
          <w:color w:val="555555"/>
          <w:sz w:val="28"/>
          <w:szCs w:val="28"/>
        </w:rPr>
        <w:t xml:space="preserve">$TRI — A Fixed-Supply Payment Token on Solana</w:t>
      </w:r>
    </w:p>
    <w:p>
      <w:pPr>
        <w:spacing w:after="600"/>
        <w:jc w:val="center"/>
      </w:pPr>
      <w:r>
        <w:rPr>
          <w:i/>
          <w:iCs/>
          <w:color w:val="888888"/>
          <w:sz w:val="22"/>
          <w:szCs w:val="22"/>
        </w:rPr>
        <w:t xml:space="preserve">Whitepaper — v1.0 — July 2026</w:t>
      </w:r>
    </w:p>
    <w:p>
      <w:pPr>
        <w:pStyle w:val="Heading1"/>
        <w:spacing w:after="200" w:before="400"/>
      </w:pPr>
      <w:r>
        <w:t xml:space="preserve">1. Introduction</w:t>
      </w:r>
    </w:p>
    <w:p>
      <w:pPr>
        <w:spacing w:after="200"/>
      </w:pPr>
      <w:r>
        <w:t xml:space="preserve">Triac ($TRI) is a fungible token built on the Solana blockchain, designed with a strict, verifiable fixed supply and a focus on fast, low-cost transactions. Triac was created with a simple goal: to explore a transparent, community-first approach to token economics — no hidden minting, no freeze switch over user funds, and a public, on-chain record of every supply-affecting decision.</w:t>
      </w:r>
    </w:p>
    <w:p>
      <w:pPr>
        <w:spacing w:after="200"/>
      </w:pPr>
      <w:r>
        <w:t xml:space="preserve">This document explains what Triac is, how its token mechanics work, what has already been verified on-chain, and what the project intends to build going forward.</w:t>
      </w:r>
    </w:p>
    <w:p>
      <w:pPr>
        <w:pStyle w:val="Heading1"/>
        <w:spacing w:after="200" w:before="400"/>
      </w:pPr>
      <w:r>
        <w:t xml:space="preserve">2. Key Facts</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3600"/>
        <w:gridCol w:w="6000"/>
      </w:tblGrid>
      <w:tr>
        <w:tc>
          <w:tcPr>
            <w:tcW w:type="dxa" w:w="3600"/>
            <w:shd w:fill="F2F2F2" w:val="clear"/>
          </w:tcPr>
          <w:p>
            <w:r>
              <w:rPr>
                <w:b/>
                <w:bCs/>
              </w:rPr>
              <w:t xml:space="preserve">Token Name</w:t>
            </w:r>
          </w:p>
        </w:tc>
        <w:tc>
          <w:tcPr>
            <w:tcW w:type="dxa" w:w="6000"/>
          </w:tcPr>
          <w:p>
            <w:r>
              <w:t xml:space="preserve">Triac</w:t>
            </w:r>
          </w:p>
        </w:tc>
      </w:tr>
      <w:tr>
        <w:tc>
          <w:tcPr>
            <w:tcW w:type="dxa" w:w="3600"/>
            <w:shd w:fill="F2F2F2" w:val="clear"/>
          </w:tcPr>
          <w:p>
            <w:r>
              <w:rPr>
                <w:b/>
                <w:bCs/>
              </w:rPr>
              <w:t xml:space="preserve">Symbol</w:t>
            </w:r>
          </w:p>
        </w:tc>
        <w:tc>
          <w:tcPr>
            <w:tcW w:type="dxa" w:w="6000"/>
          </w:tcPr>
          <w:p>
            <w:r>
              <w:t xml:space="preserve">TRI</w:t>
            </w:r>
          </w:p>
        </w:tc>
      </w:tr>
      <w:tr>
        <w:tc>
          <w:tcPr>
            <w:tcW w:type="dxa" w:w="3600"/>
            <w:shd w:fill="F2F2F2" w:val="clear"/>
          </w:tcPr>
          <w:p>
            <w:r>
              <w:rPr>
                <w:b/>
                <w:bCs/>
              </w:rPr>
              <w:t xml:space="preserve">Blockchain</w:t>
            </w:r>
          </w:p>
        </w:tc>
        <w:tc>
          <w:tcPr>
            <w:tcW w:type="dxa" w:w="6000"/>
          </w:tcPr>
          <w:p>
            <w:r>
              <w:t xml:space="preserve">Solana (Mainnet)</w:t>
            </w:r>
          </w:p>
        </w:tc>
      </w:tr>
      <w:tr>
        <w:tc>
          <w:tcPr>
            <w:tcW w:type="dxa" w:w="3600"/>
            <w:shd w:fill="F2F2F2" w:val="clear"/>
          </w:tcPr>
          <w:p>
            <w:r>
              <w:rPr>
                <w:b/>
                <w:bCs/>
              </w:rPr>
              <w:t xml:space="preserve">Token Standard</w:t>
            </w:r>
          </w:p>
        </w:tc>
        <w:tc>
          <w:tcPr>
            <w:tcW w:type="dxa" w:w="6000"/>
          </w:tcPr>
          <w:p>
            <w:r>
              <w:t xml:space="preserve">SPL Token (classic)</w:t>
            </w:r>
          </w:p>
        </w:tc>
      </w:tr>
      <w:tr>
        <w:tc>
          <w:tcPr>
            <w:tcW w:type="dxa" w:w="3600"/>
            <w:shd w:fill="F2F2F2" w:val="clear"/>
          </w:tcPr>
          <w:p>
            <w:r>
              <w:rPr>
                <w:b/>
                <w:bCs/>
              </w:rPr>
              <w:t xml:space="preserve">Total Supply</w:t>
            </w:r>
          </w:p>
        </w:tc>
        <w:tc>
          <w:tcPr>
            <w:tcW w:type="dxa" w:w="6000"/>
          </w:tcPr>
          <w:p>
            <w:r>
              <w:t xml:space="preserve">21,000,000 TRI (fixed)</w:t>
            </w:r>
          </w:p>
        </w:tc>
      </w:tr>
      <w:tr>
        <w:tc>
          <w:tcPr>
            <w:tcW w:type="dxa" w:w="3600"/>
            <w:shd w:fill="F2F2F2" w:val="clear"/>
          </w:tcPr>
          <w:p>
            <w:r>
              <w:rPr>
                <w:b/>
                <w:bCs/>
              </w:rPr>
              <w:t xml:space="preserve">Decimals</w:t>
            </w:r>
          </w:p>
        </w:tc>
        <w:tc>
          <w:tcPr>
            <w:tcW w:type="dxa" w:w="6000"/>
          </w:tcPr>
          <w:p>
            <w:r>
              <w:t xml:space="preserve">9</w:t>
            </w:r>
          </w:p>
        </w:tc>
      </w:tr>
      <w:tr>
        <w:tc>
          <w:tcPr>
            <w:tcW w:type="dxa" w:w="3600"/>
            <w:shd w:fill="F2F2F2" w:val="clear"/>
          </w:tcPr>
          <w:p>
            <w:r>
              <w:rPr>
                <w:b/>
                <w:bCs/>
              </w:rPr>
              <w:t xml:space="preserve">Mint Authority</w:t>
            </w:r>
          </w:p>
        </w:tc>
        <w:tc>
          <w:tcPr>
            <w:tcW w:type="dxa" w:w="6000"/>
          </w:tcPr>
          <w:p>
            <w:r>
              <w:t xml:space="preserve">Disabled — permanently, no further TRI can ever be created</w:t>
            </w:r>
          </w:p>
        </w:tc>
      </w:tr>
      <w:tr>
        <w:tc>
          <w:tcPr>
            <w:tcW w:type="dxa" w:w="3600"/>
            <w:shd w:fill="F2F2F2" w:val="clear"/>
          </w:tcPr>
          <w:p>
            <w:r>
              <w:rPr>
                <w:b/>
                <w:bCs/>
              </w:rPr>
              <w:t xml:space="preserve">Freeze Authority</w:t>
            </w:r>
          </w:p>
        </w:tc>
        <w:tc>
          <w:tcPr>
            <w:tcW w:type="dxa" w:w="6000"/>
          </w:tcPr>
          <w:p>
            <w:r>
              <w:t xml:space="preserve">Never enabled — no address can ever be frozen</w:t>
            </w:r>
          </w:p>
        </w:tc>
      </w:tr>
      <w:tr>
        <w:tc>
          <w:tcPr>
            <w:tcW w:type="dxa" w:w="3600"/>
            <w:shd w:fill="F2F2F2" w:val="clear"/>
          </w:tcPr>
          <w:p>
            <w:r>
              <w:rPr>
                <w:b/>
                <w:bCs/>
              </w:rPr>
              <w:t xml:space="preserve">Mint Address</w:t>
            </w:r>
          </w:p>
        </w:tc>
        <w:tc>
          <w:tcPr>
            <w:tcW w:type="dxa" w:w="6000"/>
          </w:tcPr>
          <w:p>
            <w:r>
              <w:t xml:space="preserve">2wdpJ9jx6MscrAbtfuAFNYG8a5vYgtZggBdVu9gKLCH3</w:t>
            </w:r>
          </w:p>
        </w:tc>
      </w:tr>
    </w:tbl>
    <w:p>
      <w:pPr>
        <w:spacing w:after="200"/>
      </w:pPr>
      <w:r>
        <w:rPr>
          <w:i/>
          <w:iCs/>
        </w:rPr>
        <w:t xml:space="preserve">All of the above can be independently verified at any time on Solscan or Solana Explorer using the mint address above. This is not a claim to take on trust — it is a permanent, public property of the token itself.</w:t>
      </w:r>
    </w:p>
    <w:p>
      <w:pPr>
        <w:pStyle w:val="Heading1"/>
        <w:spacing w:after="200" w:before="400"/>
      </w:pPr>
      <w:r>
        <w:t xml:space="preserve">3. Tokenomics</w:t>
      </w:r>
    </w:p>
    <w:p>
      <w:pPr>
        <w:pStyle w:val="Heading2"/>
        <w:spacing w:after="150" w:before="300"/>
      </w:pPr>
      <w:r>
        <w:t xml:space="preserve">3.1 Fixed Supply</w:t>
      </w:r>
    </w:p>
    <w:p>
      <w:pPr>
        <w:spacing w:after="200"/>
      </w:pPr>
      <w:r>
        <w:t xml:space="preserve">Triac's total supply is capped at 21,000,000 TRI. This number was minted once, in a single on-chain transaction, and the mint authority was then permanently disabled. No additional TRI can be created by the founding wallet, by Triac's team, or by anyone else, under any circumstance.</w:t>
      </w:r>
    </w:p>
    <w:p>
      <w:pPr>
        <w:pStyle w:val="Heading2"/>
        <w:spacing w:after="150" w:before="300"/>
      </w:pPr>
      <w:r>
        <w:t xml:space="preserve">3.2 Allocation</w:t>
      </w:r>
    </w:p>
    <w:p>
      <w:pPr>
        <w:spacing w:after="200"/>
      </w:pPr>
      <w:r>
        <w:t xml:space="preserve">The current allocation of the 21,000,000 TRI supply is as follows:</w:t>
      </w:r>
    </w:p>
    <w:p>
      <w:pPr>
        <w:pStyle w:val="ListParagraph"/>
        <w:numPr>
          <w:ilvl w:val="0"/>
          <w:numId w:val="1"/>
        </w:numPr>
        <w:spacing w:after="100"/>
      </w:pPr>
      <w:r>
        <w:t xml:space="preserve">Founder / Treasury wallet: holds the full supply at genesis, pending distribution</w:t>
      </w:r>
    </w:p>
    <w:p>
      <w:pPr>
        <w:pStyle w:val="ListParagraph"/>
        <w:numPr>
          <w:ilvl w:val="0"/>
          <w:numId w:val="1"/>
        </w:numPr>
        <w:spacing w:after="100"/>
      </w:pPr>
      <w:r>
        <w:t xml:space="preserve">Future liquidity provisioning: a portion will be paired with SOL to seed a public liquidity pool</w:t>
      </w:r>
    </w:p>
    <w:p>
      <w:pPr>
        <w:pStyle w:val="ListParagraph"/>
        <w:numPr>
          <w:ilvl w:val="0"/>
          <w:numId w:val="1"/>
        </w:numPr>
        <w:spacing w:after="100"/>
      </w:pPr>
      <w:r>
        <w:t xml:space="preserve">Community &amp; ecosystem: reserved for future incentives, subject to public disclosure before distribution</w:t>
      </w:r>
    </w:p>
    <w:p>
      <w:pPr>
        <w:spacing w:after="200"/>
      </w:pPr>
      <w:r>
        <w:rPr>
          <w:i/>
          <w:iCs/>
        </w:rPr>
        <w:t xml:space="preserve">Triac commits to publishing an updated, itemized allocation breakdown — including wallet addresses — before any liquidity pool goes live, so holders can verify exactly what percentage of supply is liquid versus held.</w:t>
      </w:r>
    </w:p>
    <w:p>
      <w:pPr>
        <w:pStyle w:val="Heading1"/>
        <w:spacing w:after="200" w:before="400"/>
      </w:pPr>
      <w:r>
        <w:t xml:space="preserve">4. Trust &amp; Security Design</w:t>
      </w:r>
    </w:p>
    <w:p>
      <w:pPr>
        <w:spacing w:after="200"/>
      </w:pPr>
      <w:r>
        <w:t xml:space="preserve">Triac's design deliberately removes several common sources of risk in new token launches:</w:t>
      </w:r>
    </w:p>
    <w:p>
      <w:pPr>
        <w:pStyle w:val="ListParagraph"/>
        <w:numPr>
          <w:ilvl w:val="0"/>
          <w:numId w:val="1"/>
        </w:numPr>
        <w:spacing w:after="100"/>
      </w:pPr>
      <w:r>
        <w:t xml:space="preserve">No re-mint risk: mint authority is disabled — supply cannot ever be inflated</w:t>
      </w:r>
    </w:p>
    <w:p>
      <w:pPr>
        <w:pStyle w:val="ListParagraph"/>
        <w:numPr>
          <w:ilvl w:val="0"/>
          <w:numId w:val="1"/>
        </w:numPr>
        <w:spacing w:after="100"/>
      </w:pPr>
      <w:r>
        <w:t xml:space="preserve">No freeze risk: freeze authority was never enabled — no wallet can ever have its TRI frozen</w:t>
      </w:r>
    </w:p>
    <w:p>
      <w:pPr>
        <w:pStyle w:val="ListParagraph"/>
        <w:numPr>
          <w:ilvl w:val="0"/>
          <w:numId w:val="1"/>
        </w:numPr>
        <w:spacing w:after="100"/>
      </w:pPr>
      <w:r>
        <w:t xml:space="preserve">Planned LP lock/burn: when a liquidity pool is created, LP tokens will be burned or time-locked so liquidity cannot be silently withdrawn</w:t>
      </w:r>
    </w:p>
    <w:p>
      <w:pPr>
        <w:pStyle w:val="ListParagraph"/>
        <w:numPr>
          <w:ilvl w:val="0"/>
          <w:numId w:val="1"/>
        </w:numPr>
        <w:spacing w:after="100"/>
      </w:pPr>
      <w:r>
        <w:t xml:space="preserve">Public allocation disclosure: team/treasury holdings will be disclosed before trading opens</w:t>
      </w:r>
    </w:p>
    <w:p>
      <w:pPr>
        <w:spacing w:after="200"/>
      </w:pPr>
      <w:r>
        <w:t xml:space="preserve">Together, these are intended to directly address the most common pattern behind low-trust token launches — the ability to inflate supply, freeze holder funds, or withdraw liquidity unilaterally.</w:t>
      </w:r>
    </w:p>
    <w:p>
      <w:pPr>
        <w:pStyle w:val="Heading1"/>
        <w:spacing w:after="200" w:before="400"/>
      </w:pPr>
      <w:r>
        <w:t xml:space="preserve">5. Utility &amp; Vision</w:t>
      </w:r>
    </w:p>
    <w:p>
      <w:pPr>
        <w:spacing w:after="200"/>
      </w:pPr>
      <w:r>
        <w:t xml:space="preserve">Triac's long-term goal is to function as a fast, low-fee medium of exchange, leveraging Solana's transaction speed and cost advantages. Planned utility includes:</w:t>
      </w:r>
    </w:p>
    <w:p>
      <w:pPr>
        <w:pStyle w:val="ListParagraph"/>
        <w:numPr>
          <w:ilvl w:val="0"/>
          <w:numId w:val="1"/>
        </w:numPr>
        <w:spacing w:after="100"/>
      </w:pPr>
      <w:r>
        <w:t xml:space="preserve">Peer-to-peer and small-merchant payments</w:t>
      </w:r>
    </w:p>
    <w:p>
      <w:pPr>
        <w:pStyle w:val="ListParagraph"/>
        <w:numPr>
          <w:ilvl w:val="0"/>
          <w:numId w:val="1"/>
        </w:numPr>
        <w:spacing w:after="100"/>
      </w:pPr>
      <w:r>
        <w:t xml:space="preserve">Integration with a buyback-and-burn mechanism funded by future project revenue</w:t>
      </w:r>
    </w:p>
    <w:p>
      <w:pPr>
        <w:pStyle w:val="ListParagraph"/>
        <w:numPr>
          <w:ilvl w:val="0"/>
          <w:numId w:val="1"/>
        </w:numPr>
        <w:spacing w:after="100"/>
      </w:pPr>
      <w:r>
        <w:t xml:space="preserve">Optional staking for long-term holders (planned, subject to audit before deployment)</w:t>
      </w:r>
    </w:p>
    <w:p>
      <w:pPr>
        <w:spacing w:after="200"/>
      </w:pPr>
      <w:r>
        <w:t xml:space="preserve">Note: any use of Triac as a payment mechanism, particularly at merchant or public scale, may be subject to local financial regulations. Triac's team is committed to reviewing applicable requirements before enabling merchant-facing features.</w:t>
      </w:r>
    </w:p>
    <w:p>
      <w:pPr>
        <w:pStyle w:val="Heading1"/>
        <w:spacing w:after="200" w:before="400"/>
      </w:pPr>
      <w:r>
        <w:t xml:space="preserve">6. Roadmap</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3600"/>
        <w:gridCol w:w="6000"/>
      </w:tblGrid>
      <w:tr>
        <w:tc>
          <w:tcPr>
            <w:tcW w:type="dxa" w:w="3600"/>
            <w:shd w:fill="F2F2F2" w:val="clear"/>
          </w:tcPr>
          <w:p>
            <w:r>
              <w:rPr>
                <w:b/>
                <w:bCs/>
              </w:rPr>
              <w:t xml:space="preserve">Phase 1 — Complete</w:t>
            </w:r>
          </w:p>
        </w:tc>
        <w:tc>
          <w:tcPr>
            <w:tcW w:type="dxa" w:w="6000"/>
          </w:tcPr>
          <w:p>
            <w:r>
              <w:t xml:space="preserve">Token creation, metadata, mint authority disabled, freeze never enabled</w:t>
            </w:r>
          </w:p>
        </w:tc>
      </w:tr>
      <w:tr>
        <w:tc>
          <w:tcPr>
            <w:tcW w:type="dxa" w:w="3600"/>
            <w:shd w:fill="F2F2F2" w:val="clear"/>
          </w:tcPr>
          <w:p>
            <w:r>
              <w:rPr>
                <w:b/>
                <w:bCs/>
              </w:rPr>
              <w:t xml:space="preserve">Phase 2</w:t>
            </w:r>
          </w:p>
        </w:tc>
        <w:tc>
          <w:tcPr>
            <w:tcW w:type="dxa" w:w="6000"/>
          </w:tcPr>
          <w:p>
            <w:r>
              <w:t xml:space="preserve">Public allocation disclosure, website &amp; community channels live</w:t>
            </w:r>
          </w:p>
        </w:tc>
      </w:tr>
      <w:tr>
        <w:tc>
          <w:tcPr>
            <w:tcW w:type="dxa" w:w="3600"/>
            <w:shd w:fill="F2F2F2" w:val="clear"/>
          </w:tcPr>
          <w:p>
            <w:r>
              <w:rPr>
                <w:b/>
                <w:bCs/>
              </w:rPr>
              <w:t xml:space="preserve">Phase 3</w:t>
            </w:r>
          </w:p>
        </w:tc>
        <w:tc>
          <w:tcPr>
            <w:tcW w:type="dxa" w:w="6000"/>
          </w:tcPr>
          <w:p>
            <w:r>
              <w:t xml:space="preserve">Liquidity pool creation; LP tokens locked or burned</w:t>
            </w:r>
          </w:p>
        </w:tc>
      </w:tr>
      <w:tr>
        <w:tc>
          <w:tcPr>
            <w:tcW w:type="dxa" w:w="3600"/>
            <w:shd w:fill="F2F2F2" w:val="clear"/>
          </w:tcPr>
          <w:p>
            <w:r>
              <w:rPr>
                <w:b/>
                <w:bCs/>
              </w:rPr>
              <w:t xml:space="preserve">Phase 4</w:t>
            </w:r>
          </w:p>
        </w:tc>
        <w:tc>
          <w:tcPr>
            <w:tcW w:type="dxa" w:w="6000"/>
          </w:tcPr>
          <w:p>
            <w:r>
              <w:t xml:space="preserve">Buyback-and-burn mechanism live</w:t>
            </w:r>
          </w:p>
        </w:tc>
      </w:tr>
      <w:tr>
        <w:tc>
          <w:tcPr>
            <w:tcW w:type="dxa" w:w="3600"/>
            <w:shd w:fill="F2F2F2" w:val="clear"/>
          </w:tcPr>
          <w:p>
            <w:r>
              <w:rPr>
                <w:b/>
                <w:bCs/>
              </w:rPr>
              <w:t xml:space="preserve">Phase 5</w:t>
            </w:r>
          </w:p>
        </w:tc>
        <w:tc>
          <w:tcPr>
            <w:tcW w:type="dxa" w:w="6000"/>
          </w:tcPr>
          <w:p>
            <w:r>
              <w:t xml:space="preserve">Staking program (pending design/audit)</w:t>
            </w:r>
          </w:p>
        </w:tc>
      </w:tr>
    </w:tbl>
    <w:p>
      <w:pPr>
        <w:pStyle w:val="Heading1"/>
        <w:spacing w:after="200" w:before="400"/>
      </w:pPr>
      <w:r>
        <w:t xml:space="preserve">7. Disclaimer</w:t>
      </w:r>
    </w:p>
    <w:p>
      <w:pPr>
        <w:spacing w:after="200"/>
      </w:pPr>
      <w:r>
        <w:rPr>
          <w:i/>
          <w:iCs/>
          <w:color w:val="777777"/>
          <w:sz w:val="20"/>
          <w:szCs w:val="20"/>
        </w:rPr>
        <w:t xml:space="preserve">This document is for informational purposes only and does not constitute financial, investment, or legal advice. Triac is an experimental, independently created token. Cryptocurrency assets carry significant risk, including total loss of value. Nothing in this document should be interpreted as a promise of future price performance, listing, or liquidity. Always do your own research before acquiring any digital asset.</w:t>
      </w:r>
    </w:p>
    <w:p>
      <w:pPr>
        <w:pStyle w:val="Heading1"/>
        <w:spacing w:after="200" w:before="400"/>
      </w:pPr>
      <w:r>
        <w:t xml:space="preserve">8. Links &amp; Verification</w:t>
      </w:r>
    </w:p>
    <w:p>
      <w:pPr>
        <w:pStyle w:val="ListParagraph"/>
        <w:numPr>
          <w:ilvl w:val="0"/>
          <w:numId w:val="1"/>
        </w:numPr>
        <w:spacing w:after="100"/>
      </w:pPr>
      <w:r>
        <w:t xml:space="preserve">Mint Address: 2wdpJ9jx6MscrAbtfuAFNYG8a5vYgtZggBdVu9gKLCH3</w:t>
      </w:r>
    </w:p>
    <w:p>
      <w:pPr>
        <w:pStyle w:val="ListParagraph"/>
        <w:numPr>
          <w:ilvl w:val="0"/>
          <w:numId w:val="1"/>
        </w:numPr>
        <w:spacing w:after="100"/>
      </w:pPr>
      <w:r>
        <w:t xml:space="preserve">Solscan: solscan.io/token/2wdpJ9jx6MscrAbtfuAFNYG8a5vYgtZggBdVu9gKLCH3</w:t>
      </w:r>
    </w:p>
    <w:p>
      <w:pPr>
        <w:pStyle w:val="ListParagraph"/>
        <w:numPr>
          <w:ilvl w:val="0"/>
          <w:numId w:val="1"/>
        </w:numPr>
        <w:spacing w:after="100"/>
      </w:pPr>
      <w:r>
        <w:t xml:space="preserve">Website: (add once live)</w:t>
      </w:r>
    </w:p>
    <w:p>
      <w:pPr>
        <w:pStyle w:val="ListParagraph"/>
        <w:numPr>
          <w:ilvl w:val="0"/>
          <w:numId w:val="1"/>
        </w:numPr>
        <w:spacing w:after="100"/>
      </w:pPr>
      <w:r>
        <w:t xml:space="preserve">X / Twitter: (add once live)</w:t>
      </w:r>
    </w:p>
    <w:p>
      <w:pPr>
        <w:pStyle w:val="ListParagraph"/>
        <w:numPr>
          <w:ilvl w:val="0"/>
          <w:numId w:val="1"/>
        </w:numPr>
        <w:spacing w:after="100"/>
      </w:pPr>
      <w:r>
        <w:t xml:space="preserve">Telegram: (add once live)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2026-07-18T10:52:05.145Z</dcterms:created>
  <dcterms:modified xsi:type="dcterms:W3CDTF">2026-07-18T10:52:05.157Z</dcterms:modified>
</cp:coreProperties>
</file>

<file path=docProps/custom.xml><?xml version="1.0" encoding="utf-8"?>
<Properties xmlns="http://schemas.openxmlformats.org/officeDocument/2006/custom-properties" xmlns:vt="http://schemas.openxmlformats.org/officeDocument/2006/docPropsVTypes"/>
</file>